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cs="Book Antiqua"/>
          <w:b/>
          <w:bCs/>
          <w:caps/>
          <w:spacing w:val="30"/>
          <w:sz w:val="22"/>
          <w:szCs w:val="22"/>
        </w:rPr>
        <w:t>Dôvodová správa</w:t>
      </w:r>
    </w:p>
    <w:p w:rsidR="004E7EC6" w:rsidRPr="00241E27" w:rsidP="00241E27">
      <w:pPr>
        <w:pStyle w:val="Heading1"/>
        <w:bidi w:val="0"/>
        <w:spacing w:before="120" w:line="276" w:lineRule="auto"/>
        <w:jc w:val="left"/>
        <w:rPr>
          <w:rFonts w:ascii="Book Antiqua" w:hAnsi="Book Antiqua" w:cs="Times New Roman"/>
          <w:bCs w:val="0"/>
          <w:sz w:val="22"/>
          <w:szCs w:val="22"/>
        </w:rPr>
      </w:pPr>
      <w:r w:rsidRPr="00241E27">
        <w:rPr>
          <w:rFonts w:ascii="Book Antiqua" w:hAnsi="Book Antiqua" w:cs="Times New Roman"/>
          <w:bCs w:val="0"/>
          <w:sz w:val="22"/>
          <w:szCs w:val="22"/>
        </w:rPr>
        <w:t>A. Všeobecná časť</w:t>
      </w:r>
    </w:p>
    <w:p w:rsidR="004E7EC6" w:rsidRPr="00241E27" w:rsidP="00241E27">
      <w:pPr>
        <w:bidi w:val="0"/>
        <w:spacing w:before="120" w:line="276" w:lineRule="auto"/>
        <w:ind w:firstLine="708"/>
        <w:jc w:val="both"/>
        <w:rPr>
          <w:rFonts w:ascii="Book Antiqua" w:hAnsi="Book Antiqua"/>
          <w:sz w:val="22"/>
          <w:szCs w:val="22"/>
        </w:rPr>
      </w:pPr>
      <w:r w:rsidRPr="00241E27">
        <w:rPr>
          <w:rFonts w:ascii="Book Antiqua" w:hAnsi="Book Antiqua"/>
          <w:sz w:val="22"/>
          <w:szCs w:val="22"/>
        </w:rPr>
        <w:t>Návrh zákona, ktorým sa mení a dopĺňa zákon č. 447/2008 Z. z. o peňažných príspevkoch na kompenzáciu ťažkého zdravotného postihnutia a o zmene a doplnení niektorých zákonov v znení neskorších predpisov (ďalej len „návr</w:t>
      </w:r>
      <w:r w:rsidR="00A93EBE">
        <w:rPr>
          <w:rFonts w:ascii="Book Antiqua" w:hAnsi="Book Antiqua"/>
          <w:sz w:val="22"/>
          <w:szCs w:val="22"/>
        </w:rPr>
        <w:t xml:space="preserve">h zákona“) predkladá skupina poslancov </w:t>
      </w:r>
      <w:r w:rsidRPr="00241E27">
        <w:rPr>
          <w:rFonts w:ascii="Book Antiqua" w:hAnsi="Book Antiqua"/>
          <w:sz w:val="22"/>
          <w:szCs w:val="22"/>
        </w:rPr>
        <w:t xml:space="preserve">Národnej rady Slovenskej republiky za hnutie OBYČAJNÍ ĽUDIA a nezávislé </w:t>
      </w:r>
      <w:r w:rsidR="00A93EBE">
        <w:rPr>
          <w:rFonts w:ascii="Book Antiqua" w:hAnsi="Book Antiqua"/>
          <w:sz w:val="22"/>
          <w:szCs w:val="22"/>
        </w:rPr>
        <w:t>osobnosti (OĽANO)</w:t>
      </w:r>
      <w:r w:rsidRPr="00241E27">
        <w:rPr>
          <w:rFonts w:ascii="Book Antiqua" w:hAnsi="Book Antiqua"/>
          <w:sz w:val="22"/>
          <w:szCs w:val="22"/>
        </w:rPr>
        <w:t>.</w:t>
      </w:r>
    </w:p>
    <w:p w:rsidR="004E7EC6" w:rsidRPr="00241E27" w:rsidP="00241E27">
      <w:pPr>
        <w:bidi w:val="0"/>
        <w:spacing w:before="120" w:line="276" w:lineRule="auto"/>
        <w:ind w:firstLine="709"/>
        <w:jc w:val="both"/>
        <w:rPr>
          <w:rFonts w:ascii="Book Antiqua" w:hAnsi="Book Antiqua"/>
          <w:sz w:val="22"/>
          <w:szCs w:val="22"/>
        </w:rPr>
      </w:pPr>
      <w:r w:rsidRPr="00241E27">
        <w:rPr>
          <w:rFonts w:ascii="Book Antiqua" w:hAnsi="Book Antiqua"/>
          <w:sz w:val="22"/>
          <w:szCs w:val="22"/>
        </w:rPr>
        <w:t>Podpora štátu pri sociálnom začlenení osôb s ťažkým zdravotným postihnutím (ďalej len „ŤZP“) do spoločnosti podľa zákona č. 447/2008 Z. z. o peňažných príspevkoch na kompenzáciu ťažkého zdravotného postihnutia a o zmene a doplnení niektorých zákonov v znení neskorších predpisov (ďalej len „zákon o kompenzá</w:t>
      </w:r>
      <w:r w:rsidR="00241E27">
        <w:rPr>
          <w:rFonts w:ascii="Book Antiqua" w:hAnsi="Book Antiqua"/>
          <w:sz w:val="22"/>
          <w:szCs w:val="22"/>
        </w:rPr>
        <w:t>ciách“) spočíva aj v poskytnutí:</w:t>
      </w:r>
    </w:p>
    <w:p w:rsidR="004E7EC6" w:rsidRPr="00B71FBF" w:rsidP="00241E27">
      <w:pPr>
        <w:pStyle w:val="ListParagraph"/>
        <w:numPr>
          <w:numId w:val="4"/>
        </w:numPr>
        <w:tabs>
          <w:tab w:val="left" w:pos="851"/>
        </w:tabs>
        <w:bidi w:val="0"/>
        <w:spacing w:before="120" w:line="276" w:lineRule="auto"/>
        <w:ind w:left="851" w:hanging="425"/>
        <w:jc w:val="both"/>
        <w:rPr>
          <w:rFonts w:ascii="Book Antiqua" w:hAnsi="Book Antiqua"/>
          <w:sz w:val="22"/>
          <w:szCs w:val="22"/>
        </w:rPr>
      </w:pPr>
      <w:r w:rsidRPr="00B71FBF">
        <w:rPr>
          <w:rFonts w:ascii="Book Antiqua" w:hAnsi="Book Antiqua"/>
          <w:sz w:val="22"/>
          <w:szCs w:val="22"/>
        </w:rPr>
        <w:t xml:space="preserve">jednorazových alebo opakovaných </w:t>
      </w:r>
      <w:r w:rsidRPr="00B71FBF">
        <w:rPr>
          <w:rFonts w:ascii="Book Antiqua" w:hAnsi="Book Antiqua"/>
          <w:b/>
          <w:sz w:val="22"/>
          <w:szCs w:val="22"/>
        </w:rPr>
        <w:t>peňažných príspevkov</w:t>
      </w:r>
      <w:r w:rsidRPr="00B71FBF">
        <w:rPr>
          <w:rFonts w:ascii="Book Antiqua" w:hAnsi="Book Antiqua"/>
          <w:sz w:val="22"/>
          <w:szCs w:val="22"/>
        </w:rPr>
        <w:t xml:space="preserve"> (na kompenzáciu ťažkého zdravotného postihnutia, resp. na opatrovanie), </w:t>
      </w:r>
    </w:p>
    <w:p w:rsidR="004E7EC6" w:rsidRPr="00B71FBF" w:rsidP="00241E27">
      <w:pPr>
        <w:pStyle w:val="ListParagraph"/>
        <w:numPr>
          <w:numId w:val="4"/>
        </w:numPr>
        <w:tabs>
          <w:tab w:val="left" w:pos="851"/>
        </w:tabs>
        <w:bidi w:val="0"/>
        <w:spacing w:before="120" w:line="276" w:lineRule="auto"/>
        <w:ind w:left="851" w:hanging="425"/>
        <w:jc w:val="both"/>
        <w:rPr>
          <w:rFonts w:ascii="Book Antiqua" w:hAnsi="Book Antiqua"/>
          <w:sz w:val="22"/>
          <w:szCs w:val="22"/>
        </w:rPr>
      </w:pPr>
      <w:r w:rsidRPr="00B71FBF">
        <w:rPr>
          <w:rFonts w:ascii="Book Antiqua" w:hAnsi="Book Antiqua"/>
          <w:b/>
          <w:sz w:val="22"/>
          <w:szCs w:val="22"/>
        </w:rPr>
        <w:t>preukazu ŤZP</w:t>
      </w:r>
      <w:r w:rsidRPr="00B71FBF">
        <w:rPr>
          <w:rFonts w:ascii="Book Antiqua" w:hAnsi="Book Antiqua"/>
          <w:sz w:val="22"/>
          <w:szCs w:val="22"/>
        </w:rPr>
        <w:t xml:space="preserve"> (na uplatnenie rôznych zliav a výhod) a </w:t>
      </w:r>
    </w:p>
    <w:p w:rsidR="004E7EC6" w:rsidRPr="00B71FBF" w:rsidP="00241E27">
      <w:pPr>
        <w:pStyle w:val="ListParagraph"/>
        <w:numPr>
          <w:numId w:val="4"/>
        </w:numPr>
        <w:tabs>
          <w:tab w:val="left" w:pos="851"/>
        </w:tabs>
        <w:bidi w:val="0"/>
        <w:spacing w:before="120" w:line="276" w:lineRule="auto"/>
        <w:ind w:left="851" w:hanging="425"/>
        <w:jc w:val="both"/>
        <w:rPr>
          <w:rFonts w:ascii="Book Antiqua" w:hAnsi="Book Antiqua"/>
          <w:sz w:val="22"/>
          <w:szCs w:val="22"/>
        </w:rPr>
      </w:pPr>
      <w:r w:rsidRPr="00B71FBF">
        <w:rPr>
          <w:rFonts w:ascii="Book Antiqua" w:hAnsi="Book Antiqua"/>
          <w:b/>
          <w:sz w:val="22"/>
          <w:szCs w:val="22"/>
        </w:rPr>
        <w:t>parkovacieho preukazu</w:t>
      </w:r>
      <w:r w:rsidRPr="00B71FBF">
        <w:rPr>
          <w:rFonts w:ascii="Book Antiqua" w:hAnsi="Book Antiqua"/>
          <w:sz w:val="22"/>
          <w:szCs w:val="22"/>
        </w:rPr>
        <w:t xml:space="preserve"> (na uplatnenie výhod vyplývajúcich zo zákona č. 8/2009 Z. z. o cestnej premávke alebo na oslobodenie od úhrady za diaľničnú známku podľa zákona č. 488/2014 Z. z. o diaľničnej známke).  </w:t>
      </w:r>
    </w:p>
    <w:p w:rsidR="004E7EC6" w:rsidRPr="00241E27" w:rsidP="00241E27">
      <w:pPr>
        <w:bidi w:val="0"/>
        <w:spacing w:before="120" w:line="276" w:lineRule="auto"/>
        <w:ind w:firstLine="709"/>
        <w:jc w:val="both"/>
        <w:rPr>
          <w:rFonts w:ascii="Book Antiqua" w:hAnsi="Book Antiqua"/>
          <w:sz w:val="22"/>
          <w:szCs w:val="22"/>
        </w:rPr>
      </w:pPr>
      <w:r w:rsidRPr="00241E27">
        <w:rPr>
          <w:rFonts w:ascii="Book Antiqua" w:hAnsi="Book Antiqua"/>
          <w:sz w:val="22"/>
          <w:szCs w:val="22"/>
        </w:rPr>
        <w:t xml:space="preserve">Uvedené formy podpory štátu sa osobe s ŤZP poskytnú na základe jej žiadosti a záverov posudkovej činnosti príslušného úradu práce, sociálnych vecí a rodiny. </w:t>
      </w:r>
    </w:p>
    <w:p w:rsidR="004E7EC6" w:rsidRPr="00241E27" w:rsidP="00241E27">
      <w:pPr>
        <w:bidi w:val="0"/>
        <w:spacing w:before="120" w:line="276" w:lineRule="auto"/>
        <w:ind w:firstLine="709"/>
        <w:jc w:val="both"/>
        <w:rPr>
          <w:rFonts w:ascii="Book Antiqua" w:hAnsi="Book Antiqua"/>
          <w:sz w:val="22"/>
          <w:szCs w:val="22"/>
        </w:rPr>
      </w:pPr>
      <w:r w:rsidRPr="00241E27">
        <w:rPr>
          <w:rFonts w:ascii="Book Antiqua" w:hAnsi="Book Antiqua"/>
          <w:sz w:val="22"/>
          <w:szCs w:val="22"/>
        </w:rPr>
        <w:t>Praktické skúsenosti osôb s ŤZP poukazujú na pomerne častý jav, keď v dôsledku žiadosti o ďalší benefit podľa zákona o kompenzáciách dochádza k prehodnocovaniu oprávnenosti už priznaných benefitov a neraz dokonca k ich odňatiu, a to aj v prípade osôb s ŤZP, ktorých zdravotný stav je chronický s trvalým poškodením. Najviac takýchto prípadov sa týka odobratia parkovacieho preukazu. Dôvodom je spravidla nezohľadnenie starších lekárskych nálezov konštatujúcich trvalosť zdravotného postihnutia, jeho nemennosť a nemožnosť jeho zlepšenia ani ďalšou liečbou, keďže podľa § 11 ods. 8 zákona o kompenzáciách nie je povinnosťou, ale len oprávnením posudkového lekára zohľadňovať takéto staršie lekárske nálezy.</w:t>
      </w:r>
    </w:p>
    <w:p w:rsidR="004E7EC6" w:rsidRPr="00241E27" w:rsidP="00241E27">
      <w:pPr>
        <w:bidi w:val="0"/>
        <w:spacing w:before="120" w:line="276" w:lineRule="auto"/>
        <w:ind w:firstLine="709"/>
        <w:jc w:val="both"/>
        <w:rPr>
          <w:rFonts w:ascii="Book Antiqua" w:hAnsi="Book Antiqua"/>
          <w:sz w:val="22"/>
          <w:szCs w:val="22"/>
        </w:rPr>
      </w:pPr>
      <w:r w:rsidRPr="00241E27">
        <w:rPr>
          <w:rFonts w:ascii="Book Antiqua" w:hAnsi="Book Antiqua"/>
          <w:b/>
          <w:sz w:val="22"/>
          <w:szCs w:val="22"/>
        </w:rPr>
        <w:t>Cieľom návrhu zákona je, aby nedochádzalo k opätovnému posudzovaniu zdravotného stavu u osôb, ktorých zdravotný stav je chronický s trvalým poškodením, miera funkčnej poruchy je definitívna a od ďalšej liečby nemožno očakávať zlepšenie, a to najmä vo vzťahu k parkovacím preukazom, ale aby sa v ich prípade povinne zohľadňoval lekársky nález starší ako šesť mesiacov s prihliadnutím na platné výnimky (napr. novšia zdravotná dokumentácia nezohľadnená v staršom lekárskom náleze).</w:t>
      </w:r>
    </w:p>
    <w:p w:rsidR="004E7EC6" w:rsidRPr="00241E27" w:rsidP="00241E27">
      <w:pPr>
        <w:bidi w:val="0"/>
        <w:spacing w:before="120" w:line="276" w:lineRule="auto"/>
        <w:ind w:firstLine="709"/>
        <w:jc w:val="both"/>
        <w:rPr>
          <w:rFonts w:ascii="Book Antiqua" w:hAnsi="Book Antiqua"/>
          <w:sz w:val="22"/>
          <w:szCs w:val="22"/>
        </w:rPr>
      </w:pPr>
      <w:r w:rsidRPr="00241E27">
        <w:rPr>
          <w:rFonts w:ascii="Book Antiqua" w:hAnsi="Book Antiqua"/>
          <w:sz w:val="22"/>
          <w:szCs w:val="22"/>
        </w:rPr>
        <w:t xml:space="preserve">Návrh zákona má výrazne pozitívne sociálne vplyvy, a to pri zachovaní neutrálneho vplyvu na rozpočet verejnej správy. Návrh zákona teda nemá vplyv na podnikateľské prostredie, životné prostredie ani na informatizáciu spoločnosti. </w:t>
      </w:r>
    </w:p>
    <w:p w:rsidR="004E7EC6" w:rsidRPr="00241E27" w:rsidP="00241E27">
      <w:pPr>
        <w:bidi w:val="0"/>
        <w:spacing w:before="120" w:line="276" w:lineRule="auto"/>
        <w:ind w:firstLine="709"/>
        <w:jc w:val="both"/>
        <w:rPr>
          <w:rFonts w:ascii="Book Antiqua" w:hAnsi="Book Antiqua"/>
          <w:sz w:val="22"/>
          <w:szCs w:val="22"/>
        </w:rPr>
      </w:pPr>
      <w:r w:rsidRPr="00241E27">
        <w:rPr>
          <w:rStyle w:val="PlaceholderText"/>
          <w:rFonts w:ascii="Book Antiqua" w:hAnsi="Book Antiqua"/>
          <w:color w:val="000000"/>
          <w:sz w:val="22"/>
          <w:szCs w:val="22"/>
        </w:rPr>
        <w:t xml:space="preserve">Návrh zákona je v súlade s Ústavou Slovenskej republiky, ústavnými zákonmi a ostatnými všeobecne záväznými právnymi predpismi Slovenskej republiky, s právom Európskej únie, medzinárodnými zmluvami a inými medzinárodnými dokumentmi, ktorými je Slovenská republika viazaná.  </w:t>
      </w:r>
    </w:p>
    <w:p w:rsidR="004E7EC6" w:rsidRPr="00241E27" w:rsidP="00241E27">
      <w:pPr>
        <w:pStyle w:val="NormalWeb"/>
        <w:bidi w:val="0"/>
        <w:spacing w:before="120" w:after="0" w:line="276" w:lineRule="auto"/>
        <w:jc w:val="both"/>
        <w:rPr>
          <w:rFonts w:ascii="Book Antiqua" w:hAnsi="Book Antiqua"/>
          <w:sz w:val="22"/>
          <w:szCs w:val="22"/>
        </w:rPr>
      </w:pPr>
      <w:r w:rsidRPr="00241E27">
        <w:rPr>
          <w:rFonts w:ascii="Book Antiqua" w:hAnsi="Book Antiqua"/>
          <w:b/>
          <w:sz w:val="22"/>
          <w:szCs w:val="22"/>
        </w:rPr>
        <w:t>B. Osobitná časť</w:t>
      </w:r>
    </w:p>
    <w:p w:rsidR="004E7EC6" w:rsidRPr="00241E27" w:rsidP="00241E27">
      <w:pPr>
        <w:pStyle w:val="NormalWeb"/>
        <w:bidi w:val="0"/>
        <w:spacing w:before="120" w:after="0" w:line="276" w:lineRule="auto"/>
        <w:jc w:val="both"/>
        <w:rPr>
          <w:rFonts w:ascii="Book Antiqua" w:hAnsi="Book Antiqua"/>
          <w:sz w:val="22"/>
          <w:szCs w:val="22"/>
        </w:rPr>
      </w:pPr>
    </w:p>
    <w:p w:rsidR="004E7EC6" w:rsidRPr="00241E27" w:rsidP="00241E27">
      <w:pPr>
        <w:pStyle w:val="NormalWeb"/>
        <w:bidi w:val="0"/>
        <w:spacing w:before="120" w:after="0" w:line="276" w:lineRule="auto"/>
        <w:jc w:val="both"/>
        <w:rPr>
          <w:rFonts w:ascii="Book Antiqua" w:hAnsi="Book Antiqua"/>
          <w:sz w:val="22"/>
          <w:szCs w:val="22"/>
        </w:rPr>
      </w:pPr>
      <w:r w:rsidRPr="00241E27">
        <w:rPr>
          <w:rFonts w:ascii="Book Antiqua" w:hAnsi="Book Antiqua"/>
          <w:b/>
          <w:sz w:val="22"/>
          <w:szCs w:val="22"/>
        </w:rPr>
        <w:t xml:space="preserve">K Čl. I </w:t>
      </w:r>
    </w:p>
    <w:p w:rsidR="004E7EC6" w:rsidRPr="00241E27" w:rsidP="00241E27">
      <w:pPr>
        <w:pStyle w:val="NormalWeb"/>
        <w:bidi w:val="0"/>
        <w:spacing w:before="120" w:after="0" w:line="276" w:lineRule="auto"/>
        <w:jc w:val="both"/>
        <w:rPr>
          <w:rFonts w:ascii="Book Antiqua" w:hAnsi="Book Antiqua"/>
          <w:sz w:val="22"/>
          <w:szCs w:val="22"/>
        </w:rPr>
      </w:pPr>
      <w:r w:rsidRPr="00241E27">
        <w:rPr>
          <w:rFonts w:ascii="Book Antiqua" w:hAnsi="Book Antiqua"/>
          <w:sz w:val="22"/>
          <w:szCs w:val="22"/>
          <w:u w:val="single"/>
        </w:rPr>
        <w:t>K bodom 1 a 2</w:t>
      </w:r>
    </w:p>
    <w:p w:rsidR="004E7EC6" w:rsidRPr="00241E27" w:rsidP="00241E27">
      <w:pPr>
        <w:bidi w:val="0"/>
        <w:spacing w:before="120" w:line="276" w:lineRule="auto"/>
        <w:ind w:firstLine="709"/>
        <w:jc w:val="both"/>
        <w:rPr>
          <w:rFonts w:ascii="Book Antiqua" w:hAnsi="Book Antiqua"/>
          <w:sz w:val="22"/>
          <w:szCs w:val="22"/>
        </w:rPr>
      </w:pPr>
      <w:r w:rsidRPr="00241E27">
        <w:rPr>
          <w:rFonts w:ascii="Book Antiqua" w:hAnsi="Book Antiqua"/>
          <w:sz w:val="22"/>
          <w:szCs w:val="22"/>
        </w:rPr>
        <w:t>Dôvody na udelenie parkovacieho preukazu pomenúva zákon o  kompenzáciách</w:t>
      </w:r>
      <w:r w:rsidRPr="00241E27">
        <w:rPr>
          <w:rFonts w:ascii="Book Antiqua" w:hAnsi="Book Antiqua"/>
          <w:b/>
          <w:sz w:val="22"/>
          <w:szCs w:val="22"/>
        </w:rPr>
        <w:t xml:space="preserve"> pomerne jasne. </w:t>
      </w:r>
      <w:r w:rsidRPr="00241E27">
        <w:rPr>
          <w:rFonts w:ascii="Book Antiqua" w:hAnsi="Book Antiqua"/>
          <w:sz w:val="22"/>
          <w:szCs w:val="22"/>
        </w:rPr>
        <w:t>Parkovací preukaz sa vydáva za predpokladu, že žiadateľ:</w:t>
      </w:r>
    </w:p>
    <w:p w:rsidR="004E7EC6" w:rsidRPr="00241E27" w:rsidP="00241E27">
      <w:pPr>
        <w:pStyle w:val="ListParagraph"/>
        <w:numPr>
          <w:numId w:val="4"/>
        </w:numPr>
        <w:tabs>
          <w:tab w:val="left" w:pos="851"/>
        </w:tabs>
        <w:bidi w:val="0"/>
        <w:spacing w:before="120" w:line="276" w:lineRule="auto"/>
        <w:ind w:left="851" w:hanging="425"/>
        <w:jc w:val="both"/>
        <w:rPr>
          <w:rFonts w:ascii="Book Antiqua" w:hAnsi="Book Antiqua"/>
          <w:sz w:val="22"/>
          <w:szCs w:val="22"/>
        </w:rPr>
      </w:pPr>
      <w:r w:rsidRPr="00241E27">
        <w:rPr>
          <w:rFonts w:ascii="Book Antiqua" w:hAnsi="Book Antiqua"/>
          <w:sz w:val="22"/>
          <w:szCs w:val="22"/>
        </w:rPr>
        <w:t>je odkázaný na individuálnu prepravu osobným motorovým vozidlom podľa § 14 ods. 6 zákona alebo</w:t>
      </w:r>
    </w:p>
    <w:p w:rsidR="004E7EC6" w:rsidRPr="00241E27" w:rsidP="00241E27">
      <w:pPr>
        <w:pStyle w:val="ListParagraph"/>
        <w:numPr>
          <w:numId w:val="4"/>
        </w:numPr>
        <w:tabs>
          <w:tab w:val="left" w:pos="851"/>
        </w:tabs>
        <w:bidi w:val="0"/>
        <w:spacing w:before="120" w:line="276" w:lineRule="auto"/>
        <w:ind w:left="851" w:hanging="425"/>
        <w:jc w:val="both"/>
        <w:rPr>
          <w:rFonts w:ascii="Book Antiqua" w:hAnsi="Book Antiqua"/>
          <w:sz w:val="22"/>
          <w:szCs w:val="22"/>
        </w:rPr>
      </w:pPr>
      <w:r w:rsidRPr="00241E27">
        <w:rPr>
          <w:rFonts w:ascii="Book Antiqua" w:hAnsi="Book Antiqua"/>
          <w:sz w:val="22"/>
          <w:szCs w:val="22"/>
        </w:rPr>
        <w:t xml:space="preserve">má praktickú slepotu alebo úplnú slepotu oboch očí. </w:t>
      </w:r>
    </w:p>
    <w:p w:rsidR="004E7EC6" w:rsidRPr="00241E27" w:rsidP="00241E27">
      <w:pPr>
        <w:bidi w:val="0"/>
        <w:spacing w:before="120" w:line="276" w:lineRule="auto"/>
        <w:ind w:firstLine="708"/>
        <w:jc w:val="both"/>
        <w:rPr>
          <w:rFonts w:ascii="Book Antiqua" w:hAnsi="Book Antiqua"/>
          <w:sz w:val="22"/>
          <w:szCs w:val="22"/>
        </w:rPr>
      </w:pPr>
      <w:r w:rsidRPr="00241E27">
        <w:rPr>
          <w:rFonts w:ascii="Book Antiqua" w:hAnsi="Book Antiqua"/>
          <w:b/>
          <w:sz w:val="22"/>
          <w:szCs w:val="22"/>
        </w:rPr>
        <w:t xml:space="preserve">Praktická alebo úplná slepota oboch očí je aj v dnešnej dobe trvalým a nemenným hendikepom. </w:t>
      </w:r>
      <w:r w:rsidRPr="00DA7A66">
        <w:rPr>
          <w:rFonts w:ascii="Book Antiqua" w:hAnsi="Book Antiqua"/>
          <w:sz w:val="22"/>
          <w:szCs w:val="22"/>
        </w:rPr>
        <w:t>Rovnako tak</w:t>
      </w:r>
      <w:r w:rsidRPr="00241E27">
        <w:rPr>
          <w:rFonts w:ascii="Book Antiqua" w:hAnsi="Book Antiqua"/>
          <w:b/>
          <w:sz w:val="22"/>
          <w:szCs w:val="22"/>
        </w:rPr>
        <w:t xml:space="preserve"> </w:t>
      </w:r>
      <w:r w:rsidRPr="00241E27">
        <w:rPr>
          <w:rFonts w:ascii="Book Antiqua" w:hAnsi="Book Antiqua"/>
          <w:sz w:val="22"/>
          <w:szCs w:val="22"/>
        </w:rPr>
        <w:t xml:space="preserve">súčasný stav lekárskej vedy nedisponuje účinnými liečebnými metódami na vyliečenie alebo zmiernenie dôsledkov ochorenia tak, aby pominuli dôvody na odkázanosť na individuálnu prepravu osobným motorovým vozidlom. To znamená, že </w:t>
      </w:r>
      <w:r w:rsidRPr="00241E27">
        <w:rPr>
          <w:rFonts w:ascii="Book Antiqua" w:hAnsi="Book Antiqua"/>
          <w:b/>
          <w:sz w:val="22"/>
          <w:szCs w:val="22"/>
        </w:rPr>
        <w:t>parkovacie preukazy sú v drvivej väčšine udeľované ŤZP osobám s nemožnosťou zlepšenia ich zdravotného hendikepu</w:t>
      </w:r>
      <w:r w:rsidRPr="00241E27">
        <w:rPr>
          <w:rFonts w:ascii="Book Antiqua" w:hAnsi="Book Antiqua"/>
          <w:sz w:val="22"/>
          <w:szCs w:val="22"/>
        </w:rPr>
        <w:t xml:space="preserve">. Správnosť tohto konštatovania potvrdzuje aj samotný § 17 ods. 5 zákona o kompenzáciách, podľa ktorého: </w:t>
      </w:r>
      <w:r w:rsidRPr="00241E27">
        <w:rPr>
          <w:rFonts w:ascii="Book Antiqua" w:hAnsi="Book Antiqua"/>
          <w:i/>
          <w:sz w:val="22"/>
          <w:szCs w:val="22"/>
        </w:rPr>
        <w:t>„</w:t>
      </w:r>
      <w:r w:rsidRPr="00241E27">
        <w:rPr>
          <w:rFonts w:ascii="Book Antiqua" w:hAnsi="Book Antiqua"/>
          <w:b/>
          <w:i/>
          <w:sz w:val="22"/>
          <w:szCs w:val="22"/>
        </w:rPr>
        <w:t>Doba platnosti parkovacieho preukazu je neobmedzená</w:t>
      </w:r>
      <w:r w:rsidRPr="00241E27">
        <w:rPr>
          <w:rFonts w:ascii="Book Antiqua" w:hAnsi="Book Antiqua"/>
          <w:i/>
          <w:sz w:val="22"/>
          <w:szCs w:val="22"/>
        </w:rPr>
        <w:t>, ak fyzickej osobe s ťažkým zdravotným postihnutím nezanikne nárok na parkovací preukaz.“</w:t>
      </w:r>
      <w:r w:rsidRPr="00241E27">
        <w:rPr>
          <w:rFonts w:ascii="Book Antiqua" w:hAnsi="Book Antiqua"/>
          <w:sz w:val="22"/>
          <w:szCs w:val="22"/>
        </w:rPr>
        <w:t xml:space="preserve">. S uvedeným konštatovaním korešponduje aj dôvodová správa k § 17 ods. 3 písm. a) tohto zákona, keď k dobe platnosti parkovacieho preukazu uvádza, že: </w:t>
      </w:r>
      <w:r w:rsidRPr="00241E27">
        <w:rPr>
          <w:rFonts w:ascii="Book Antiqua" w:hAnsi="Book Antiqua"/>
          <w:i/>
          <w:sz w:val="22"/>
          <w:szCs w:val="22"/>
        </w:rPr>
        <w:t>„pri dobe platnosti preukazu sa uvádza slovo „neobmedzene““</w:t>
      </w:r>
      <w:r w:rsidRPr="00241E27">
        <w:rPr>
          <w:rFonts w:ascii="Book Antiqua" w:hAnsi="Book Antiqua"/>
          <w:sz w:val="22"/>
          <w:szCs w:val="22"/>
        </w:rPr>
        <w:t xml:space="preserve">.  </w:t>
      </w:r>
    </w:p>
    <w:p w:rsidR="004E7EC6" w:rsidRPr="00DA7A66" w:rsidP="00241E27">
      <w:pPr>
        <w:bidi w:val="0"/>
        <w:spacing w:before="120" w:line="276" w:lineRule="auto"/>
        <w:jc w:val="both"/>
        <w:rPr>
          <w:rFonts w:ascii="Book Antiqua" w:hAnsi="Book Antiqua"/>
          <w:b/>
          <w:sz w:val="22"/>
          <w:szCs w:val="22"/>
        </w:rPr>
      </w:pPr>
      <w:r w:rsidRPr="00241E27">
        <w:rPr>
          <w:rFonts w:ascii="Book Antiqua" w:hAnsi="Book Antiqua"/>
          <w:sz w:val="22"/>
          <w:szCs w:val="22"/>
        </w:rPr>
        <w:tab/>
      </w:r>
      <w:r w:rsidRPr="00DA7A66">
        <w:rPr>
          <w:rFonts w:ascii="Book Antiqua" w:hAnsi="Book Antiqua"/>
          <w:b/>
          <w:sz w:val="22"/>
          <w:szCs w:val="22"/>
        </w:rPr>
        <w:t>Cieľom návrhu zákona je zamedziť nárastu prípadov, keď lekársky posudok vyhotovený napr. za účelom vyhodnotenia žiadosti o poskytnutie kompenzácii, má za následok odobratie parkovacieho preukazu napriek tomu, že dotknutá osoba má trvalé poškodenie zdravia.</w:t>
      </w:r>
    </w:p>
    <w:p w:rsidR="004E7EC6" w:rsidRPr="00DA7A66" w:rsidP="00241E27">
      <w:pPr>
        <w:bidi w:val="0"/>
        <w:spacing w:before="120" w:line="276" w:lineRule="auto"/>
        <w:jc w:val="both"/>
        <w:rPr>
          <w:rFonts w:ascii="Book Antiqua" w:hAnsi="Book Antiqua"/>
          <w:sz w:val="22"/>
          <w:szCs w:val="22"/>
        </w:rPr>
      </w:pPr>
      <w:r w:rsidRPr="00241E27">
        <w:rPr>
          <w:rFonts w:ascii="Book Antiqua" w:hAnsi="Book Antiqua"/>
          <w:sz w:val="22"/>
          <w:szCs w:val="22"/>
        </w:rPr>
        <w:tab/>
      </w:r>
      <w:r w:rsidRPr="00DA7A66">
        <w:rPr>
          <w:rFonts w:ascii="Book Antiqua" w:hAnsi="Book Antiqua"/>
          <w:sz w:val="22"/>
          <w:szCs w:val="22"/>
        </w:rPr>
        <w:t xml:space="preserve">Prax potvrdzuje, že nepriznanie napr. kompenzačných nárokov z dôvodu relatívne priaznivého zdravotného stavu ešte neznamená, že takáto ŤZP osoba prestala spĺňať podmienky na udelenie parkovacieho preukazu. </w:t>
      </w:r>
    </w:p>
    <w:p w:rsidR="004E7EC6" w:rsidRPr="00241E27" w:rsidP="00241E27">
      <w:pPr>
        <w:bidi w:val="0"/>
        <w:spacing w:before="120" w:line="276" w:lineRule="auto"/>
        <w:jc w:val="both"/>
        <w:rPr>
          <w:rFonts w:ascii="Book Antiqua" w:hAnsi="Book Antiqua"/>
          <w:sz w:val="22"/>
          <w:szCs w:val="22"/>
        </w:rPr>
      </w:pPr>
      <w:r w:rsidRPr="00241E27">
        <w:rPr>
          <w:rFonts w:ascii="Book Antiqua" w:hAnsi="Book Antiqua"/>
          <w:sz w:val="22"/>
          <w:szCs w:val="22"/>
        </w:rPr>
        <w:tab/>
        <w:t xml:space="preserve">Aby v budúcnosti nedochádzalo k takýmto prípadom, navrhuje sa, aby sa pri posudzovaní nároku na parkovací preukaz (resp. aj pri posúdení o jeho ponechaní či odobratí) vychádzalo povinne z lekárskeho nálezu aj staršieho ako šesť mesiacov, ak sa v ňom konštatuje, že zdravotný stav dotknutej fyzickej osoby je chronický s trvalým poškodením, miera funkčnej poruchy je definitívna a od ďalšej liečby nemožno očakávať zlepšenie. V takýchto prípadoch sa v parkovacom preukaze zároveň nebude uvádzať termín opätovného posúdenia zdravotného stavu. </w:t>
      </w:r>
      <w:r w:rsidRPr="00241E27">
        <w:rPr>
          <w:rFonts w:ascii="Book Antiqua" w:hAnsi="Book Antiqua"/>
          <w:b/>
          <w:sz w:val="22"/>
          <w:szCs w:val="22"/>
        </w:rPr>
        <w:t>Tým sa celý proces priznávania a prehodnocovania benefitov v zmysle zákona o kompenzáciách zjednoduší, zhospodárni a odstráni sa duplicita lekárskych nálezov</w:t>
      </w:r>
      <w:r w:rsidRPr="00241E27">
        <w:rPr>
          <w:rFonts w:ascii="Book Antiqua" w:hAnsi="Book Antiqua"/>
          <w:sz w:val="22"/>
          <w:szCs w:val="22"/>
        </w:rPr>
        <w:t xml:space="preserve"> (ak je zdravotný hendikep trvalý, nový lekársky nález by to len potvrdil). </w:t>
      </w:r>
    </w:p>
    <w:p w:rsidR="004E7EC6" w:rsidRPr="00241E27" w:rsidP="00241E27">
      <w:pPr>
        <w:bidi w:val="0"/>
        <w:spacing w:before="120" w:line="276" w:lineRule="auto"/>
        <w:jc w:val="both"/>
        <w:rPr>
          <w:rFonts w:ascii="Book Antiqua" w:hAnsi="Book Antiqua"/>
          <w:sz w:val="22"/>
          <w:szCs w:val="22"/>
        </w:rPr>
      </w:pPr>
      <w:r w:rsidRPr="00241E27">
        <w:rPr>
          <w:rFonts w:ascii="Book Antiqua" w:hAnsi="Book Antiqua"/>
          <w:sz w:val="22"/>
          <w:szCs w:val="22"/>
        </w:rPr>
        <w:tab/>
        <w:t xml:space="preserve">Platné výnimky zostávajú zachované, napr. </w:t>
      </w:r>
      <w:r w:rsidRPr="00241E27">
        <w:rPr>
          <w:rFonts w:ascii="Book Antiqua" w:hAnsi="Book Antiqua"/>
          <w:b/>
          <w:sz w:val="22"/>
          <w:szCs w:val="22"/>
        </w:rPr>
        <w:t>možnosť predvolania fyzickej osoby na posúdenie jej zdravotného stavu, ak má posudkový lekár pochybnosti</w:t>
      </w:r>
      <w:r w:rsidRPr="00241E27">
        <w:rPr>
          <w:rFonts w:ascii="Book Antiqua" w:hAnsi="Book Antiqua"/>
          <w:sz w:val="22"/>
          <w:szCs w:val="22"/>
        </w:rPr>
        <w:t xml:space="preserve"> o správnosti diagnostického záveru vyplývajúceho z lekárskeho nálezu alebo je potrebné overiť objektívnosť alebo úplnosť diagnostického záveru, alebo ak samotná fyzická osoba predloží novú zdravotnú dokumentáciu, ktorú starší lekársky nález nezohľadňuje. </w:t>
      </w:r>
    </w:p>
    <w:p w:rsidR="004E7EC6" w:rsidRPr="00DA7A66" w:rsidP="00241E27">
      <w:pPr>
        <w:pStyle w:val="NormalWeb"/>
        <w:bidi w:val="0"/>
        <w:spacing w:before="120" w:after="0" w:line="276" w:lineRule="auto"/>
        <w:jc w:val="both"/>
        <w:rPr>
          <w:rFonts w:ascii="Book Antiqua" w:hAnsi="Book Antiqua"/>
          <w:sz w:val="22"/>
          <w:szCs w:val="22"/>
        </w:rPr>
      </w:pPr>
      <w:r w:rsidRPr="00DA7A66">
        <w:rPr>
          <w:rFonts w:ascii="Book Antiqua" w:hAnsi="Book Antiqua"/>
          <w:sz w:val="22"/>
          <w:szCs w:val="22"/>
          <w:u w:val="single"/>
        </w:rPr>
        <w:t>K bodu 3</w:t>
      </w:r>
    </w:p>
    <w:p w:rsidR="004E7EC6" w:rsidRPr="00B71FBF" w:rsidP="00241E27">
      <w:pPr>
        <w:bidi w:val="0"/>
        <w:spacing w:before="120" w:line="276" w:lineRule="auto"/>
        <w:jc w:val="both"/>
        <w:rPr>
          <w:rFonts w:ascii="Book Antiqua" w:hAnsi="Book Antiqua"/>
          <w:sz w:val="22"/>
          <w:szCs w:val="22"/>
        </w:rPr>
      </w:pPr>
      <w:r w:rsidRPr="00241E27">
        <w:rPr>
          <w:rFonts w:ascii="Book Antiqua" w:hAnsi="Book Antiqua"/>
          <w:sz w:val="22"/>
          <w:szCs w:val="22"/>
        </w:rPr>
        <w:tab/>
      </w:r>
      <w:r w:rsidRPr="00B71FBF">
        <w:rPr>
          <w:rFonts w:ascii="Book Antiqua" w:hAnsi="Book Antiqua"/>
          <w:b/>
          <w:sz w:val="22"/>
          <w:szCs w:val="22"/>
        </w:rPr>
        <w:t>V prechodných ustanoveniach sa zakotvuje povinnosť novo navrhnuté postupy aplikovať v už začatých avšak právoplatne neskončených konaniach vo veciach kompenzácií, opatrovania, preukazov alebo parkovacích preukazov. Ide o tzv. nepravú retroaktivitu.</w:t>
      </w:r>
      <w:r w:rsidRPr="00B71FBF">
        <w:rPr>
          <w:rFonts w:ascii="Book Antiqua" w:hAnsi="Book Antiqua"/>
          <w:sz w:val="22"/>
          <w:szCs w:val="22"/>
          <w:lang w:eastAsia="en-US"/>
        </w:rPr>
        <w:t xml:space="preserve"> Pojem </w:t>
      </w:r>
      <w:r w:rsidRPr="00B71FBF">
        <w:rPr>
          <w:rFonts w:ascii="Book Antiqua" w:hAnsi="Book Antiqua"/>
          <w:i/>
          <w:sz w:val="22"/>
          <w:szCs w:val="22"/>
        </w:rPr>
        <w:t>„nepravá retroaktivita“</w:t>
      </w:r>
      <w:r w:rsidRPr="00B71FBF">
        <w:rPr>
          <w:rFonts w:ascii="Book Antiqua" w:hAnsi="Book Antiqua"/>
          <w:sz w:val="22"/>
          <w:szCs w:val="22"/>
        </w:rPr>
        <w:t xml:space="preserve"> </w:t>
      </w:r>
      <w:r w:rsidRPr="00B71FBF">
        <w:rPr>
          <w:rFonts w:ascii="Book Antiqua" w:hAnsi="Book Antiqua"/>
          <w:sz w:val="22"/>
          <w:szCs w:val="22"/>
          <w:lang w:eastAsia="en-US"/>
        </w:rPr>
        <w:t xml:space="preserve">používa aj Ústavný súd Slovenskej republiky a vysvetľuje ho napr. nasledovne: </w:t>
      </w:r>
      <w:r w:rsidRPr="00B71FBF">
        <w:rPr>
          <w:rFonts w:ascii="Book Antiqua" w:hAnsi="Book Antiqua"/>
          <w:i/>
          <w:sz w:val="22"/>
          <w:szCs w:val="22"/>
          <w:lang w:eastAsia="en-US"/>
        </w:rPr>
        <w:t>„</w:t>
      </w:r>
      <w:r w:rsidRPr="00B71FBF">
        <w:rPr>
          <w:rFonts w:ascii="Book Antiqua" w:hAnsi="Book Antiqua"/>
          <w:i/>
          <w:sz w:val="22"/>
          <w:szCs w:val="22"/>
          <w:lang w:val="cs-CZ"/>
        </w:rPr>
        <w:t xml:space="preserve">[…] </w:t>
      </w:r>
      <w:r w:rsidRPr="00B71FBF">
        <w:rPr>
          <w:rFonts w:ascii="Book Antiqua" w:hAnsi="Book Antiqua"/>
          <w:i/>
          <w:sz w:val="22"/>
          <w:szCs w:val="22"/>
          <w:lang w:eastAsia="en-US"/>
        </w:rPr>
        <w:t>zákon právne kvalifikuje tie právne úkony, ku ktorým došlo ešte pred  nadobudnutím jeho účinnosti, v dôsledku čoho však môže dôjsť k zmene alebo zrušeniu tých  právnych účinkov, ktoré boli predtým späté s ich uzavretím“</w:t>
      </w:r>
      <w:r w:rsidRPr="00B71FBF">
        <w:rPr>
          <w:rFonts w:ascii="Book Antiqua" w:hAnsi="Book Antiqua"/>
          <w:b/>
          <w:i/>
          <w:sz w:val="22"/>
          <w:szCs w:val="22"/>
          <w:lang w:eastAsia="en-US"/>
        </w:rPr>
        <w:t xml:space="preserve"> </w:t>
      </w:r>
      <w:r w:rsidRPr="00B71FBF">
        <w:rPr>
          <w:rFonts w:ascii="Book Antiqua" w:hAnsi="Book Antiqua"/>
          <w:sz w:val="22"/>
          <w:szCs w:val="22"/>
          <w:lang w:eastAsia="en-US"/>
        </w:rPr>
        <w:t>(nález Ústavného súdu SR sp. zn. PL. ÚS 38/99 zo dňa 23. júna 1999).</w:t>
      </w:r>
    </w:p>
    <w:p w:rsidR="004E7EC6" w:rsidRPr="00B71FBF" w:rsidP="00DA7A66">
      <w:pPr>
        <w:pStyle w:val="Norme1lnywebovfd"/>
        <w:bidi w:val="0"/>
        <w:spacing w:before="120" w:after="0" w:line="276" w:lineRule="auto"/>
        <w:jc w:val="both"/>
        <w:rPr>
          <w:rFonts w:ascii="Book Antiqua" w:hAnsi="Book Antiqua"/>
          <w:sz w:val="22"/>
          <w:szCs w:val="22"/>
        </w:rPr>
      </w:pPr>
      <w:r w:rsidRPr="00B71FBF">
        <w:rPr>
          <w:rFonts w:ascii="Book Antiqua" w:hAnsi="Book Antiqua"/>
          <w:sz w:val="22"/>
          <w:szCs w:val="22"/>
          <w:lang w:eastAsia="en-US"/>
        </w:rPr>
        <w:tab/>
      </w:r>
      <w:r w:rsidRPr="00B71FBF">
        <w:rPr>
          <w:rFonts w:ascii="Book Antiqua" w:hAnsi="Book Antiqua"/>
          <w:b/>
          <w:sz w:val="22"/>
          <w:szCs w:val="22"/>
          <w:lang w:eastAsia="en-US"/>
        </w:rPr>
        <w:t xml:space="preserve">V tejto súvislosti je dôležité aj uznesenie </w:t>
      </w:r>
      <w:r w:rsidRPr="00B71FBF">
        <w:rPr>
          <w:rFonts w:ascii="Book Antiqua" w:hAnsi="Book Antiqua"/>
          <w:b/>
          <w:i/>
          <w:sz w:val="22"/>
          <w:szCs w:val="22"/>
          <w:lang w:eastAsia="en-US"/>
        </w:rPr>
        <w:t xml:space="preserve">Najvyššieho súdu Slovenskej republiky sp. zn. 4 Cdo 98/2010 zo dňa z 29. júna 2010, podľa ktorého: „Nie každá retroaktivita je </w:t>
      </w:r>
      <w:r w:rsidRPr="00B71FBF">
        <w:rPr>
          <w:rFonts w:ascii="Book Antiqua" w:hAnsi="Book Antiqua"/>
          <w:i/>
          <w:sz w:val="22"/>
          <w:szCs w:val="22"/>
          <w:lang w:val="cs-CZ"/>
        </w:rPr>
        <w:t>[…]</w:t>
      </w:r>
      <w:r w:rsidRPr="00B71FBF">
        <w:rPr>
          <w:rFonts w:ascii="Book Antiqua" w:hAnsi="Book Antiqua"/>
          <w:b/>
          <w:i/>
          <w:sz w:val="22"/>
          <w:szCs w:val="22"/>
          <w:lang w:eastAsia="en-US"/>
        </w:rPr>
        <w:t xml:space="preserve"> nezlučiteľná s princípmi, na ktorých je budovaný právny štát. V teórii a praxi sa rozlišuje tzv. pravá a nepravá spätná účinnosť (retroaktivita) právnych predpisov. Význam tohto rozlišovania je založený na skutočnosti, že pokiaľ sa pravá retroaktivita v zásade odmieta ako nezlučiteľná s obsahom princípu štátu, nepravá retroaktivita sa akceptuje ako prípustný nástroj na dosiahnutie ustanovených a dostatočne významných cieľov verejnej moci.</w:t>
      </w:r>
      <w:r w:rsidRPr="00B71FBF">
        <w:rPr>
          <w:rFonts w:ascii="Book Antiqua" w:hAnsi="Book Antiqua"/>
          <w:b/>
          <w:sz w:val="22"/>
          <w:szCs w:val="22"/>
          <w:lang w:eastAsia="en-US"/>
        </w:rPr>
        <w:t xml:space="preserve"> </w:t>
      </w:r>
      <w:r w:rsidRPr="00B71FBF">
        <w:rPr>
          <w:rFonts w:ascii="Book Antiqua" w:hAnsi="Book Antiqua"/>
          <w:i/>
          <w:sz w:val="22"/>
          <w:szCs w:val="22"/>
          <w:lang w:val="cs-CZ"/>
        </w:rPr>
        <w:t xml:space="preserve">[…] </w:t>
      </w:r>
      <w:r w:rsidRPr="00B71FBF">
        <w:rPr>
          <w:rFonts w:ascii="Book Antiqua" w:hAnsi="Book Antiqua"/>
          <w:b/>
          <w:i/>
          <w:sz w:val="22"/>
          <w:szCs w:val="22"/>
          <w:lang w:eastAsia="en-US"/>
        </w:rPr>
        <w:t>O pravú retroaktivitu ide napr. vtedy, keď neskorší právny predpis so spätnou účinnosťou (s dopadom do minulosti) upravuje vzťahy, ktoré vznikli v minulosti. V dôsledku toho nastáva stav, v rámci ktorého účinnosť neskoršieho právneho predpisu nastáva skôr ako jeho platnosť (skôr, než začal existovať).</w:t>
      </w:r>
      <w:r w:rsidRPr="00B71FBF">
        <w:rPr>
          <w:rFonts w:ascii="Book Antiqua" w:hAnsi="Book Antiqua"/>
          <w:b/>
          <w:sz w:val="22"/>
          <w:szCs w:val="22"/>
          <w:lang w:eastAsia="en-US"/>
        </w:rPr>
        <w:t xml:space="preserve"> </w:t>
      </w:r>
      <w:r w:rsidRPr="00B71FBF">
        <w:rPr>
          <w:rFonts w:ascii="Book Antiqua" w:hAnsi="Book Antiqua"/>
          <w:b/>
          <w:i/>
          <w:sz w:val="22"/>
          <w:szCs w:val="22"/>
          <w:lang w:eastAsia="en-US"/>
        </w:rPr>
        <w:t xml:space="preserve">Pri nepravej retroaktivite zákonodarca uznáva právne skutočnosti, na základe ktorých podľa predchádzajúcej právnej normy došlo k vzniku určitých právnych vzťahov. O nepravú retroaktivitu môže ísť napriek tomu, že zákonodarca </w:t>
      </w:r>
      <w:r w:rsidRPr="00B71FBF">
        <w:rPr>
          <w:rFonts w:ascii="Book Antiqua" w:hAnsi="Book Antiqua"/>
          <w:i/>
          <w:sz w:val="22"/>
          <w:szCs w:val="22"/>
          <w:lang w:val="cs-CZ"/>
        </w:rPr>
        <w:t>[…]</w:t>
      </w:r>
      <w:r w:rsidRPr="00B71FBF">
        <w:rPr>
          <w:rFonts w:ascii="Book Antiqua" w:hAnsi="Book Antiqua"/>
          <w:b/>
          <w:i/>
          <w:sz w:val="22"/>
          <w:szCs w:val="22"/>
          <w:lang w:eastAsia="en-US"/>
        </w:rPr>
        <w:t xml:space="preserve"> novým právnym predpisom zároveň s účinnosťou do budúcna prinesie určité zmeny aj tých práv (alebo povinností), ktoré vznikli za platnosti skoršieho zákona. Nepravá retroaktivita teda nebráni zákonodarcovi novou právnou úpravou vstúpiť aj do tých právnych vzťahov, ktoré vznikli na základe skôr prijatej právnej normy a meniť ich režim. </w:t>
      </w:r>
      <w:r w:rsidRPr="00B71FBF">
        <w:rPr>
          <w:rFonts w:ascii="Book Antiqua" w:hAnsi="Book Antiqua"/>
          <w:i/>
          <w:sz w:val="22"/>
          <w:szCs w:val="22"/>
          <w:lang w:val="cs-CZ"/>
        </w:rPr>
        <w:t xml:space="preserve">[…] </w:t>
      </w:r>
      <w:r w:rsidRPr="00B71FBF">
        <w:rPr>
          <w:rFonts w:ascii="Book Antiqua" w:hAnsi="Book Antiqua"/>
          <w:b/>
          <w:i/>
          <w:sz w:val="22"/>
          <w:szCs w:val="22"/>
          <w:lang w:eastAsia="en-US"/>
        </w:rPr>
        <w:t>V konečnom dôsledku nepôsobí nepravá retroaktivita do minulosti.“.</w:t>
      </w:r>
    </w:p>
    <w:p w:rsidR="004E7EC6" w:rsidRPr="00241E27" w:rsidP="00241E27">
      <w:pPr>
        <w:bidi w:val="0"/>
        <w:spacing w:before="120" w:line="276" w:lineRule="auto"/>
        <w:jc w:val="both"/>
        <w:rPr>
          <w:rFonts w:ascii="Book Antiqua" w:hAnsi="Book Antiqua"/>
          <w:sz w:val="22"/>
          <w:szCs w:val="22"/>
        </w:rPr>
      </w:pPr>
      <w:r w:rsidRPr="00B71FBF">
        <w:rPr>
          <w:rFonts w:ascii="Book Antiqua" w:hAnsi="Book Antiqua"/>
          <w:sz w:val="22"/>
          <w:szCs w:val="22"/>
        </w:rPr>
        <w:tab/>
        <w:t>Prechodné ustanovenia zároveň zavádzajú možnosť opakovaného posúdenia správnosti odňatia parkovacieho preukazu. Opätovné posúdenie sa vykoná len na žiadosť osoby, ktorej bol odňatý parkovací preukaz, a to spôsobom a v lehotách vzťahujúcich sa na konanie o parkovacom preukaze.</w:t>
      </w:r>
      <w:r w:rsidRPr="00241E27">
        <w:rPr>
          <w:rFonts w:ascii="Book Antiqua" w:hAnsi="Book Antiqua"/>
          <w:sz w:val="22"/>
          <w:szCs w:val="22"/>
        </w:rPr>
        <w:t xml:space="preserve"> </w:t>
      </w:r>
    </w:p>
    <w:p w:rsidR="004E7EC6" w:rsidRPr="00241E27" w:rsidP="00241E27">
      <w:pPr>
        <w:bidi w:val="0"/>
        <w:spacing w:before="120" w:line="276" w:lineRule="auto"/>
        <w:jc w:val="both"/>
        <w:rPr>
          <w:rFonts w:ascii="Book Antiqua" w:hAnsi="Book Antiqua"/>
          <w:sz w:val="22"/>
          <w:szCs w:val="22"/>
        </w:rPr>
      </w:pPr>
    </w:p>
    <w:p w:rsidR="004E7EC6" w:rsidRPr="00241E27" w:rsidP="00241E27">
      <w:pPr>
        <w:pStyle w:val="NormalWeb"/>
        <w:bidi w:val="0"/>
        <w:spacing w:before="120" w:after="0" w:line="276" w:lineRule="auto"/>
        <w:jc w:val="both"/>
        <w:rPr>
          <w:rFonts w:ascii="Book Antiqua" w:hAnsi="Book Antiqua"/>
          <w:sz w:val="22"/>
          <w:szCs w:val="22"/>
        </w:rPr>
      </w:pPr>
      <w:r w:rsidRPr="00241E27">
        <w:rPr>
          <w:rFonts w:ascii="Book Antiqua" w:hAnsi="Book Antiqua"/>
          <w:b/>
          <w:sz w:val="22"/>
          <w:szCs w:val="22"/>
        </w:rPr>
        <w:t>K Čl. II</w:t>
      </w:r>
    </w:p>
    <w:p w:rsidR="004E7EC6" w:rsidRPr="00DA7A66" w:rsidP="00241E27">
      <w:pPr>
        <w:pStyle w:val="NormalWeb"/>
        <w:bidi w:val="0"/>
        <w:spacing w:before="120" w:after="0" w:line="276" w:lineRule="auto"/>
        <w:ind w:firstLine="708"/>
        <w:jc w:val="both"/>
        <w:rPr>
          <w:rFonts w:ascii="Book Antiqua" w:hAnsi="Book Antiqua"/>
          <w:sz w:val="22"/>
          <w:szCs w:val="22"/>
        </w:rPr>
      </w:pPr>
      <w:r w:rsidRPr="00DA7A66">
        <w:rPr>
          <w:rFonts w:ascii="Book Antiqua" w:hAnsi="Book Antiqua"/>
          <w:sz w:val="22"/>
          <w:szCs w:val="22"/>
        </w:rPr>
        <w:t>Navrhuje sa účinnosť predkladaného zákona so zohľadnením legisvakančnej lehoty, a to od 1. marca 2018.</w:t>
      </w:r>
    </w:p>
    <w:p w:rsidR="004E7EC6" w:rsidRPr="00241E27" w:rsidP="00241E27">
      <w:pPr>
        <w:pStyle w:val="NormalWeb"/>
        <w:bidi w:val="0"/>
        <w:spacing w:before="120" w:after="0" w:line="276" w:lineRule="auto"/>
        <w:jc w:val="center"/>
        <w:rPr>
          <w:rFonts w:ascii="Book Antiqua" w:hAnsi="Book Antiqua"/>
          <w:b/>
          <w:caps/>
          <w:spacing w:val="30"/>
          <w:sz w:val="22"/>
          <w:szCs w:val="22"/>
        </w:rPr>
      </w:pPr>
    </w:p>
    <w:p w:rsidR="004E7EC6" w:rsidRPr="00241E27" w:rsidP="00241E27">
      <w:pPr>
        <w:pStyle w:val="NormalWeb"/>
        <w:bidi w:val="0"/>
        <w:spacing w:before="120" w:after="0" w:line="276" w:lineRule="auto"/>
        <w:jc w:val="center"/>
        <w:rPr>
          <w:rFonts w:ascii="Book Antiqua" w:hAnsi="Book Antiqua"/>
          <w:b/>
          <w:caps/>
          <w:spacing w:val="30"/>
          <w:sz w:val="22"/>
          <w:szCs w:val="22"/>
        </w:rPr>
      </w:pPr>
    </w:p>
    <w:p w:rsidR="004E7EC6" w:rsidRPr="00241E27" w:rsidP="00241E27">
      <w:pPr>
        <w:pStyle w:val="NormalWeb"/>
        <w:bidi w:val="0"/>
        <w:spacing w:before="120" w:after="0" w:line="276" w:lineRule="auto"/>
        <w:jc w:val="center"/>
        <w:rPr>
          <w:rFonts w:ascii="Book Antiqua" w:hAnsi="Book Antiqua"/>
          <w:b/>
          <w:caps/>
          <w:spacing w:val="30"/>
          <w:sz w:val="22"/>
          <w:szCs w:val="22"/>
        </w:rPr>
      </w:pPr>
    </w:p>
    <w:p w:rsidR="004E7EC6" w:rsidRPr="00241E27" w:rsidP="00241E27">
      <w:pPr>
        <w:pStyle w:val="NormalWeb"/>
        <w:bidi w:val="0"/>
        <w:spacing w:before="120" w:after="0" w:line="276" w:lineRule="auto"/>
        <w:rPr>
          <w:rFonts w:ascii="Book Antiqua" w:hAnsi="Book Antiqua"/>
          <w:b/>
          <w:caps/>
          <w:spacing w:val="30"/>
          <w:sz w:val="22"/>
          <w:szCs w:val="22"/>
        </w:rPr>
      </w:pPr>
    </w:p>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b/>
          <w:caps/>
          <w:spacing w:val="30"/>
          <w:sz w:val="22"/>
          <w:szCs w:val="22"/>
        </w:rPr>
        <w:t>DOLOŽKA ZLUČITEĽNOSTI</w:t>
      </w:r>
    </w:p>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b/>
          <w:sz w:val="22"/>
          <w:szCs w:val="22"/>
        </w:rPr>
        <w:t>návrhu zákona s právom Európskej únie</w:t>
      </w:r>
    </w:p>
    <w:p w:rsidR="004E7EC6" w:rsidRPr="00241E27" w:rsidP="00241E27">
      <w:pPr>
        <w:pStyle w:val="NormalWeb"/>
        <w:bidi w:val="0"/>
        <w:spacing w:before="120" w:after="0" w:line="276" w:lineRule="auto"/>
        <w:jc w:val="both"/>
        <w:rPr>
          <w:rFonts w:ascii="Book Antiqua" w:hAnsi="Book Antiqua"/>
          <w:sz w:val="22"/>
          <w:szCs w:val="22"/>
        </w:rPr>
      </w:pPr>
      <w:r w:rsidRPr="00241E27">
        <w:rPr>
          <w:rFonts w:ascii="Book Antiqua" w:hAnsi="Book Antiqua"/>
          <w:sz w:val="22"/>
          <w:szCs w:val="22"/>
        </w:rPr>
        <w:t> </w:t>
      </w:r>
    </w:p>
    <w:p w:rsidR="004E7EC6" w:rsidRPr="00241E27" w:rsidP="00DA7A66">
      <w:pPr>
        <w:pStyle w:val="NormalWeb"/>
        <w:numPr>
          <w:numId w:val="1"/>
        </w:numPr>
        <w:bidi w:val="0"/>
        <w:spacing w:before="120" w:after="0" w:line="276" w:lineRule="auto"/>
        <w:ind w:left="426" w:hanging="426"/>
        <w:jc w:val="both"/>
        <w:rPr>
          <w:rFonts w:ascii="Book Antiqua" w:hAnsi="Book Antiqua"/>
          <w:sz w:val="22"/>
          <w:szCs w:val="22"/>
        </w:rPr>
      </w:pPr>
      <w:r w:rsidRPr="00241E27">
        <w:rPr>
          <w:rFonts w:ascii="Book Antiqua" w:hAnsi="Book Antiqua"/>
          <w:b/>
          <w:sz w:val="22"/>
          <w:szCs w:val="22"/>
        </w:rPr>
        <w:t>Navrhovateľ zákona:</w:t>
      </w:r>
      <w:r w:rsidR="00A93EBE">
        <w:rPr>
          <w:rFonts w:ascii="Book Antiqua" w:hAnsi="Book Antiqua"/>
          <w:sz w:val="22"/>
          <w:szCs w:val="22"/>
        </w:rPr>
        <w:t xml:space="preserve"> skupina poslancov</w:t>
      </w:r>
      <w:r w:rsidRPr="00241E27">
        <w:rPr>
          <w:rFonts w:ascii="Book Antiqua" w:hAnsi="Book Antiqua"/>
          <w:sz w:val="22"/>
          <w:szCs w:val="22"/>
        </w:rPr>
        <w:t xml:space="preserve"> Národnej rady Slo</w:t>
      </w:r>
      <w:r w:rsidR="00A93EBE">
        <w:rPr>
          <w:rFonts w:ascii="Book Antiqua" w:hAnsi="Book Antiqua"/>
          <w:sz w:val="22"/>
          <w:szCs w:val="22"/>
        </w:rPr>
        <w:t>venskej republiky</w:t>
      </w:r>
    </w:p>
    <w:p w:rsidR="004E7EC6" w:rsidRPr="00241E27" w:rsidP="00241E27">
      <w:pPr>
        <w:pStyle w:val="NormalWeb"/>
        <w:bidi w:val="0"/>
        <w:spacing w:before="120" w:after="0" w:line="276" w:lineRule="auto"/>
        <w:jc w:val="both"/>
        <w:rPr>
          <w:rFonts w:ascii="Book Antiqua" w:hAnsi="Book Antiqua"/>
          <w:sz w:val="22"/>
          <w:szCs w:val="22"/>
        </w:rPr>
      </w:pPr>
      <w:r w:rsidRPr="00241E27">
        <w:rPr>
          <w:rFonts w:ascii="Book Antiqua" w:hAnsi="Book Antiqua"/>
          <w:sz w:val="22"/>
          <w:szCs w:val="22"/>
        </w:rPr>
        <w:t> </w:t>
      </w:r>
    </w:p>
    <w:p w:rsidR="004E7EC6" w:rsidRPr="00241E27" w:rsidP="00DA7A66">
      <w:pPr>
        <w:pStyle w:val="NormalWeb"/>
        <w:numPr>
          <w:numId w:val="1"/>
        </w:numPr>
        <w:bidi w:val="0"/>
        <w:spacing w:before="120" w:after="0" w:line="276" w:lineRule="auto"/>
        <w:ind w:left="426" w:hanging="426"/>
        <w:jc w:val="both"/>
        <w:rPr>
          <w:rFonts w:ascii="Book Antiqua" w:hAnsi="Book Antiqua"/>
          <w:sz w:val="22"/>
          <w:szCs w:val="22"/>
        </w:rPr>
      </w:pPr>
      <w:r w:rsidRPr="00241E27">
        <w:rPr>
          <w:rFonts w:ascii="Book Antiqua" w:hAnsi="Book Antiqua"/>
          <w:b/>
          <w:sz w:val="22"/>
          <w:szCs w:val="22"/>
        </w:rPr>
        <w:t xml:space="preserve">Názov návrhu zákona: </w:t>
      </w:r>
      <w:r w:rsidRPr="00DA7A66">
        <w:rPr>
          <w:rFonts w:ascii="Book Antiqua" w:hAnsi="Book Antiqua"/>
          <w:sz w:val="22"/>
          <w:szCs w:val="22"/>
        </w:rPr>
        <w:t>návrh zákona, ktorým sa mení a dopĺňa zákon č. 447/2008 Z. z. o peňažných príspevkoch na kompenzáciu ťažkého zdravotného postihnutia a o zmene a doplnení niektorých zákonov v znení neskorších predpisov</w:t>
      </w:r>
    </w:p>
    <w:p w:rsidR="004E7EC6" w:rsidRPr="00241E27" w:rsidP="00241E27">
      <w:pPr>
        <w:pStyle w:val="NormalWeb"/>
        <w:bidi w:val="0"/>
        <w:spacing w:before="120" w:after="0" w:line="276" w:lineRule="auto"/>
        <w:jc w:val="both"/>
        <w:rPr>
          <w:rFonts w:ascii="Book Antiqua" w:hAnsi="Book Antiqua"/>
          <w:b/>
          <w:sz w:val="22"/>
          <w:szCs w:val="22"/>
        </w:rPr>
      </w:pPr>
    </w:p>
    <w:p w:rsidR="004E7EC6" w:rsidRPr="00241E27" w:rsidP="00DA7A66">
      <w:pPr>
        <w:pStyle w:val="NormalWeb"/>
        <w:bidi w:val="0"/>
        <w:spacing w:before="120" w:after="0" w:line="276" w:lineRule="auto"/>
        <w:ind w:left="426" w:hanging="426"/>
        <w:jc w:val="both"/>
        <w:rPr>
          <w:rFonts w:ascii="Book Antiqua" w:hAnsi="Book Antiqua"/>
          <w:sz w:val="22"/>
          <w:szCs w:val="22"/>
        </w:rPr>
      </w:pPr>
      <w:r w:rsidRPr="00241E27">
        <w:rPr>
          <w:rFonts w:ascii="Book Antiqua" w:hAnsi="Book Antiqua"/>
          <w:b/>
          <w:sz w:val="22"/>
          <w:szCs w:val="22"/>
        </w:rPr>
        <w:t>3. </w:t>
      </w:r>
      <w:r w:rsidR="00DA7A66">
        <w:rPr>
          <w:rFonts w:ascii="Book Antiqua" w:hAnsi="Book Antiqua"/>
          <w:b/>
          <w:sz w:val="22"/>
          <w:szCs w:val="22"/>
        </w:rPr>
        <w:tab/>
      </w:r>
      <w:r w:rsidRPr="00241E27">
        <w:rPr>
          <w:rFonts w:ascii="Book Antiqua" w:hAnsi="Book Antiqua"/>
          <w:b/>
          <w:sz w:val="22"/>
          <w:szCs w:val="22"/>
        </w:rPr>
        <w:t>Predmet návrhu zákona:</w:t>
      </w:r>
    </w:p>
    <w:p w:rsidR="004E7EC6" w:rsidRPr="00DA7A66" w:rsidP="00DA7A66">
      <w:pPr>
        <w:pStyle w:val="NormalWeb"/>
        <w:numPr>
          <w:numId w:val="2"/>
        </w:numPr>
        <w:bidi w:val="0"/>
        <w:spacing w:before="120" w:after="0" w:line="276" w:lineRule="auto"/>
        <w:ind w:hanging="294"/>
        <w:jc w:val="both"/>
        <w:rPr>
          <w:rFonts w:ascii="Book Antiqua" w:hAnsi="Book Antiqua"/>
          <w:sz w:val="22"/>
          <w:szCs w:val="22"/>
        </w:rPr>
      </w:pPr>
      <w:r w:rsidRPr="00DA7A66">
        <w:rPr>
          <w:rFonts w:ascii="Book Antiqua" w:hAnsi="Book Antiqua"/>
          <w:sz w:val="22"/>
          <w:szCs w:val="22"/>
        </w:rPr>
        <w:t>je upravený v primárnom práve Európskej únie, a to v:</w:t>
      </w:r>
    </w:p>
    <w:p w:rsidR="004E7EC6" w:rsidRPr="00DA7A66" w:rsidP="00DA7A66">
      <w:pPr>
        <w:pStyle w:val="NormalWeb"/>
        <w:numPr>
          <w:numId w:val="3"/>
        </w:numPr>
        <w:bidi w:val="0"/>
        <w:spacing w:before="120" w:after="0" w:line="276" w:lineRule="auto"/>
        <w:ind w:left="1080" w:hanging="294"/>
        <w:jc w:val="both"/>
        <w:rPr>
          <w:rFonts w:ascii="Book Antiqua" w:hAnsi="Book Antiqua"/>
          <w:sz w:val="22"/>
          <w:szCs w:val="22"/>
        </w:rPr>
      </w:pPr>
      <w:r w:rsidRPr="00DA7A66">
        <w:rPr>
          <w:rFonts w:ascii="Book Antiqua" w:hAnsi="Book Antiqua"/>
          <w:sz w:val="22"/>
          <w:szCs w:val="22"/>
        </w:rPr>
        <w:t>čl. 151 a 153 Zmluvy o fungovaní Európskej únie, ktoré zabezpečujú primeranú sociálnu ochranu,</w:t>
      </w:r>
    </w:p>
    <w:p w:rsidR="004E7EC6" w:rsidRPr="00DA7A66" w:rsidP="00DA7A66">
      <w:pPr>
        <w:pStyle w:val="NormalWeb"/>
        <w:numPr>
          <w:numId w:val="2"/>
        </w:numPr>
        <w:bidi w:val="0"/>
        <w:spacing w:before="120" w:after="0" w:line="276" w:lineRule="auto"/>
        <w:ind w:hanging="294"/>
        <w:jc w:val="both"/>
        <w:rPr>
          <w:rFonts w:ascii="Book Antiqua" w:hAnsi="Book Antiqua"/>
          <w:sz w:val="22"/>
          <w:szCs w:val="22"/>
        </w:rPr>
      </w:pPr>
      <w:r w:rsidRPr="00DA7A66">
        <w:rPr>
          <w:rFonts w:ascii="Book Antiqua" w:hAnsi="Book Antiqua"/>
          <w:sz w:val="22"/>
          <w:szCs w:val="22"/>
        </w:rPr>
        <w:t>nie je upravený v sekundárnom práve Európskej únie,</w:t>
      </w:r>
    </w:p>
    <w:p w:rsidR="004E7EC6" w:rsidRPr="00241E27" w:rsidP="00DA7A66">
      <w:pPr>
        <w:pStyle w:val="NormalWeb"/>
        <w:numPr>
          <w:numId w:val="2"/>
        </w:numPr>
        <w:bidi w:val="0"/>
        <w:spacing w:before="120" w:after="0" w:line="276" w:lineRule="auto"/>
        <w:ind w:hanging="294"/>
        <w:jc w:val="both"/>
        <w:rPr>
          <w:rFonts w:ascii="Book Antiqua" w:hAnsi="Book Antiqua"/>
          <w:sz w:val="22"/>
          <w:szCs w:val="22"/>
        </w:rPr>
      </w:pPr>
      <w:r w:rsidRPr="00DA7A66">
        <w:rPr>
          <w:rFonts w:ascii="Book Antiqua" w:hAnsi="Book Antiqua"/>
          <w:sz w:val="22"/>
          <w:szCs w:val="22"/>
        </w:rPr>
        <w:t>nie je obsiahnutý v judikatúre Súdneho dvora Európskej únie. </w:t>
      </w:r>
    </w:p>
    <w:p w:rsidR="004E7EC6" w:rsidRPr="00241E27" w:rsidP="00241E27">
      <w:pPr>
        <w:pStyle w:val="NormalWeb"/>
        <w:bidi w:val="0"/>
        <w:spacing w:before="120" w:after="0" w:line="276" w:lineRule="auto"/>
        <w:jc w:val="both"/>
        <w:rPr>
          <w:rFonts w:ascii="Book Antiqua" w:hAnsi="Book Antiqua"/>
          <w:b/>
          <w:sz w:val="22"/>
          <w:szCs w:val="22"/>
        </w:rPr>
      </w:pPr>
    </w:p>
    <w:p w:rsidR="004E7EC6" w:rsidRPr="00241E27" w:rsidP="00241E27">
      <w:pPr>
        <w:pStyle w:val="NormalWeb"/>
        <w:bidi w:val="0"/>
        <w:spacing w:before="120" w:after="0" w:line="276" w:lineRule="auto"/>
        <w:jc w:val="both"/>
        <w:rPr>
          <w:rFonts w:ascii="Book Antiqua" w:hAnsi="Book Antiqua"/>
          <w:sz w:val="22"/>
          <w:szCs w:val="22"/>
        </w:rPr>
      </w:pPr>
      <w:r w:rsidRPr="00241E27">
        <w:rPr>
          <w:rFonts w:ascii="Book Antiqua" w:hAnsi="Book Antiqua"/>
          <w:b/>
          <w:sz w:val="22"/>
          <w:szCs w:val="22"/>
        </w:rPr>
        <w:t>Vzhľadom na to, že predmet návrhu zákona nie je upravený v práve Európskej únie, je bezpredmetné vyjadrovať sa k bodom 4. a 5.</w:t>
      </w:r>
    </w:p>
    <w:p w:rsidR="004E7EC6" w:rsidRPr="00241E27" w:rsidP="00241E27">
      <w:pPr>
        <w:pStyle w:val="NormalWeb"/>
        <w:bidi w:val="0"/>
        <w:spacing w:before="120" w:after="0" w:line="276" w:lineRule="auto"/>
        <w:rPr>
          <w:rFonts w:ascii="Book Antiqua" w:hAnsi="Book Antiqua"/>
          <w:sz w:val="22"/>
          <w:szCs w:val="22"/>
        </w:rPr>
      </w:pPr>
    </w:p>
    <w:p w:rsidR="004E7EC6" w:rsidRPr="00241E27" w:rsidP="00241E27">
      <w:pPr>
        <w:pStyle w:val="NormalWeb"/>
        <w:bidi w:val="0"/>
        <w:spacing w:before="120" w:after="0" w:line="276" w:lineRule="auto"/>
        <w:rPr>
          <w:rFonts w:ascii="Book Antiqua" w:hAnsi="Book Antiqua"/>
          <w:sz w:val="22"/>
          <w:szCs w:val="22"/>
        </w:rPr>
      </w:pPr>
    </w:p>
    <w:p w:rsidR="004E7EC6" w:rsidRPr="00241E27" w:rsidP="00241E27">
      <w:pPr>
        <w:pStyle w:val="NormalWeb"/>
        <w:bidi w:val="0"/>
        <w:spacing w:before="120" w:after="0" w:line="276" w:lineRule="auto"/>
        <w:rPr>
          <w:rFonts w:ascii="Book Antiqua" w:hAnsi="Book Antiqua"/>
          <w:sz w:val="22"/>
          <w:szCs w:val="22"/>
        </w:rPr>
      </w:pPr>
    </w:p>
    <w:p w:rsidR="004E7EC6" w:rsidRPr="00241E27" w:rsidP="00241E27">
      <w:pPr>
        <w:pStyle w:val="NormalWeb"/>
        <w:bidi w:val="0"/>
        <w:spacing w:before="120" w:after="0" w:line="276" w:lineRule="auto"/>
        <w:rPr>
          <w:rFonts w:ascii="Book Antiqua" w:hAnsi="Book Antiqua"/>
          <w:sz w:val="22"/>
          <w:szCs w:val="22"/>
        </w:rPr>
      </w:pPr>
    </w:p>
    <w:p w:rsidR="004E7EC6" w:rsidRPr="00241E27" w:rsidP="00241E27">
      <w:pPr>
        <w:pStyle w:val="NormalWeb"/>
        <w:bidi w:val="0"/>
        <w:spacing w:before="120" w:after="0" w:line="276" w:lineRule="auto"/>
        <w:rPr>
          <w:rFonts w:ascii="Book Antiqua" w:hAnsi="Book Antiqua"/>
          <w:sz w:val="22"/>
          <w:szCs w:val="22"/>
        </w:rPr>
      </w:pPr>
    </w:p>
    <w:p w:rsidR="004E7EC6" w:rsidRPr="00241E27" w:rsidP="00241E27">
      <w:pPr>
        <w:pStyle w:val="NormalWeb"/>
        <w:bidi w:val="0"/>
        <w:spacing w:before="120" w:after="0" w:line="276" w:lineRule="auto"/>
        <w:rPr>
          <w:rFonts w:ascii="Book Antiqua" w:hAnsi="Book Antiqua"/>
          <w:sz w:val="22"/>
          <w:szCs w:val="22"/>
        </w:rPr>
      </w:pPr>
    </w:p>
    <w:p w:rsidR="004E7EC6" w:rsidRPr="00241E27" w:rsidP="00241E27">
      <w:pPr>
        <w:pStyle w:val="NormalWeb"/>
        <w:bidi w:val="0"/>
        <w:spacing w:before="120" w:after="0" w:line="276" w:lineRule="auto"/>
        <w:rPr>
          <w:rFonts w:ascii="Book Antiqua" w:hAnsi="Book Antiqua"/>
          <w:sz w:val="22"/>
          <w:szCs w:val="22"/>
        </w:rPr>
      </w:pPr>
    </w:p>
    <w:p w:rsidR="004E7EC6" w:rsidRPr="00241E27" w:rsidP="00241E27">
      <w:pPr>
        <w:pStyle w:val="NormalWeb"/>
        <w:bidi w:val="0"/>
        <w:spacing w:before="120" w:after="0" w:line="276" w:lineRule="auto"/>
        <w:rPr>
          <w:rFonts w:ascii="Book Antiqua" w:hAnsi="Book Antiqua"/>
          <w:sz w:val="22"/>
          <w:szCs w:val="22"/>
        </w:rPr>
      </w:pPr>
    </w:p>
    <w:p w:rsidR="004E7EC6" w:rsidRPr="00241E27" w:rsidP="00241E27">
      <w:pPr>
        <w:pStyle w:val="NormalWeb"/>
        <w:bidi w:val="0"/>
        <w:spacing w:before="120" w:after="0" w:line="276" w:lineRule="auto"/>
        <w:rPr>
          <w:rFonts w:ascii="Book Antiqua" w:hAnsi="Book Antiqua"/>
          <w:sz w:val="22"/>
          <w:szCs w:val="22"/>
        </w:rPr>
      </w:pPr>
    </w:p>
    <w:p w:rsidR="004E7EC6" w:rsidRPr="00241E27" w:rsidP="00241E27">
      <w:pPr>
        <w:pStyle w:val="NormalWeb"/>
        <w:bidi w:val="0"/>
        <w:spacing w:before="120" w:after="0" w:line="276" w:lineRule="auto"/>
        <w:jc w:val="center"/>
        <w:rPr>
          <w:rFonts w:ascii="Book Antiqua" w:hAnsi="Book Antiqua"/>
          <w:b/>
          <w:caps/>
          <w:color w:val="000000"/>
          <w:spacing w:val="30"/>
          <w:sz w:val="22"/>
          <w:szCs w:val="22"/>
        </w:rPr>
      </w:pPr>
    </w:p>
    <w:p w:rsidR="004E7EC6" w:rsidRPr="00241E27" w:rsidP="00241E27">
      <w:pPr>
        <w:pStyle w:val="NormalWeb"/>
        <w:bidi w:val="0"/>
        <w:spacing w:before="120" w:after="0" w:line="276" w:lineRule="auto"/>
        <w:jc w:val="center"/>
        <w:rPr>
          <w:rFonts w:ascii="Book Antiqua" w:hAnsi="Book Antiqua"/>
          <w:b/>
          <w:caps/>
          <w:color w:val="000000"/>
          <w:spacing w:val="30"/>
          <w:sz w:val="22"/>
          <w:szCs w:val="22"/>
        </w:rPr>
      </w:pPr>
    </w:p>
    <w:p w:rsidR="004E7EC6" w:rsidRPr="00241E27" w:rsidP="00241E27">
      <w:pPr>
        <w:pStyle w:val="NormalWeb"/>
        <w:bidi w:val="0"/>
        <w:spacing w:before="120" w:after="0" w:line="276" w:lineRule="auto"/>
        <w:jc w:val="center"/>
        <w:rPr>
          <w:rFonts w:ascii="Book Antiqua" w:hAnsi="Book Antiqua"/>
          <w:b/>
          <w:caps/>
          <w:color w:val="000000"/>
          <w:spacing w:val="30"/>
          <w:sz w:val="22"/>
          <w:szCs w:val="22"/>
        </w:rPr>
      </w:pPr>
    </w:p>
    <w:p w:rsidR="004E7EC6" w:rsidP="00241E27">
      <w:pPr>
        <w:pStyle w:val="NormalWeb"/>
        <w:bidi w:val="0"/>
        <w:spacing w:before="120" w:after="0" w:line="276" w:lineRule="auto"/>
        <w:jc w:val="center"/>
        <w:rPr>
          <w:rFonts w:ascii="Book Antiqua" w:hAnsi="Book Antiqua"/>
          <w:b/>
          <w:caps/>
          <w:color w:val="000000"/>
          <w:spacing w:val="30"/>
          <w:sz w:val="22"/>
          <w:szCs w:val="22"/>
        </w:rPr>
      </w:pPr>
    </w:p>
    <w:p w:rsidR="00DA7A66" w:rsidP="00241E27">
      <w:pPr>
        <w:pStyle w:val="NormalWeb"/>
        <w:bidi w:val="0"/>
        <w:spacing w:before="120" w:after="0" w:line="276" w:lineRule="auto"/>
        <w:jc w:val="center"/>
        <w:rPr>
          <w:rFonts w:ascii="Book Antiqua" w:hAnsi="Book Antiqua"/>
          <w:b/>
          <w:caps/>
          <w:color w:val="000000"/>
          <w:spacing w:val="30"/>
          <w:sz w:val="22"/>
          <w:szCs w:val="22"/>
        </w:rPr>
      </w:pPr>
    </w:p>
    <w:p w:rsidR="00DA7A66" w:rsidP="00241E27">
      <w:pPr>
        <w:pStyle w:val="NormalWeb"/>
        <w:bidi w:val="0"/>
        <w:spacing w:before="120" w:after="0" w:line="276" w:lineRule="auto"/>
        <w:jc w:val="center"/>
        <w:rPr>
          <w:rFonts w:ascii="Book Antiqua" w:hAnsi="Book Antiqua"/>
          <w:b/>
          <w:caps/>
          <w:color w:val="000000"/>
          <w:spacing w:val="30"/>
          <w:sz w:val="22"/>
          <w:szCs w:val="22"/>
        </w:rPr>
      </w:pPr>
    </w:p>
    <w:p w:rsidR="00DA7A66" w:rsidRPr="00241E27" w:rsidP="00241E27">
      <w:pPr>
        <w:pStyle w:val="NormalWeb"/>
        <w:bidi w:val="0"/>
        <w:spacing w:before="120" w:after="0" w:line="276" w:lineRule="auto"/>
        <w:jc w:val="center"/>
        <w:rPr>
          <w:rFonts w:ascii="Book Antiqua" w:hAnsi="Book Antiqua"/>
          <w:b/>
          <w:caps/>
          <w:color w:val="000000"/>
          <w:spacing w:val="30"/>
          <w:sz w:val="22"/>
          <w:szCs w:val="22"/>
        </w:rPr>
      </w:pPr>
    </w:p>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b/>
          <w:caps/>
          <w:color w:val="000000"/>
          <w:spacing w:val="30"/>
          <w:sz w:val="22"/>
          <w:szCs w:val="22"/>
        </w:rPr>
        <w:t>Doložka</w:t>
      </w:r>
    </w:p>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b/>
          <w:color w:val="000000"/>
          <w:sz w:val="22"/>
          <w:szCs w:val="22"/>
        </w:rPr>
        <w:t>vybraných vplyvov</w:t>
      </w:r>
    </w:p>
    <w:p w:rsidR="004E7EC6" w:rsidRPr="00241E27" w:rsidP="00241E27">
      <w:pPr>
        <w:pStyle w:val="NormalWeb"/>
        <w:bidi w:val="0"/>
        <w:spacing w:before="120" w:after="0" w:line="276" w:lineRule="auto"/>
        <w:rPr>
          <w:rFonts w:ascii="Book Antiqua" w:hAnsi="Book Antiqua"/>
          <w:sz w:val="22"/>
          <w:szCs w:val="22"/>
        </w:rPr>
      </w:pPr>
      <w:r w:rsidRPr="00241E27">
        <w:rPr>
          <w:rFonts w:ascii="Book Antiqua" w:hAnsi="Book Antiqua"/>
          <w:color w:val="000000"/>
          <w:sz w:val="22"/>
          <w:szCs w:val="22"/>
        </w:rPr>
        <w:t> </w:t>
      </w:r>
    </w:p>
    <w:p w:rsidR="004E7EC6" w:rsidRPr="00241E27" w:rsidP="00241E27">
      <w:pPr>
        <w:bidi w:val="0"/>
        <w:spacing w:before="120" w:line="276" w:lineRule="auto"/>
        <w:jc w:val="both"/>
        <w:rPr>
          <w:rFonts w:ascii="Book Antiqua" w:hAnsi="Book Antiqua"/>
          <w:sz w:val="22"/>
          <w:szCs w:val="22"/>
        </w:rPr>
      </w:pPr>
      <w:r w:rsidRPr="00241E27">
        <w:rPr>
          <w:rFonts w:ascii="Book Antiqua" w:hAnsi="Book Antiqua"/>
          <w:b/>
          <w:color w:val="000000"/>
          <w:sz w:val="22"/>
          <w:szCs w:val="22"/>
        </w:rPr>
        <w:t xml:space="preserve">A.1. Názov materiálu: </w:t>
      </w:r>
      <w:r w:rsidRPr="00DA7A66">
        <w:rPr>
          <w:rFonts w:ascii="Book Antiqua" w:hAnsi="Book Antiqua"/>
          <w:sz w:val="22"/>
          <w:szCs w:val="22"/>
        </w:rPr>
        <w:t>návrh zákona, ktorým sa mení a dopĺňa zákon č. 447/2008 Z. z. o peňažných príspevkoch na kompenzáciu ťažkého zdravotného postihnutia a o zmene a doplnení niektorých zákonov v znení neskorších predpisov</w:t>
      </w:r>
    </w:p>
    <w:p w:rsidR="004E7EC6" w:rsidRPr="00241E27" w:rsidP="00241E27">
      <w:pPr>
        <w:pStyle w:val="NormalWeb"/>
        <w:bidi w:val="0"/>
        <w:spacing w:before="120" w:after="0" w:line="276" w:lineRule="auto"/>
        <w:jc w:val="both"/>
        <w:rPr>
          <w:rFonts w:ascii="Book Antiqua" w:hAnsi="Book Antiqua"/>
          <w:b/>
          <w:color w:val="000000"/>
          <w:sz w:val="22"/>
          <w:szCs w:val="22"/>
        </w:rPr>
      </w:pPr>
    </w:p>
    <w:p w:rsidR="004E7EC6" w:rsidRPr="00241E27" w:rsidP="00241E27">
      <w:pPr>
        <w:pStyle w:val="NormalWeb"/>
        <w:bidi w:val="0"/>
        <w:spacing w:before="120" w:after="0" w:line="276" w:lineRule="auto"/>
        <w:jc w:val="both"/>
        <w:rPr>
          <w:rFonts w:ascii="Book Antiqua" w:hAnsi="Book Antiqua"/>
          <w:sz w:val="22"/>
          <w:szCs w:val="22"/>
        </w:rPr>
      </w:pPr>
      <w:r w:rsidRPr="00241E27">
        <w:rPr>
          <w:rFonts w:ascii="Book Antiqua" w:hAnsi="Book Antiqua"/>
          <w:b/>
          <w:color w:val="000000"/>
          <w:sz w:val="22"/>
          <w:szCs w:val="22"/>
        </w:rPr>
        <w:t xml:space="preserve">Termín začatia a ukončenia PPK: </w:t>
      </w:r>
      <w:r w:rsidRPr="00241E27">
        <w:rPr>
          <w:rFonts w:ascii="Book Antiqua" w:hAnsi="Book Antiqua"/>
          <w:i/>
          <w:color w:val="000000"/>
          <w:sz w:val="22"/>
          <w:szCs w:val="22"/>
        </w:rPr>
        <w:t>bezpredmetné</w:t>
      </w:r>
    </w:p>
    <w:p w:rsidR="004E7EC6" w:rsidRPr="00241E27" w:rsidP="00241E27">
      <w:pPr>
        <w:pStyle w:val="NormalWeb"/>
        <w:bidi w:val="0"/>
        <w:spacing w:before="120" w:after="0" w:line="276" w:lineRule="auto"/>
        <w:jc w:val="both"/>
        <w:rPr>
          <w:rFonts w:ascii="Book Antiqua" w:hAnsi="Book Antiqua"/>
          <w:sz w:val="22"/>
          <w:szCs w:val="22"/>
        </w:rPr>
      </w:pPr>
    </w:p>
    <w:p w:rsidR="004E7EC6" w:rsidRPr="00241E27" w:rsidP="00241E27">
      <w:pPr>
        <w:pStyle w:val="NormalWeb"/>
        <w:bidi w:val="0"/>
        <w:spacing w:before="120" w:after="0" w:line="276" w:lineRule="auto"/>
        <w:jc w:val="both"/>
        <w:rPr>
          <w:rFonts w:ascii="Book Antiqua" w:hAnsi="Book Antiqua"/>
          <w:sz w:val="22"/>
          <w:szCs w:val="22"/>
        </w:rPr>
      </w:pPr>
      <w:r w:rsidRPr="00241E27">
        <w:rPr>
          <w:rFonts w:ascii="Book Antiqua" w:hAnsi="Book Antiqua"/>
          <w:b/>
          <w:color w:val="000000"/>
          <w:sz w:val="22"/>
          <w:szCs w:val="22"/>
        </w:rPr>
        <w:t>A.2. Vplyvy:</w:t>
      </w:r>
    </w:p>
    <w:tbl>
      <w:tblPr>
        <w:tblStyle w:val="TableNormal"/>
        <w:tblW w:w="0" w:type="auto"/>
        <w:tblLayout w:type="fixed"/>
        <w:tblCellMar>
          <w:left w:w="0" w:type="dxa"/>
          <w:right w:w="0" w:type="dxa"/>
        </w:tblCellMar>
      </w:tblPr>
      <w:tblGrid>
        <w:gridCol w:w="5253"/>
        <w:gridCol w:w="1276"/>
        <w:gridCol w:w="1134"/>
        <w:gridCol w:w="1408"/>
      </w:tblGrid>
      <w:tr>
        <w:tblPrEx>
          <w:tblW w:w="0" w:type="auto"/>
          <w:tblLayout w:type="fixed"/>
          <w:tblCellMar>
            <w:left w:w="0" w:type="dxa"/>
            <w:right w:w="0" w:type="dxa"/>
          </w:tblCellMar>
        </w:tblPrEx>
        <w:tc>
          <w:tcPr>
            <w:tcW w:w="5253"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rPr>
                <w:rFonts w:ascii="Book Antiqua" w:hAnsi="Book Antiqua"/>
                <w:sz w:val="22"/>
                <w:szCs w:val="22"/>
              </w:rPr>
            </w:pPr>
            <w:r w:rsidRPr="00241E27">
              <w:rPr>
                <w:rFonts w:ascii="Book Antiqua" w:hAnsi="Book Antiqua"/>
                <w:color w:val="000000"/>
                <w:sz w:val="22"/>
                <w:szCs w:val="22"/>
                <w:lang w:eastAsia="en-US"/>
              </w:rPr>
              <w:t> </w:t>
            </w:r>
          </w:p>
        </w:tc>
        <w:tc>
          <w:tcPr>
            <w:tcW w:w="1276"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color w:val="000000"/>
                <w:sz w:val="22"/>
                <w:szCs w:val="22"/>
                <w:lang w:eastAsia="en-US"/>
              </w:rPr>
              <w:t> Pozitívne </w:t>
            </w:r>
          </w:p>
        </w:tc>
        <w:tc>
          <w:tcPr>
            <w:tcW w:w="1134"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color w:val="000000"/>
                <w:sz w:val="22"/>
                <w:szCs w:val="22"/>
                <w:lang w:eastAsia="en-US"/>
              </w:rPr>
              <w:t> Žiadne </w:t>
            </w:r>
          </w:p>
        </w:tc>
        <w:tc>
          <w:tcPr>
            <w:tcW w:w="1408"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color w:val="000000"/>
                <w:sz w:val="22"/>
                <w:szCs w:val="22"/>
                <w:lang w:eastAsia="en-US"/>
              </w:rPr>
              <w:t> Negatívne </w:t>
            </w:r>
          </w:p>
        </w:tc>
      </w:tr>
      <w:tr>
        <w:tblPrEx>
          <w:tblW w:w="0" w:type="auto"/>
          <w:tblLayout w:type="fixed"/>
          <w:tblCellMar>
            <w:left w:w="0" w:type="dxa"/>
            <w:right w:w="0" w:type="dxa"/>
          </w:tblCellMar>
        </w:tblPrEx>
        <w:tc>
          <w:tcPr>
            <w:tcW w:w="5253"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4E7EC6" w:rsidRPr="00241E27" w:rsidP="00241E27">
            <w:pPr>
              <w:pStyle w:val="NormalWeb"/>
              <w:bidi w:val="0"/>
              <w:spacing w:before="120" w:after="0" w:line="276" w:lineRule="auto"/>
              <w:rPr>
                <w:rFonts w:ascii="Book Antiqua" w:hAnsi="Book Antiqua"/>
                <w:sz w:val="22"/>
                <w:szCs w:val="22"/>
              </w:rPr>
            </w:pPr>
            <w:r w:rsidRPr="00241E27">
              <w:rPr>
                <w:rFonts w:ascii="Book Antiqua" w:hAnsi="Book Antiqua"/>
                <w:color w:val="000000"/>
                <w:sz w:val="22"/>
                <w:szCs w:val="22"/>
                <w:lang w:eastAsia="en-US"/>
              </w:rPr>
              <w:t>1. Vplyvy na rozpočet verejnej správy</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color w:val="000000"/>
                <w:sz w:val="22"/>
                <w:szCs w:val="22"/>
                <w:lang w:eastAsia="en-US"/>
              </w:rPr>
              <w:t> </w:t>
            </w: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sz w:val="22"/>
                <w:szCs w:val="22"/>
                <w:lang w:eastAsia="en-US"/>
              </w:rPr>
              <w:t>x</w:t>
            </w:r>
          </w:p>
        </w:tc>
        <w:tc>
          <w:tcPr>
            <w:tcW w:w="1408"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lang w:eastAsia="en-US"/>
              </w:rPr>
            </w:pPr>
          </w:p>
        </w:tc>
      </w:tr>
      <w:tr>
        <w:tblPrEx>
          <w:tblW w:w="0" w:type="auto"/>
          <w:tblLayout w:type="fixed"/>
          <w:tblCellMar>
            <w:left w:w="0" w:type="dxa"/>
            <w:right w:w="0" w:type="dxa"/>
          </w:tblCellMar>
        </w:tblPrEx>
        <w:tc>
          <w:tcPr>
            <w:tcW w:w="5253"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rPr>
                <w:rFonts w:ascii="Book Antiqua" w:hAnsi="Book Antiqua"/>
                <w:sz w:val="22"/>
                <w:szCs w:val="22"/>
              </w:rPr>
            </w:pPr>
            <w:r w:rsidRPr="00241E27">
              <w:rPr>
                <w:rFonts w:ascii="Book Antiqua" w:hAnsi="Book Antiqua"/>
                <w:color w:val="000000"/>
                <w:sz w:val="22"/>
                <w:szCs w:val="22"/>
                <w:lang w:eastAsia="en-US"/>
              </w:rPr>
              <w:t>2. Vplyvy na podnikateľské prostredie – dochádza k zvýšeniu regulačného zaťaženia?</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lang w:eastAsia="en-US"/>
              </w:rPr>
            </w:pP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sz w:val="22"/>
                <w:szCs w:val="22"/>
                <w:lang w:eastAsia="en-US"/>
              </w:rPr>
              <w:t>x</w:t>
            </w:r>
          </w:p>
        </w:tc>
        <w:tc>
          <w:tcPr>
            <w:tcW w:w="1408"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lang w:eastAsia="en-US"/>
              </w:rPr>
            </w:pPr>
          </w:p>
        </w:tc>
      </w:tr>
      <w:tr>
        <w:tblPrEx>
          <w:tblW w:w="0" w:type="auto"/>
          <w:tblLayout w:type="fixed"/>
          <w:tblCellMar>
            <w:left w:w="0" w:type="dxa"/>
            <w:right w:w="0" w:type="dxa"/>
          </w:tblCellMar>
        </w:tblPrEx>
        <w:tc>
          <w:tcPr>
            <w:tcW w:w="5253"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rPr>
                <w:rFonts w:ascii="Book Antiqua" w:hAnsi="Book Antiqua"/>
                <w:sz w:val="22"/>
                <w:szCs w:val="22"/>
              </w:rPr>
            </w:pPr>
            <w:r w:rsidRPr="00241E27">
              <w:rPr>
                <w:rFonts w:ascii="Book Antiqua" w:hAnsi="Book Antiqua"/>
                <w:color w:val="000000"/>
                <w:sz w:val="22"/>
                <w:szCs w:val="22"/>
                <w:lang w:eastAsia="en-US"/>
              </w:rPr>
              <w:t>3. Sociálne vplyvy</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sz w:val="22"/>
                <w:szCs w:val="22"/>
                <w:lang w:eastAsia="en-US"/>
              </w:rPr>
              <w:t>x</w:t>
            </w: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lang w:eastAsia="en-US"/>
              </w:rPr>
            </w:pPr>
          </w:p>
        </w:tc>
        <w:tc>
          <w:tcPr>
            <w:tcW w:w="1408"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rPr>
                <w:rFonts w:ascii="Book Antiqua" w:hAnsi="Book Antiqua"/>
                <w:sz w:val="22"/>
                <w:szCs w:val="22"/>
              </w:rPr>
            </w:pPr>
            <w:r w:rsidRPr="00241E27">
              <w:rPr>
                <w:rFonts w:ascii="Book Antiqua" w:hAnsi="Book Antiqua"/>
                <w:color w:val="000000"/>
                <w:sz w:val="22"/>
                <w:szCs w:val="22"/>
                <w:lang w:eastAsia="en-US"/>
              </w:rPr>
              <w:t> </w:t>
            </w:r>
          </w:p>
        </w:tc>
      </w:tr>
      <w:tr>
        <w:tblPrEx>
          <w:tblW w:w="0" w:type="auto"/>
          <w:tblLayout w:type="fixed"/>
          <w:tblCellMar>
            <w:left w:w="0" w:type="dxa"/>
            <w:right w:w="0" w:type="dxa"/>
          </w:tblCellMar>
        </w:tblPrEx>
        <w:tc>
          <w:tcPr>
            <w:tcW w:w="5253"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rPr>
                <w:rFonts w:ascii="Book Antiqua" w:hAnsi="Book Antiqua"/>
                <w:sz w:val="22"/>
                <w:szCs w:val="22"/>
              </w:rPr>
            </w:pPr>
            <w:r w:rsidRPr="00241E27">
              <w:rPr>
                <w:rFonts w:ascii="Book Antiqua" w:hAnsi="Book Antiqua"/>
                <w:color w:val="000000"/>
                <w:sz w:val="22"/>
                <w:szCs w:val="22"/>
                <w:lang w:eastAsia="en-US"/>
              </w:rPr>
              <w:t>– vplyvy na hospodárenie obyvateľstva,</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sz w:val="22"/>
                <w:szCs w:val="22"/>
                <w:lang w:eastAsia="en-US"/>
              </w:rPr>
              <w:t>x</w:t>
            </w: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lang w:eastAsia="en-US"/>
              </w:rPr>
            </w:pPr>
          </w:p>
        </w:tc>
        <w:tc>
          <w:tcPr>
            <w:tcW w:w="1408"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color w:val="000000"/>
                <w:sz w:val="22"/>
                <w:szCs w:val="22"/>
                <w:lang w:eastAsia="en-US"/>
              </w:rPr>
              <w:t> </w:t>
            </w:r>
          </w:p>
        </w:tc>
      </w:tr>
      <w:tr>
        <w:tblPrEx>
          <w:tblW w:w="0" w:type="auto"/>
          <w:tblLayout w:type="fixed"/>
          <w:tblCellMar>
            <w:left w:w="0" w:type="dxa"/>
            <w:right w:w="0" w:type="dxa"/>
          </w:tblCellMar>
        </w:tblPrEx>
        <w:tc>
          <w:tcPr>
            <w:tcW w:w="5253"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rPr>
                <w:rFonts w:ascii="Book Antiqua" w:hAnsi="Book Antiqua"/>
                <w:sz w:val="22"/>
                <w:szCs w:val="22"/>
              </w:rPr>
            </w:pPr>
            <w:r w:rsidRPr="00241E27">
              <w:rPr>
                <w:rFonts w:ascii="Book Antiqua" w:hAnsi="Book Antiqua"/>
                <w:color w:val="000000"/>
                <w:sz w:val="22"/>
                <w:szCs w:val="22"/>
                <w:lang w:eastAsia="en-US"/>
              </w:rPr>
              <w:t>– sociálnu inklúziu,</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color w:val="000000"/>
                <w:sz w:val="22"/>
                <w:szCs w:val="22"/>
                <w:lang w:eastAsia="en-US"/>
              </w:rPr>
              <w:t>x</w:t>
            </w: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lang w:eastAsia="en-US"/>
              </w:rPr>
            </w:pPr>
          </w:p>
        </w:tc>
        <w:tc>
          <w:tcPr>
            <w:tcW w:w="1408"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lang w:eastAsia="en-US"/>
              </w:rPr>
            </w:pPr>
          </w:p>
        </w:tc>
      </w:tr>
      <w:tr>
        <w:tblPrEx>
          <w:tblW w:w="0" w:type="auto"/>
          <w:tblLayout w:type="fixed"/>
          <w:tblCellMar>
            <w:left w:w="0" w:type="dxa"/>
            <w:right w:w="0" w:type="dxa"/>
          </w:tblCellMar>
        </w:tblPrEx>
        <w:tc>
          <w:tcPr>
            <w:tcW w:w="5253"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rPr>
                <w:rFonts w:ascii="Book Antiqua" w:hAnsi="Book Antiqua"/>
                <w:sz w:val="22"/>
                <w:szCs w:val="22"/>
              </w:rPr>
            </w:pPr>
            <w:r w:rsidRPr="00241E27">
              <w:rPr>
                <w:rFonts w:ascii="Book Antiqua" w:hAnsi="Book Antiqua"/>
                <w:color w:val="000000"/>
                <w:sz w:val="22"/>
                <w:szCs w:val="22"/>
                <w:lang w:eastAsia="en-US"/>
              </w:rPr>
              <w:t>– rovnosť príležitostí a rodovú rovnosť a vplyvy na zamestnanosť</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lang w:eastAsia="en-US"/>
              </w:rPr>
            </w:pP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sz w:val="22"/>
                <w:szCs w:val="22"/>
                <w:lang w:eastAsia="en-US"/>
              </w:rPr>
              <w:t>x</w:t>
            </w:r>
          </w:p>
        </w:tc>
        <w:tc>
          <w:tcPr>
            <w:tcW w:w="1408"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color w:val="000000"/>
                <w:sz w:val="22"/>
                <w:szCs w:val="22"/>
                <w:lang w:eastAsia="en-US"/>
              </w:rPr>
              <w:t> </w:t>
            </w:r>
          </w:p>
        </w:tc>
      </w:tr>
      <w:tr>
        <w:tblPrEx>
          <w:tblW w:w="0" w:type="auto"/>
          <w:tblLayout w:type="fixed"/>
          <w:tblCellMar>
            <w:left w:w="0" w:type="dxa"/>
            <w:right w:w="0" w:type="dxa"/>
          </w:tblCellMar>
        </w:tblPrEx>
        <w:tc>
          <w:tcPr>
            <w:tcW w:w="5253"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rPr>
                <w:rFonts w:ascii="Book Antiqua" w:hAnsi="Book Antiqua"/>
                <w:sz w:val="22"/>
                <w:szCs w:val="22"/>
              </w:rPr>
            </w:pPr>
            <w:r w:rsidRPr="00241E27">
              <w:rPr>
                <w:rFonts w:ascii="Book Antiqua" w:hAnsi="Book Antiqua"/>
                <w:color w:val="000000"/>
                <w:sz w:val="22"/>
                <w:szCs w:val="22"/>
                <w:lang w:eastAsia="en-US"/>
              </w:rPr>
              <w:t>4. Vplyvy na životné prostredie</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color w:val="000000"/>
                <w:sz w:val="22"/>
                <w:szCs w:val="22"/>
                <w:lang w:eastAsia="en-US"/>
              </w:rPr>
              <w:t> </w:t>
            </w: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color w:val="000000"/>
                <w:sz w:val="22"/>
                <w:szCs w:val="22"/>
                <w:lang w:eastAsia="en-US"/>
              </w:rPr>
              <w:t>x</w:t>
            </w:r>
          </w:p>
        </w:tc>
        <w:tc>
          <w:tcPr>
            <w:tcW w:w="1408"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color w:val="000000"/>
                <w:sz w:val="22"/>
                <w:szCs w:val="22"/>
                <w:lang w:eastAsia="en-US"/>
              </w:rPr>
              <w:t> </w:t>
            </w:r>
          </w:p>
        </w:tc>
      </w:tr>
      <w:tr>
        <w:tblPrEx>
          <w:tblW w:w="0" w:type="auto"/>
          <w:tblLayout w:type="fixed"/>
          <w:tblCellMar>
            <w:left w:w="0" w:type="dxa"/>
            <w:right w:w="0" w:type="dxa"/>
          </w:tblCellMar>
        </w:tblPrEx>
        <w:tc>
          <w:tcPr>
            <w:tcW w:w="5253"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rPr>
                <w:rFonts w:ascii="Book Antiqua" w:hAnsi="Book Antiqua"/>
                <w:sz w:val="22"/>
                <w:szCs w:val="22"/>
              </w:rPr>
            </w:pPr>
            <w:r w:rsidRPr="00241E27">
              <w:rPr>
                <w:rFonts w:ascii="Book Antiqua" w:hAnsi="Book Antiqua"/>
                <w:color w:val="000000"/>
                <w:sz w:val="22"/>
                <w:szCs w:val="22"/>
                <w:lang w:eastAsia="en-US"/>
              </w:rPr>
              <w:t>5. Vplyvy na informatizáciu spoločnosti</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color w:val="000000"/>
                <w:sz w:val="22"/>
                <w:szCs w:val="22"/>
                <w:lang w:eastAsia="en-US"/>
              </w:rPr>
              <w:t> </w:t>
            </w: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sz w:val="22"/>
                <w:szCs w:val="22"/>
                <w:lang w:eastAsia="en-US"/>
              </w:rPr>
              <w:t>x</w:t>
            </w:r>
          </w:p>
        </w:tc>
        <w:tc>
          <w:tcPr>
            <w:tcW w:w="1408" w:type="dxa"/>
            <w:tcBorders>
              <w:top w:val="single" w:sz="6" w:space="0" w:color="000001"/>
              <w:left w:val="single" w:sz="6" w:space="0" w:color="000001"/>
              <w:bottom w:val="single" w:sz="6" w:space="0" w:color="000001"/>
              <w:right w:val="single" w:sz="6" w:space="0" w:color="000001"/>
            </w:tcBorders>
            <w:textDirection w:val="lrTb"/>
            <w:vAlign w:val="center"/>
          </w:tcPr>
          <w:p w:rsidR="004E7EC6" w:rsidRPr="00241E27" w:rsidP="00241E27">
            <w:pPr>
              <w:pStyle w:val="NormalWeb"/>
              <w:bidi w:val="0"/>
              <w:spacing w:before="120" w:after="0" w:line="276" w:lineRule="auto"/>
              <w:jc w:val="center"/>
              <w:rPr>
                <w:rFonts w:ascii="Book Antiqua" w:hAnsi="Book Antiqua"/>
                <w:sz w:val="22"/>
                <w:szCs w:val="22"/>
              </w:rPr>
            </w:pPr>
            <w:r w:rsidRPr="00241E27">
              <w:rPr>
                <w:rFonts w:ascii="Book Antiqua" w:hAnsi="Book Antiqua"/>
                <w:color w:val="000000"/>
                <w:sz w:val="22"/>
                <w:szCs w:val="22"/>
                <w:lang w:eastAsia="en-US"/>
              </w:rPr>
              <w:t> </w:t>
            </w:r>
          </w:p>
        </w:tc>
      </w:tr>
    </w:tbl>
    <w:p w:rsidR="004E7EC6" w:rsidRPr="00241E27" w:rsidP="00241E27">
      <w:pPr>
        <w:pStyle w:val="NormalWeb"/>
        <w:bidi w:val="0"/>
        <w:spacing w:before="120" w:after="0" w:line="276" w:lineRule="auto"/>
        <w:rPr>
          <w:rFonts w:ascii="Book Antiqua" w:hAnsi="Book Antiqua"/>
          <w:sz w:val="22"/>
          <w:szCs w:val="22"/>
        </w:rPr>
      </w:pPr>
      <w:r w:rsidRPr="00241E27">
        <w:rPr>
          <w:rFonts w:ascii="Book Antiqua" w:hAnsi="Book Antiqua"/>
          <w:color w:val="000000"/>
          <w:sz w:val="22"/>
          <w:szCs w:val="22"/>
        </w:rPr>
        <w:t> </w:t>
      </w:r>
    </w:p>
    <w:p w:rsidR="004E7EC6" w:rsidRPr="00241E27" w:rsidP="00241E27">
      <w:pPr>
        <w:pStyle w:val="NormalWeb"/>
        <w:bidi w:val="0"/>
        <w:spacing w:before="120" w:after="0" w:line="276" w:lineRule="auto"/>
        <w:jc w:val="both"/>
        <w:rPr>
          <w:rFonts w:ascii="Book Antiqua" w:hAnsi="Book Antiqua"/>
          <w:sz w:val="22"/>
          <w:szCs w:val="22"/>
        </w:rPr>
      </w:pPr>
      <w:r w:rsidRPr="00241E27">
        <w:rPr>
          <w:rFonts w:ascii="Book Antiqua" w:hAnsi="Book Antiqua"/>
          <w:b/>
          <w:color w:val="000000"/>
          <w:sz w:val="22"/>
          <w:szCs w:val="22"/>
        </w:rPr>
        <w:t>A.3. Poznámky</w:t>
      </w:r>
    </w:p>
    <w:p w:rsidR="004E7EC6" w:rsidRPr="00DA7A66" w:rsidP="00241E27">
      <w:pPr>
        <w:pStyle w:val="NormalWeb"/>
        <w:bidi w:val="0"/>
        <w:spacing w:before="120" w:after="0" w:line="276" w:lineRule="auto"/>
        <w:jc w:val="both"/>
        <w:rPr>
          <w:rFonts w:ascii="Book Antiqua" w:hAnsi="Book Antiqua"/>
          <w:sz w:val="22"/>
          <w:szCs w:val="22"/>
        </w:rPr>
      </w:pPr>
      <w:r w:rsidRPr="00DA7A66">
        <w:rPr>
          <w:rFonts w:ascii="Book Antiqua" w:hAnsi="Book Antiqua"/>
          <w:i/>
          <w:color w:val="000000"/>
          <w:sz w:val="22"/>
          <w:szCs w:val="22"/>
        </w:rPr>
        <w:t>Pozitívny vplyv návrhu zákona sa predpokladá v oblasti sociálnych vplyvov</w:t>
      </w:r>
      <w:r w:rsidR="00DA7A66">
        <w:rPr>
          <w:rFonts w:ascii="Book Antiqua" w:hAnsi="Book Antiqua"/>
          <w:i/>
          <w:color w:val="000000"/>
          <w:sz w:val="22"/>
          <w:szCs w:val="22"/>
        </w:rPr>
        <w:t>,</w:t>
      </w:r>
      <w:r w:rsidRPr="00DA7A66">
        <w:rPr>
          <w:rFonts w:ascii="Book Antiqua" w:hAnsi="Book Antiqua"/>
          <w:i/>
          <w:color w:val="000000"/>
          <w:sz w:val="22"/>
          <w:szCs w:val="22"/>
        </w:rPr>
        <w:t xml:space="preserve"> najmä v oblasti vplyvov na hospodárenie osôb s ťažkým zdravotným postihnutím a ich sociálnu inklúziu.</w:t>
      </w:r>
      <w:r w:rsidRPr="00DA7A66">
        <w:rPr>
          <w:rFonts w:ascii="Book Antiqua" w:hAnsi="Book Antiqua"/>
          <w:i/>
          <w:color w:val="FF0000"/>
          <w:sz w:val="22"/>
          <w:szCs w:val="22"/>
        </w:rPr>
        <w:t xml:space="preserve"> </w:t>
      </w:r>
      <w:r w:rsidRPr="00DA7A66">
        <w:rPr>
          <w:rFonts w:ascii="Book Antiqua" w:hAnsi="Book Antiqua"/>
          <w:i/>
          <w:sz w:val="22"/>
          <w:szCs w:val="22"/>
        </w:rPr>
        <w:t xml:space="preserve">Návrh zákona zároveň nemá vplyv na rozpočet verejnej správy, informatizáciu spoločnosti, životné prostredie ani na podnikateľské prostredie. </w:t>
      </w:r>
    </w:p>
    <w:p w:rsidR="004E7EC6" w:rsidRPr="00241E27" w:rsidP="00241E27">
      <w:pPr>
        <w:pStyle w:val="NormalWeb"/>
        <w:bidi w:val="0"/>
        <w:spacing w:before="120" w:after="0" w:line="276" w:lineRule="auto"/>
        <w:jc w:val="both"/>
        <w:rPr>
          <w:rFonts w:ascii="Book Antiqua" w:hAnsi="Book Antiqua"/>
          <w:b/>
          <w:color w:val="000000"/>
          <w:sz w:val="22"/>
          <w:szCs w:val="22"/>
        </w:rPr>
      </w:pPr>
    </w:p>
    <w:p w:rsidR="004E7EC6" w:rsidRPr="00241E27" w:rsidP="00241E27">
      <w:pPr>
        <w:pStyle w:val="NormalWeb"/>
        <w:bidi w:val="0"/>
        <w:spacing w:before="120" w:after="0" w:line="276" w:lineRule="auto"/>
        <w:jc w:val="both"/>
        <w:rPr>
          <w:rFonts w:ascii="Book Antiqua" w:hAnsi="Book Antiqua"/>
          <w:sz w:val="22"/>
          <w:szCs w:val="22"/>
        </w:rPr>
      </w:pPr>
      <w:r w:rsidRPr="00241E27">
        <w:rPr>
          <w:rFonts w:ascii="Book Antiqua" w:hAnsi="Book Antiqua"/>
          <w:b/>
          <w:color w:val="000000"/>
          <w:sz w:val="22"/>
          <w:szCs w:val="22"/>
        </w:rPr>
        <w:t>A.4. Alternatívne riešenia</w:t>
      </w:r>
    </w:p>
    <w:p w:rsidR="004E7EC6" w:rsidRPr="00241E27" w:rsidP="00241E27">
      <w:pPr>
        <w:pStyle w:val="NormalWeb"/>
        <w:bidi w:val="0"/>
        <w:spacing w:before="120" w:after="0" w:line="276" w:lineRule="auto"/>
        <w:jc w:val="both"/>
        <w:rPr>
          <w:rFonts w:ascii="Book Antiqua" w:hAnsi="Book Antiqua"/>
          <w:sz w:val="22"/>
          <w:szCs w:val="22"/>
        </w:rPr>
      </w:pPr>
      <w:r w:rsidRPr="00241E27">
        <w:rPr>
          <w:rFonts w:ascii="Book Antiqua" w:hAnsi="Book Antiqua"/>
          <w:i/>
          <w:color w:val="000000"/>
          <w:sz w:val="22"/>
          <w:szCs w:val="22"/>
        </w:rPr>
        <w:t>bezpredmetné</w:t>
      </w:r>
    </w:p>
    <w:p w:rsidR="004E7EC6" w:rsidRPr="00241E27" w:rsidP="00241E27">
      <w:pPr>
        <w:pStyle w:val="NormalWeb"/>
        <w:bidi w:val="0"/>
        <w:spacing w:before="120" w:after="0" w:line="276" w:lineRule="auto"/>
        <w:jc w:val="both"/>
        <w:rPr>
          <w:rFonts w:ascii="Book Antiqua" w:hAnsi="Book Antiqua"/>
          <w:i/>
          <w:color w:val="000000"/>
          <w:sz w:val="22"/>
          <w:szCs w:val="22"/>
        </w:rPr>
      </w:pPr>
    </w:p>
    <w:p w:rsidR="004E7EC6" w:rsidRPr="00241E27" w:rsidP="00241E27">
      <w:pPr>
        <w:pStyle w:val="NormalWeb"/>
        <w:bidi w:val="0"/>
        <w:spacing w:before="120" w:after="0" w:line="276" w:lineRule="auto"/>
        <w:jc w:val="both"/>
        <w:rPr>
          <w:rFonts w:ascii="Book Antiqua" w:hAnsi="Book Antiqua"/>
          <w:sz w:val="22"/>
          <w:szCs w:val="22"/>
        </w:rPr>
      </w:pPr>
      <w:r w:rsidRPr="00241E27">
        <w:rPr>
          <w:rFonts w:ascii="Book Antiqua" w:hAnsi="Book Antiqua"/>
          <w:b/>
          <w:color w:val="000000"/>
          <w:sz w:val="22"/>
          <w:szCs w:val="22"/>
        </w:rPr>
        <w:t>A.5. Stanovisko gestorov</w:t>
      </w:r>
    </w:p>
    <w:p w:rsidR="004E7EC6" w:rsidRPr="00241E27" w:rsidP="00DA7A66">
      <w:pPr>
        <w:pStyle w:val="NormalWeb"/>
        <w:bidi w:val="0"/>
        <w:spacing w:before="120" w:after="0" w:line="276" w:lineRule="auto"/>
        <w:jc w:val="both"/>
        <w:rPr>
          <w:rFonts w:ascii="Book Antiqua" w:hAnsi="Book Antiqua"/>
          <w:sz w:val="22"/>
          <w:szCs w:val="22"/>
        </w:rPr>
      </w:pPr>
      <w:r w:rsidRPr="00241E27">
        <w:rPr>
          <w:rFonts w:ascii="Book Antiqua" w:hAnsi="Book Antiqua"/>
          <w:i/>
          <w:color w:val="000000"/>
          <w:sz w:val="22"/>
          <w:szCs w:val="22"/>
        </w:rPr>
        <w:t>Návrh zákona bol zaslaný na vyjadrenie Ministerstvu financií SR a stanovisko tohto ministerstva tvorí súčasť predkladaného materiálu.</w:t>
      </w:r>
    </w:p>
    <w:sectPr>
      <w:type w:val="continuous"/>
      <w:pgSz w:w="11906" w:h="16838"/>
      <w:pgMar w:top="1417" w:right="1417" w:bottom="1417" w:left="1417"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 w:name="Cambria">
    <w:panose1 w:val="00000000000000000000"/>
    <w:charset w:val="EE"/>
    <w:family w:val="roman"/>
    <w:pitch w:val="variable"/>
    <w:sig w:usb0="00000000" w:usb1="00000000" w:usb2="00000000" w:usb3="00000000" w:csb0="0000019F" w:csb1="00000000"/>
  </w:font>
  <w:font w:name="Liberation Serif">
    <w:altName w:val="Times New Roman"/>
    <w:panose1 w:val="00000000000000000000"/>
    <w:charset w:val="EE"/>
    <w:family w:val="roman"/>
    <w:pitch w:val="variable"/>
    <w:sig w:usb0="00000000" w:usb1="00000000" w:usb2="00000000" w:usb3="00000000" w:csb0="00000002" w:csb1="00000000"/>
  </w:font>
  <w:font w:name="Liberation Sans">
    <w:altName w:val="Arial"/>
    <w:panose1 w:val="00000000000000000000"/>
    <w:charset w:val="EE"/>
    <w:family w:val="swiss"/>
    <w:pitch w:val="variable"/>
    <w:sig w:usb0="00000000" w:usb1="00000000" w:usb2="00000000" w:usb3="00000000" w:csb0="00000002" w:csb1="00000000"/>
  </w:font>
  <w:font w:name="Book Antiqua">
    <w:altName w:val="serif"/>
    <w:panose1 w:val="00000000000000000000"/>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rPr>
        <w:rFonts w:eastAsia="Times New Roman" w:cs="Times New Roman"/>
        <w:b/>
        <w:bCs/>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nsid w:val="00000002"/>
    <w:multiLevelType w:val="multilevel"/>
    <w:tmpl w:val="1ABAD542"/>
    <w:lvl w:ilvl="0">
      <w:start w:val="1"/>
      <w:numFmt w:val="lowerLetter"/>
      <w:lvlText w:val="%1)"/>
      <w:lvlJc w:val="left"/>
      <w:pPr>
        <w:ind w:left="720" w:hanging="360"/>
      </w:pPr>
      <w:rPr>
        <w:rFonts w:eastAsia="Times New Roman" w:cs="Times New Roman"/>
        <w:b w:val="0"/>
        <w:bCs/>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2">
    <w:nsid w:val="00000003"/>
    <w:multiLevelType w:val="multilevel"/>
    <w:tmpl w:val="00000003"/>
    <w:lvl w:ilvl="0">
      <w:start w:val="3"/>
      <w:numFmt w:val="bullet"/>
      <w:lvlText w:val="-"/>
      <w:lvlJc w:val="left"/>
      <w:pPr>
        <w:ind w:left="720" w:hanging="360"/>
      </w:pPr>
      <w:rPr>
        <w:rFonts w:ascii="Liberation Serif" w:eastAsia="Times New Roman" w:hAns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
    <w:nsid w:val="00000004"/>
    <w:multiLevelType w:val="multilevel"/>
    <w:tmpl w:val="00000004"/>
    <w:lvl w:ilvl="0">
      <w:start w:val="0"/>
      <w:numFmt w:val="bullet"/>
      <w:lvlText w:val="-"/>
      <w:lvlJc w:val="left"/>
      <w:pPr>
        <w:ind w:left="720" w:hanging="360"/>
      </w:pPr>
      <w:rPr>
        <w:rFonts w:ascii="Liberation Serif" w:eastAsia="Times New Roman" w:hAnsi="Liberation Serif"/>
        <w:b/>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
    <w:nsid w:val="00000005"/>
    <w:multiLevelType w:val="multilevel"/>
    <w:tmpl w:val="00000005"/>
    <w:lvl w:ilvl="0">
      <w:start w:val="1"/>
      <w:numFmt w:val="none"/>
      <w:suff w:val="nothing"/>
      <w:lvlJc w:val="left"/>
      <w:rPr>
        <w:rFonts w:cs="Times New Roman"/>
        <w:rtl w:val="0"/>
        <w:cs w:val="0"/>
      </w:rPr>
    </w:lvl>
    <w:lvl w:ilvl="1">
      <w:start w:val="1"/>
      <w:numFmt w:val="none"/>
      <w:suff w:val="nothing"/>
      <w:lvlJc w:val="left"/>
      <w:rPr>
        <w:rFonts w:cs="Times New Roman"/>
        <w:rtl w:val="0"/>
        <w:cs w:val="0"/>
      </w:rPr>
    </w:lvl>
    <w:lvl w:ilvl="2">
      <w:start w:val="1"/>
      <w:numFmt w:val="none"/>
      <w:suff w:val="nothing"/>
      <w:lvlJc w:val="left"/>
      <w:rPr>
        <w:rFonts w:cs="Times New Roman"/>
        <w:rtl w:val="0"/>
        <w:cs w:val="0"/>
      </w:rPr>
    </w:lvl>
    <w:lvl w:ilvl="3">
      <w:start w:val="1"/>
      <w:numFmt w:val="none"/>
      <w:suff w:val="nothing"/>
      <w:lvlJc w:val="left"/>
      <w:rPr>
        <w:rFonts w:cs="Times New Roman"/>
        <w:rtl w:val="0"/>
        <w:cs w:val="0"/>
      </w:rPr>
    </w:lvl>
    <w:lvl w:ilvl="4">
      <w:start w:val="1"/>
      <w:numFmt w:val="none"/>
      <w:suff w:val="nothing"/>
      <w:lvlJc w:val="left"/>
      <w:rPr>
        <w:rFonts w:cs="Times New Roman"/>
        <w:rtl w:val="0"/>
        <w:cs w:val="0"/>
      </w:rPr>
    </w:lvl>
    <w:lvl w:ilvl="5">
      <w:start w:val="1"/>
      <w:numFmt w:val="none"/>
      <w:suff w:val="nothing"/>
      <w:lvlJc w:val="left"/>
      <w:rPr>
        <w:rFonts w:cs="Times New Roman"/>
        <w:rtl w:val="0"/>
        <w:cs w:val="0"/>
      </w:rPr>
    </w:lvl>
    <w:lvl w:ilvl="6">
      <w:start w:val="1"/>
      <w:numFmt w:val="none"/>
      <w:suff w:val="nothing"/>
      <w:lvlJc w:val="left"/>
      <w:rPr>
        <w:rFonts w:cs="Times New Roman"/>
        <w:rtl w:val="0"/>
        <w:cs w:val="0"/>
      </w:rPr>
    </w:lvl>
    <w:lvl w:ilvl="7">
      <w:start w:val="1"/>
      <w:numFmt w:val="none"/>
      <w:suff w:val="nothing"/>
      <w:lvlJc w:val="left"/>
      <w:rPr>
        <w:rFonts w:cs="Times New Roman"/>
        <w:rtl w:val="0"/>
        <w:cs w:val="0"/>
      </w:rPr>
    </w:lvl>
    <w:lvl w:ilvl="8">
      <w:start w:val="1"/>
      <w:numFmt w:val="none"/>
      <w:suff w:val="nothing"/>
      <w:lvlJc w:val="left"/>
      <w:rPr>
        <w:rFonts w:cs="Times New Roman"/>
        <w:rtl w:val="0"/>
        <w:cs w:val="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E7EC6"/>
    <w:rsid w:val="00241E27"/>
    <w:rsid w:val="00286852"/>
    <w:rsid w:val="004E7EC6"/>
    <w:rsid w:val="006160EE"/>
    <w:rsid w:val="006A7083"/>
    <w:rsid w:val="008C088E"/>
    <w:rsid w:val="00A93EBE"/>
    <w:rsid w:val="00B71FBF"/>
    <w:rsid w:val="00C57A07"/>
    <w:rsid w:val="00DA7A66"/>
    <w:rsid w:val="00EB16F2"/>
    <w:rsid w:val="00F7734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suppressAutoHyphens/>
      <w:autoSpaceDE w:val="0"/>
      <w:autoSpaceDN w:val="0"/>
      <w:adjustRightInd w:val="0"/>
      <w:ind w:left="0" w:right="0"/>
      <w:jc w:val="left"/>
      <w:textAlignment w:val="auto"/>
    </w:pPr>
    <w:rPr>
      <w:rFonts w:ascii="Times New Roman" w:eastAsia="Times New Roman" w:hAnsi="Liberation Serif" w:cs="Times New Roman"/>
      <w:kern w:val="1"/>
      <w:sz w:val="24"/>
      <w:szCs w:val="24"/>
      <w:rtl w:val="0"/>
      <w:cs w:val="0"/>
      <w:lang w:val="sk-SK" w:eastAsia="sk-SK" w:bidi="ar-SA"/>
    </w:rPr>
  </w:style>
  <w:style w:type="paragraph" w:styleId="Heading1">
    <w:name w:val="heading 1"/>
    <w:basedOn w:val="Normal"/>
    <w:link w:val="Nadpis1Char"/>
    <w:uiPriority w:val="99"/>
    <w:qFormat/>
    <w:pPr>
      <w:keepNext/>
      <w:suppressAutoHyphens w:val="0"/>
      <w:jc w:val="center"/>
      <w:outlineLvl w:val="0"/>
    </w:pPr>
    <w:rPr>
      <w:rFonts w:ascii="Cambria" w:cs="Cambria"/>
      <w:b/>
      <w:bCs/>
      <w:sz w:val="32"/>
      <w:szCs w:val="3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eastAsia="Times New Roman" w:cs="Cambria"/>
      <w:b/>
      <w:bCs/>
      <w:kern w:val="1"/>
      <w:sz w:val="20"/>
      <w:szCs w:val="20"/>
      <w:rtl w:val="0"/>
      <w:cs w:val="0"/>
    </w:rPr>
  </w:style>
  <w:style w:type="character" w:styleId="PlaceholderText">
    <w:name w:val="Placeholder Text"/>
    <w:basedOn w:val="DefaultParagraphFont"/>
    <w:uiPriority w:val="99"/>
    <w:rPr>
      <w:rFonts w:ascii="Times New Roman" w:eastAsia="Times New Roman" w:cs="Times New Roman"/>
      <w:color w:val="808080"/>
      <w:rtl w:val="0"/>
      <w:cs w:val="0"/>
    </w:rPr>
  </w:style>
  <w:style w:type="character" w:customStyle="1" w:styleId="ListLabel1">
    <w:name w:val="ListLabel 1"/>
    <w:uiPriority w:val="99"/>
    <w:rPr>
      <w:rFonts w:ascii="Book Antiqua" w:eastAsia="Times New Roman"/>
      <w:b/>
      <w:sz w:val="22"/>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ascii="Book Antiqua" w:eastAsia="Times New Roman"/>
      <w:b/>
      <w:sz w:val="22"/>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ascii="Book Antiqua" w:eastAsia="Times New Roman"/>
      <w:sz w:val="22"/>
    </w:rPr>
  </w:style>
  <w:style w:type="character" w:customStyle="1" w:styleId="ListLabel20">
    <w:name w:val="ListLabel 20"/>
    <w:uiPriority w:val="99"/>
    <w:rPr>
      <w:rFonts w:ascii="Book Antiqua" w:eastAsia="Times New Roman"/>
      <w:b/>
      <w:sz w:val="22"/>
    </w:rPr>
  </w:style>
  <w:style w:type="paragraph" w:customStyle="1" w:styleId="Nadpis">
    <w:name w:val="Nadpis"/>
    <w:basedOn w:val="Normal"/>
    <w:next w:val="Telotextu"/>
    <w:uiPriority w:val="99"/>
    <w:pPr>
      <w:keepNext/>
      <w:suppressAutoHyphens w:val="0"/>
      <w:spacing w:before="240" w:after="120"/>
      <w:jc w:val="left"/>
    </w:pPr>
    <w:rPr>
      <w:rFonts w:ascii="Liberation Sans" w:cs="Liberation Sans"/>
      <w:kern w:val="0"/>
      <w:sz w:val="28"/>
      <w:szCs w:val="28"/>
    </w:rPr>
  </w:style>
  <w:style w:type="paragraph" w:customStyle="1" w:styleId="Telotextu">
    <w:name w:val="Telo textu"/>
    <w:basedOn w:val="Normal"/>
    <w:uiPriority w:val="99"/>
    <w:pPr>
      <w:suppressAutoHyphens w:val="0"/>
      <w:spacing w:after="140" w:line="288" w:lineRule="auto"/>
      <w:jc w:val="left"/>
    </w:pPr>
    <w:rPr>
      <w:kern w:val="0"/>
    </w:rPr>
  </w:style>
  <w:style w:type="paragraph" w:styleId="List">
    <w:name w:val="List"/>
    <w:basedOn w:val="Telotextu"/>
    <w:uiPriority w:val="99"/>
    <w:pPr>
      <w:suppressAutoHyphens w:val="0"/>
      <w:jc w:val="left"/>
    </w:pPr>
    <w:rPr>
      <w:kern w:val="0"/>
    </w:rPr>
  </w:style>
  <w:style w:type="paragraph" w:styleId="Caption">
    <w:name w:val="caption"/>
    <w:basedOn w:val="Normal"/>
    <w:uiPriority w:val="99"/>
    <w:qFormat/>
    <w:pPr>
      <w:suppressLineNumbers/>
      <w:suppressAutoHyphens w:val="0"/>
      <w:spacing w:before="120" w:after="120"/>
      <w:jc w:val="left"/>
    </w:pPr>
    <w:rPr>
      <w:i/>
      <w:iCs/>
      <w:kern w:val="0"/>
    </w:rPr>
  </w:style>
  <w:style w:type="paragraph" w:customStyle="1" w:styleId="Index">
    <w:name w:val="Index"/>
    <w:basedOn w:val="Normal"/>
    <w:uiPriority w:val="99"/>
    <w:pPr>
      <w:suppressLineNumbers/>
      <w:suppressAutoHyphens w:val="0"/>
      <w:jc w:val="left"/>
    </w:pPr>
    <w:rPr>
      <w:kern w:val="0"/>
    </w:rPr>
  </w:style>
  <w:style w:type="paragraph" w:customStyle="1" w:styleId="DocumentMap">
    <w:name w:val="DocumentMap"/>
    <w:uiPriority w:val="99"/>
    <w:pPr>
      <w:framePr w:wrap="auto"/>
      <w:widowControl/>
      <w:suppressAutoHyphens/>
      <w:autoSpaceDE w:val="0"/>
      <w:autoSpaceDN w:val="0"/>
      <w:adjustRightInd w:val="0"/>
      <w:spacing w:after="160" w:line="256" w:lineRule="auto"/>
      <w:ind w:left="0" w:right="0"/>
      <w:jc w:val="left"/>
      <w:textAlignment w:val="auto"/>
    </w:pPr>
    <w:rPr>
      <w:rFonts w:ascii="Calibri" w:eastAsia="Times New Roman" w:hAnsi="Liberation Serif" w:cs="Calibri"/>
      <w:kern w:val="1"/>
      <w:sz w:val="22"/>
      <w:szCs w:val="22"/>
      <w:rtl w:val="0"/>
      <w:cs w:val="0"/>
      <w:lang w:val="sk-SK" w:eastAsia="en-US" w:bidi="ar-SA"/>
    </w:rPr>
  </w:style>
  <w:style w:type="paragraph" w:styleId="NormalWeb">
    <w:name w:val="Normal (Web)"/>
    <w:basedOn w:val="Normal"/>
    <w:uiPriority w:val="99"/>
    <w:pPr>
      <w:suppressAutoHyphens w:val="0"/>
      <w:spacing w:before="280" w:after="280"/>
      <w:jc w:val="left"/>
    </w:pPr>
    <w:rPr>
      <w:kern w:val="0"/>
    </w:rPr>
  </w:style>
  <w:style w:type="paragraph" w:styleId="ListParagraph">
    <w:name w:val="List Paragraph"/>
    <w:basedOn w:val="Normal"/>
    <w:uiPriority w:val="99"/>
    <w:qFormat/>
    <w:pPr>
      <w:suppressAutoHyphens w:val="0"/>
      <w:ind w:left="720"/>
      <w:contextualSpacing/>
      <w:jc w:val="left"/>
    </w:pPr>
    <w:rPr>
      <w:kern w:val="0"/>
    </w:rPr>
  </w:style>
  <w:style w:type="paragraph" w:customStyle="1" w:styleId="Norme1lnywebovfd">
    <w:name w:val="Normáe1lny (webovýfd)"/>
    <w:basedOn w:val="Normal"/>
    <w:uiPriority w:val="99"/>
    <w:pPr>
      <w:suppressAutoHyphens w:val="0"/>
      <w:spacing w:before="280" w:after="280"/>
      <w:jc w:val="left"/>
    </w:pPr>
    <w:rPr>
      <w:kern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1570</Words>
  <Characters>8955</Characters>
  <Application>Microsoft Office Word</Application>
  <DocSecurity>0</DocSecurity>
  <Lines>0</Lines>
  <Paragraphs>0</Paragraphs>
  <ScaleCrop>false</ScaleCrop>
  <Company>Kancelaria NR SR</Company>
  <LinksUpToDate>false</LinksUpToDate>
  <CharactersWithSpaces>10504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Lukáč, Jozef (asistent)</cp:lastModifiedBy>
  <cp:revision>2</cp:revision>
  <dcterms:created xsi:type="dcterms:W3CDTF">2017-11-09T10:07:00Z</dcterms:created>
  <dcterms:modified xsi:type="dcterms:W3CDTF">2017-11-09T10:07:00Z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MIVE</vt:lpwstr>
  </property>
</Properties>
</file>