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widowControl w:val="0"/>
        <w:jc w:val="center"/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b/>
          <w:sz w:val="24"/>
          <w:szCs w:val="24"/>
          <w:rtl w:val="0"/>
          <w:lang w:eastAsia="ar-SA" w:bidi="ar-SA"/>
        </w:rPr>
        <w:t>DOLOŽKA ZLUČITEĽNOSTI</w:t>
      </w:r>
    </w:p>
    <w:p>
      <w:pPr>
        <w:widowControl w:val="0"/>
        <w:spacing w:before="0" w:after="120"/>
        <w:jc w:val="center"/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b/>
          <w:sz w:val="24"/>
          <w:szCs w:val="24"/>
          <w:rtl w:val="0"/>
          <w:lang w:eastAsia="ar-SA" w:bidi="ar-SA"/>
        </w:rPr>
        <w:t>návrhu zákona s právom Európskej únie</w:t>
      </w:r>
    </w:p>
    <w:p>
      <w:pPr>
        <w:widowControl w:val="0"/>
        <w:spacing w:before="120" w:after="0"/>
        <w:rPr>
          <w:rFonts w:ascii="Times New Roman" w:eastAsia="Times New Roman" w:hAnsi="Liberation Serif" w:cs="Liberation Serif"/>
          <w:sz w:val="24"/>
          <w:szCs w:val="24"/>
          <w:rtl w:val="0"/>
          <w:lang w:eastAsia="ar-SA" w:bidi="ar-SA"/>
        </w:rPr>
      </w:pPr>
    </w:p>
    <w:p>
      <w:pPr>
        <w:tabs>
          <w:tab w:val="left" w:pos="9072"/>
        </w:tabs>
        <w:jc w:val="both"/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b/>
          <w:sz w:val="24"/>
          <w:szCs w:val="24"/>
          <w:rtl w:val="0"/>
          <w:lang w:eastAsia="ar-SA" w:bidi="ar-SA"/>
        </w:rPr>
        <w:t>1</w:t>
      </w:r>
      <w:r>
        <w:rPr>
          <w:rFonts w:ascii="Times New Roman" w:eastAsia="Times New Roman" w:hAnsi="Liberation Serif" w:cs="Liberation Serif"/>
          <w:sz w:val="24"/>
          <w:szCs w:val="24"/>
          <w:rtl w:val="0"/>
          <w:lang w:eastAsia="ar-SA" w:bidi="ar-SA"/>
        </w:rPr>
        <w:t xml:space="preserve">. </w:t>
      </w:r>
      <w:r>
        <w:rPr>
          <w:rFonts w:ascii="Times New Roman" w:eastAsia="Times New Roman" w:hAnsi="Liberation Serif" w:cs="Liberation Serif"/>
          <w:b/>
          <w:sz w:val="24"/>
          <w:szCs w:val="24"/>
          <w:rtl w:val="0"/>
          <w:lang w:eastAsia="ar-SA" w:bidi="ar-SA"/>
        </w:rPr>
        <w:t>Navrhovateľ zákona:</w:t>
      </w:r>
      <w:r>
        <w:rPr>
          <w:rFonts w:ascii="Times New Roman" w:eastAsia="Times New Roman" w:hAnsi="Liberation Serif" w:cs="Liberation Serif"/>
          <w:sz w:val="24"/>
          <w:szCs w:val="24"/>
          <w:rtl w:val="0"/>
          <w:lang w:eastAsia="ar-SA" w:bidi="ar-SA"/>
        </w:rPr>
        <w:t xml:space="preserve"> poslanec Národnej rady Slovenskej republiky -  Oto Žarnay</w:t>
      </w:r>
      <w:r>
        <w:rPr>
          <w:rFonts w:ascii="Times New Roman" w:eastAsia="Arial" w:hAnsi="Liberation Serif" w:cs="Liberation Serif"/>
          <w:sz w:val="24"/>
          <w:szCs w:val="24"/>
          <w:rtl w:val="0"/>
          <w:lang w:eastAsia="ar-SA" w:bidi="ar-SA"/>
        </w:rPr>
        <w:t xml:space="preserve">.  </w:t>
      </w:r>
    </w:p>
    <w:p>
      <w:pPr>
        <w:widowControl w:val="0"/>
        <w:jc w:val="both"/>
        <w:rPr>
          <w:rFonts w:ascii="Times New Roman" w:eastAsia="Times New Roman" w:hAnsi="Liberation Serif" w:cs="Liberation Serif"/>
          <w:sz w:val="24"/>
          <w:szCs w:val="24"/>
          <w:rtl w:val="0"/>
          <w:lang w:eastAsia="ar-SA" w:bidi="ar-SA"/>
        </w:rPr>
      </w:pPr>
    </w:p>
    <w:p>
      <w:pPr>
        <w:pStyle w:val="Telotextu"/>
        <w:jc w:val="both"/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b/>
          <w:sz w:val="24"/>
          <w:szCs w:val="24"/>
          <w:rtl w:val="0"/>
        </w:rPr>
        <w:t>2.</w:t>
      </w:r>
      <w:r>
        <w:rPr>
          <w:rFonts w:ascii="Times New Roman" w:eastAsia="Times New Roman" w:hAnsi="Liberation Serif" w:cs="Liberation Serif"/>
          <w:sz w:val="24"/>
          <w:szCs w:val="24"/>
          <w:rtl w:val="0"/>
        </w:rPr>
        <w:t xml:space="preserve"> </w:t>
      </w:r>
      <w:r>
        <w:rPr>
          <w:rFonts w:ascii="Times New Roman" w:eastAsia="Times New Roman" w:hAnsi="Liberation Serif" w:cs="Liberation Serif"/>
          <w:b/>
          <w:sz w:val="24"/>
          <w:szCs w:val="24"/>
          <w:rtl w:val="0"/>
        </w:rPr>
        <w:t xml:space="preserve">Názov návrhu zákona: </w:t>
      </w:r>
      <w:bookmarkStart w:id="0" w:name="__DdeLink__116266_1373068288"/>
      <w:r>
        <w:rPr>
          <w:rFonts w:ascii="Times New Roman" w:eastAsia="Arial" w:hAnsi="Liberation Serif" w:cs="Liberation Serif"/>
          <w:sz w:val="24"/>
          <w:szCs w:val="24"/>
          <w:rtl w:val="0"/>
        </w:rPr>
        <w:t>Návrh zákona, k</w:t>
      </w:r>
      <w:r>
        <w:rPr>
          <w:rFonts w:ascii="Times New Roman" w:eastAsia="Arial" w:hAnsi="Liberation Serif" w:cs="Liberation Serif"/>
          <w:b w:val="0"/>
          <w:sz w:val="24"/>
          <w:szCs w:val="24"/>
          <w:rtl w:val="0"/>
        </w:rPr>
        <w:t xml:space="preserve">torým sa dopĺňa zákon Národnej rady Slovenskej republiky č. 596/2003 Z. z. o štátnej správe v školstve a školskej samospráve </w:t>
      </w:r>
      <w:bookmarkStart w:id="1" w:name="__DdeLink__8084_571181498"/>
      <w:r>
        <w:rPr>
          <w:rFonts w:ascii="Times New Roman" w:hAnsi="Liberation Serif" w:cs="Liberation Serif"/>
          <w:b w:val="0"/>
          <w:i w:val="0"/>
          <w:caps w:val="0"/>
          <w:smallCaps w:val="0"/>
          <w:color w:val="070707"/>
          <w:spacing w:val="0"/>
          <w:sz w:val="24"/>
          <w:szCs w:val="24"/>
          <w:rtl w:val="0"/>
          <w:lang w:eastAsia="hi-IN"/>
        </w:rPr>
        <w:t>a o zmene a doplnení niektorých zákonov</w:t>
      </w:r>
      <w:r>
        <w:rPr>
          <w:rFonts w:ascii="Times New Roman" w:eastAsia="Arial" w:hAnsi="Liberation Serif" w:cs="Liberation Serif"/>
          <w:b w:val="0"/>
          <w:sz w:val="24"/>
          <w:szCs w:val="24"/>
          <w:rtl w:val="0"/>
        </w:rPr>
        <w:t>.</w:t>
      </w:r>
      <w:bookmarkEnd w:id="0"/>
      <w:bookmarkEnd w:id="1"/>
      <w:r>
        <w:rPr>
          <w:rFonts w:ascii="Times New Roman" w:eastAsia="Arial" w:hAnsi="Liberation Serif" w:cs="Liberation Serif"/>
          <w:sz w:val="24"/>
          <w:szCs w:val="24"/>
          <w:rtl w:val="0"/>
        </w:rPr>
        <w:t xml:space="preserve"> </w:t>
      </w:r>
    </w:p>
    <w:p>
      <w:pPr>
        <w:ind w:right="89"/>
        <w:jc w:val="both"/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b/>
          <w:sz w:val="24"/>
          <w:szCs w:val="24"/>
          <w:rtl w:val="0"/>
          <w:lang w:eastAsia="ar-SA" w:bidi="ar-SA"/>
        </w:rPr>
        <w:t>3.</w:t>
      </w:r>
      <w:r>
        <w:rPr>
          <w:rFonts w:ascii="Times New Roman" w:eastAsia="Times New Roman" w:hAnsi="Liberation Serif" w:cs="Liberation Serif"/>
          <w:sz w:val="24"/>
          <w:szCs w:val="24"/>
          <w:rtl w:val="0"/>
          <w:lang w:eastAsia="ar-SA" w:bidi="ar-SA"/>
        </w:rPr>
        <w:t xml:space="preserve"> </w:t>
      </w:r>
      <w:r>
        <w:rPr>
          <w:rFonts w:ascii="Times New Roman" w:eastAsia="Times New Roman" w:hAnsi="Liberation Serif" w:cs="Liberation Serif"/>
          <w:b/>
          <w:sz w:val="24"/>
          <w:szCs w:val="24"/>
          <w:rtl w:val="0"/>
          <w:lang w:eastAsia="ar-SA" w:bidi="ar-SA"/>
        </w:rPr>
        <w:t>Predmet návrhu zákona:</w:t>
      </w:r>
    </w:p>
    <w:p>
      <w:pPr>
        <w:pStyle w:val="BodyTextIndent3"/>
        <w:widowControl w:val="0"/>
        <w:spacing w:after="0"/>
        <w:ind w:left="680" w:hanging="340"/>
        <w:jc w:val="both"/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sz w:val="24"/>
          <w:szCs w:val="24"/>
          <w:rtl w:val="0"/>
        </w:rPr>
        <w:t>a)</w:t>
        <w:tab/>
        <w:t>nie je upravený v práve Európskej únie,</w:t>
      </w:r>
    </w:p>
    <w:p>
      <w:pPr>
        <w:widowControl w:val="0"/>
        <w:ind w:left="680" w:hanging="340"/>
        <w:jc w:val="both"/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sz w:val="24"/>
          <w:szCs w:val="24"/>
          <w:rtl w:val="0"/>
          <w:lang w:eastAsia="ar-SA" w:bidi="ar-SA"/>
        </w:rPr>
        <w:t>b)</w:t>
        <w:tab/>
        <w:t>nie je obsiahnutý v judikatúre Súdneho dvora Európskej únie.</w:t>
      </w:r>
    </w:p>
    <w:p>
      <w:pPr>
        <w:widowControl w:val="0"/>
        <w:ind w:left="680" w:hanging="340"/>
        <w:jc w:val="both"/>
        <w:rPr>
          <w:rFonts w:ascii="Times New Roman" w:eastAsia="Times New Roman" w:hAnsi="Liberation Serif" w:cs="Liberation Serif"/>
          <w:sz w:val="24"/>
          <w:szCs w:val="24"/>
          <w:rtl w:val="0"/>
          <w:lang w:eastAsia="ar-SA" w:bidi="ar-SA"/>
        </w:rPr>
      </w:pPr>
    </w:p>
    <w:p>
      <w:pPr>
        <w:widowControl w:val="0"/>
        <w:spacing w:before="0" w:after="0"/>
        <w:ind w:left="360" w:hanging="360"/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b/>
          <w:sz w:val="24"/>
          <w:szCs w:val="24"/>
          <w:rtl w:val="0"/>
          <w:lang w:eastAsia="ar-SA" w:bidi="ar-SA"/>
        </w:rPr>
        <w:t>4.</w:t>
        <w:tab/>
        <w:t xml:space="preserve">Záväzky Slovenskej republiky vo vzťahu k Európskej únii: </w:t>
      </w:r>
    </w:p>
    <w:p>
      <w:pPr>
        <w:widowControl w:val="0"/>
        <w:spacing w:before="0" w:after="0"/>
        <w:rPr>
          <w:rFonts w:ascii="Times New Roman" w:eastAsia="Verdana" w:hAnsi="Liberation Serif" w:cs="Liberation Serif"/>
          <w:sz w:val="24"/>
          <w:szCs w:val="24"/>
          <w:rtl w:val="0"/>
          <w:lang w:eastAsia="ar-SA" w:bidi="ar-SA"/>
        </w:rPr>
      </w:pPr>
    </w:p>
    <w:p>
      <w:pPr>
        <w:widowControl w:val="0"/>
        <w:spacing w:before="0" w:after="0"/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sz w:val="24"/>
          <w:szCs w:val="24"/>
          <w:rtl w:val="0"/>
          <w:lang w:eastAsia="sk-SK"/>
        </w:rPr>
        <w:t xml:space="preserve">      </w:t>
      </w:r>
      <w:r>
        <w:rPr>
          <w:rFonts w:ascii="Times New Roman" w:eastAsia="Times New Roman" w:hAnsi="Liberation Serif" w:cs="Liberation Serif"/>
          <w:sz w:val="24"/>
          <w:szCs w:val="24"/>
          <w:rtl w:val="0"/>
          <w:lang w:eastAsia="ar-SA" w:bidi="ar-SA"/>
        </w:rPr>
        <w:t xml:space="preserve">Bezpredmetné </w:t>
      </w:r>
    </w:p>
    <w:p>
      <w:pPr>
        <w:widowControl w:val="0"/>
        <w:spacing w:before="0" w:after="0"/>
        <w:ind w:firstLine="708"/>
        <w:rPr>
          <w:rFonts w:ascii="Times New Roman" w:eastAsia="Times New Roman" w:hAnsi="Liberation Serif" w:cs="Liberation Serif"/>
          <w:sz w:val="24"/>
          <w:szCs w:val="24"/>
          <w:rtl w:val="0"/>
          <w:lang w:eastAsia="ar-SA" w:bidi="ar-SA"/>
        </w:rPr>
      </w:pPr>
    </w:p>
    <w:p>
      <w:pPr>
        <w:widowControl w:val="0"/>
        <w:spacing w:before="0" w:after="0"/>
        <w:ind w:left="360" w:hanging="360"/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b/>
          <w:sz w:val="24"/>
          <w:szCs w:val="24"/>
          <w:rtl w:val="0"/>
          <w:lang w:eastAsia="ar-SA" w:bidi="ar-SA"/>
        </w:rPr>
        <w:t>5.</w:t>
        <w:tab/>
        <w:t>Stupeň zlučiteľnosti návrhu právneho predpisu s právom Európskej únie:</w:t>
      </w:r>
    </w:p>
    <w:p>
      <w:pPr>
        <w:widowControl w:val="0"/>
        <w:spacing w:before="0" w:after="0"/>
        <w:rPr>
          <w:rFonts w:ascii="Times New Roman" w:eastAsia="Verdana" w:hAnsi="Liberation Serif" w:cs="Liberation Serif"/>
          <w:sz w:val="24"/>
          <w:szCs w:val="24"/>
          <w:rtl w:val="0"/>
          <w:lang w:eastAsia="ar-SA" w:bidi="ar-SA"/>
        </w:rPr>
      </w:pPr>
    </w:p>
    <w:p>
      <w:pPr>
        <w:widowControl w:val="0"/>
        <w:spacing w:before="0" w:after="0"/>
        <w:ind w:firstLine="360"/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b w:val="0"/>
          <w:sz w:val="24"/>
          <w:szCs w:val="24"/>
          <w:rtl w:val="0"/>
          <w:lang w:eastAsia="ar-SA" w:bidi="ar-SA"/>
        </w:rPr>
        <w:t xml:space="preserve">Stupeň zlučiteľnosti – úplný </w:t>
      </w:r>
    </w:p>
    <w:p>
      <w:pPr>
        <w:pStyle w:val="NormalWeb"/>
        <w:spacing w:before="0" w:after="0"/>
        <w:ind w:right="-108"/>
        <w:jc w:val="center"/>
        <w:rPr>
          <w:rFonts w:ascii="Times New Roman" w:eastAsia="Times New Roman" w:hAnsi="Liberation Serif" w:cs="Liberation Serif"/>
          <w:b/>
          <w:szCs w:val="24"/>
          <w:rtl w:val="0"/>
        </w:rPr>
      </w:pPr>
    </w:p>
    <w:p>
      <w:pPr>
        <w:pStyle w:val="NormalWeb"/>
        <w:spacing w:before="0" w:after="0"/>
        <w:ind w:right="-108"/>
        <w:jc w:val="center"/>
        <w:rPr>
          <w:rFonts w:ascii="Times New Roman" w:eastAsia="Times New Roman" w:hAnsi="Liberation Serif" w:cs="Liberation Serif"/>
          <w:b/>
          <w:szCs w:val="24"/>
          <w:rtl w:val="0"/>
        </w:rPr>
      </w:pPr>
    </w:p>
    <w:p>
      <w:pPr>
        <w:pStyle w:val="NormalWeb"/>
        <w:spacing w:before="0" w:after="0"/>
        <w:ind w:right="-108"/>
        <w:jc w:val="center"/>
        <w:rPr>
          <w:rFonts w:ascii="Times New Roman" w:eastAsia="Times New Roman" w:hAnsi="Liberation Serif" w:cs="Liberation Serif"/>
          <w:b/>
          <w:szCs w:val="24"/>
          <w:rtl w:val="0"/>
        </w:rPr>
      </w:pPr>
    </w:p>
    <w:p>
      <w:pPr>
        <w:pStyle w:val="NormalWeb"/>
        <w:spacing w:before="0" w:after="0"/>
        <w:ind w:right="-108"/>
        <w:jc w:val="center"/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b/>
          <w:szCs w:val="24"/>
          <w:rtl w:val="0"/>
        </w:rPr>
        <w:t>DOLOŽKA VYBRANÝCH VPLYVOV</w:t>
      </w:r>
    </w:p>
    <w:p>
      <w:pPr>
        <w:rPr>
          <w:rFonts w:ascii="Times New Roman" w:eastAsia="Times New Roman" w:hAnsi="Liberation Serif" w:cs="Liberation Serif"/>
          <w:sz w:val="24"/>
          <w:szCs w:val="24"/>
          <w:rtl w:val="0"/>
          <w:lang w:eastAsia="ar-SA" w:bidi="ar-SA"/>
        </w:rPr>
      </w:pPr>
    </w:p>
    <w:p>
      <w:pPr>
        <w:pStyle w:val="Telotextu"/>
        <w:jc w:val="both"/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b/>
          <w:sz w:val="24"/>
          <w:szCs w:val="24"/>
          <w:rtl w:val="0"/>
        </w:rPr>
        <w:t>A.1. Názov materiálu:</w:t>
      </w:r>
      <w:r>
        <w:rPr>
          <w:rFonts w:ascii="Times New Roman" w:eastAsia="Times New Roman" w:hAnsi="Liberation Serif" w:cs="Liberation Serif"/>
          <w:sz w:val="24"/>
          <w:szCs w:val="24"/>
          <w:rtl w:val="0"/>
        </w:rPr>
        <w:t xml:space="preserve"> </w:t>
      </w:r>
      <w:r>
        <w:rPr>
          <w:rFonts w:ascii="Times New Roman" w:eastAsia="Arial" w:hAnsi="Liberation Serif" w:cs="Liberation Serif"/>
          <w:sz w:val="24"/>
          <w:szCs w:val="24"/>
          <w:rtl w:val="0"/>
        </w:rPr>
        <w:t>Návrh zákona, k</w:t>
      </w:r>
      <w:r>
        <w:rPr>
          <w:rFonts w:ascii="Times New Roman" w:eastAsia="Arial" w:hAnsi="Liberation Serif" w:cs="Liberation Serif"/>
          <w:b w:val="0"/>
          <w:sz w:val="24"/>
          <w:szCs w:val="24"/>
          <w:rtl w:val="0"/>
        </w:rPr>
        <w:t xml:space="preserve">torým sa dopĺňa zákon Národnej rady Slovenskej republiky č. 596/2003 Z. z. o štátnej správe v školstve a školskej samospráve </w:t>
      </w:r>
      <w:r>
        <w:rPr>
          <w:rFonts w:ascii="Times New Roman" w:hAnsi="Liberation Serif" w:cs="Liberation Serif"/>
          <w:b w:val="0"/>
          <w:i w:val="0"/>
          <w:caps w:val="0"/>
          <w:smallCaps w:val="0"/>
          <w:color w:val="070707"/>
          <w:spacing w:val="0"/>
          <w:sz w:val="24"/>
          <w:szCs w:val="24"/>
          <w:rtl w:val="0"/>
          <w:lang w:eastAsia="hi-IN"/>
        </w:rPr>
        <w:t>a o zmene a doplnení niektorých zákonov</w:t>
      </w:r>
      <w:r>
        <w:rPr>
          <w:rFonts w:ascii="Times New Roman" w:eastAsia="Arial" w:hAnsi="Liberation Serif" w:cs="Liberation Serif"/>
          <w:b w:val="0"/>
          <w:sz w:val="24"/>
          <w:szCs w:val="24"/>
          <w:rtl w:val="0"/>
        </w:rPr>
        <w:t xml:space="preserve">.  </w:t>
      </w:r>
    </w:p>
    <w:p>
      <w:pPr>
        <w:pStyle w:val="Telotextu"/>
        <w:jc w:val="both"/>
        <w:rPr>
          <w:rFonts w:hAnsi="Liberation Serif" w:cs="Liberation Serif"/>
          <w:szCs w:val="24"/>
          <w:rtl w:val="0"/>
        </w:rPr>
      </w:pPr>
    </w:p>
    <w:p>
      <w:pPr>
        <w:pStyle w:val="Telotextu"/>
        <w:jc w:val="both"/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sz w:val="24"/>
          <w:szCs w:val="24"/>
          <w:rtl w:val="0"/>
        </w:rPr>
        <w:t>Termín začatia a ukončenia PPK: bezpredmetné</w:t>
      </w:r>
    </w:p>
    <w:p>
      <w:pPr>
        <w:rPr>
          <w:rFonts w:hAnsi="Liberation Serif" w:cs="Liberation Serif"/>
          <w:szCs w:val="24"/>
          <w:rtl w:val="0"/>
        </w:rPr>
      </w:pPr>
    </w:p>
    <w:p>
      <w:pPr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b/>
          <w:sz w:val="24"/>
          <w:szCs w:val="24"/>
          <w:rtl w:val="0"/>
          <w:lang w:eastAsia="ar-SA" w:bidi="ar-SA"/>
        </w:rPr>
        <w:t>A.2. Vplyvy:</w:t>
      </w:r>
    </w:p>
    <w:p>
      <w:pPr>
        <w:pStyle w:val="BodyTextIndent3"/>
        <w:widowControl w:val="0"/>
        <w:spacing w:after="0"/>
        <w:ind w:left="0" w:firstLine="340"/>
        <w:rPr>
          <w:rFonts w:ascii="Times New Roman" w:eastAsia="Times New Roman" w:hAnsi="Liberation Serif" w:cs="Liberation Serif"/>
          <w:b/>
          <w:sz w:val="24"/>
          <w:szCs w:val="24"/>
          <w:rtl w:val="0"/>
        </w:rPr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336"/>
        <w:gridCol w:w="1183"/>
        <w:gridCol w:w="1162"/>
        <w:gridCol w:w="1195"/>
      </w:tblGrid>
      <w:tr>
        <w:tblPrEx>
          <w:jc w:val="left"/>
          <w:tblLayout w:type="fixed"/>
          <w:tblCellMar>
            <w:left w:w="0" w:type="dxa"/>
            <w:right w:w="0" w:type="dxa"/>
          </w:tblCellMar>
        </w:tblPrEx>
        <w:trPr>
          <w:jc w:val="left"/>
        </w:trPr>
        <w:tc>
          <w:tcPr>
            <w:tcW w:w="53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both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sk-SK"/>
              </w:rPr>
              <w:t> </w:t>
            </w:r>
          </w:p>
        </w:tc>
        <w:tc>
          <w:tcPr>
            <w:tcW w:w="1183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both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sk-SK"/>
              </w:rPr>
              <w:t> </w:t>
            </w: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ar-SA" w:bidi="ar-SA"/>
              </w:rPr>
              <w:t>Pozitívne </w:t>
            </w:r>
          </w:p>
        </w:tc>
        <w:tc>
          <w:tcPr>
            <w:tcW w:w="1162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both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sk-SK"/>
              </w:rPr>
              <w:t> </w:t>
            </w: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ar-SA" w:bidi="ar-SA"/>
              </w:rPr>
              <w:t>Žiadne </w:t>
            </w:r>
          </w:p>
        </w:tc>
        <w:tc>
          <w:tcPr>
            <w:tcW w:w="1195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both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sk-SK"/>
              </w:rPr>
              <w:t> </w:t>
            </w: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ar-SA" w:bidi="ar-SA"/>
              </w:rPr>
              <w:t>Negatívne </w:t>
            </w:r>
          </w:p>
        </w:tc>
      </w:tr>
      <w:tr>
        <w:tblPrEx>
          <w:jc w:val="left"/>
          <w:tblLayout w:type="fixed"/>
          <w:tblCellMar>
            <w:left w:w="0" w:type="dxa"/>
            <w:right w:w="0" w:type="dxa"/>
          </w:tblCellMar>
        </w:tblPrEx>
        <w:trPr>
          <w:jc w:val="left"/>
        </w:trPr>
        <w:tc>
          <w:tcPr>
            <w:tcW w:w="533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both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ar-SA" w:bidi="ar-SA"/>
              </w:rPr>
              <w:t>1. Vplyvy na rozpočet verejnej správy</w:t>
            </w:r>
          </w:p>
        </w:tc>
        <w:tc>
          <w:tcPr>
            <w:tcW w:w="1183" w:type="dxa"/>
            <w:tcBorders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center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sk-SK"/>
              </w:rPr>
              <w:t> </w:t>
            </w:r>
          </w:p>
        </w:tc>
        <w:tc>
          <w:tcPr>
            <w:tcW w:w="1162" w:type="dxa"/>
            <w:tcBorders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center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Times New Roman" w:hAnsi="Liberation Serif" w:cs="Liberation Serif"/>
                <w:sz w:val="24"/>
                <w:szCs w:val="24"/>
                <w:rtl w:val="0"/>
                <w:lang w:eastAsia="ar-SA" w:bidi="ar-SA"/>
              </w:rPr>
              <w:t>x</w:t>
            </w:r>
          </w:p>
        </w:tc>
        <w:tc>
          <w:tcPr>
            <w:tcW w:w="1195" w:type="dxa"/>
            <w:tcBorders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center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sk-SK"/>
              </w:rPr>
              <w:t> </w:t>
            </w:r>
          </w:p>
        </w:tc>
      </w:tr>
      <w:tr>
        <w:tblPrEx>
          <w:jc w:val="left"/>
          <w:tblLayout w:type="fixed"/>
          <w:tblCellMar>
            <w:left w:w="0" w:type="dxa"/>
            <w:right w:w="0" w:type="dxa"/>
          </w:tblCellMar>
        </w:tblPrEx>
        <w:trPr>
          <w:jc w:val="left"/>
        </w:trPr>
        <w:tc>
          <w:tcPr>
            <w:tcW w:w="533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both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ar-SA" w:bidi="ar-SA"/>
              </w:rPr>
              <w:t>2. Vplyvy na podnikateľské prostredie – dochádza k zvýšeniu regulačného zaťaženia?</w:t>
            </w:r>
          </w:p>
        </w:tc>
        <w:tc>
          <w:tcPr>
            <w:tcW w:w="1183" w:type="dxa"/>
            <w:tcBorders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center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sk-SK"/>
              </w:rPr>
              <w:t> </w:t>
            </w:r>
          </w:p>
        </w:tc>
        <w:tc>
          <w:tcPr>
            <w:tcW w:w="1162" w:type="dxa"/>
            <w:tcBorders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center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ar-SA" w:bidi="ar-SA"/>
              </w:rPr>
              <w:t>x</w:t>
            </w:r>
          </w:p>
        </w:tc>
        <w:tc>
          <w:tcPr>
            <w:tcW w:w="1195" w:type="dxa"/>
            <w:tcBorders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center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sk-SK"/>
              </w:rPr>
              <w:t> </w:t>
            </w:r>
          </w:p>
        </w:tc>
      </w:tr>
      <w:tr>
        <w:tblPrEx>
          <w:jc w:val="left"/>
          <w:tblLayout w:type="fixed"/>
          <w:tblCellMar>
            <w:left w:w="0" w:type="dxa"/>
            <w:right w:w="0" w:type="dxa"/>
          </w:tblCellMar>
        </w:tblPrEx>
        <w:trPr>
          <w:jc w:val="left"/>
        </w:trPr>
        <w:tc>
          <w:tcPr>
            <w:tcW w:w="533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both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ar-SA" w:bidi="ar-SA"/>
              </w:rPr>
              <w:t>3. Sociálne vplyvy</w:t>
            </w:r>
          </w:p>
        </w:tc>
        <w:tc>
          <w:tcPr>
            <w:tcW w:w="1183" w:type="dxa"/>
            <w:tcBorders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center"/>
              <w:rPr>
                <w:rFonts w:eastAsia="Arial" w:hAnsi="Liberation Serif" w:cs="Liberation Serif"/>
                <w:sz w:val="24"/>
                <w:szCs w:val="24"/>
                <w:rtl w:val="0"/>
                <w:lang w:eastAsia="ar-SA" w:bidi="ar-SA"/>
              </w:rPr>
            </w:pPr>
          </w:p>
        </w:tc>
        <w:tc>
          <w:tcPr>
            <w:tcW w:w="1162" w:type="dxa"/>
            <w:tcBorders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center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ar-SA" w:bidi="ar-SA"/>
              </w:rPr>
              <w:t>x </w:t>
            </w:r>
          </w:p>
        </w:tc>
        <w:tc>
          <w:tcPr>
            <w:tcW w:w="1195" w:type="dxa"/>
            <w:tcBorders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center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sk-SK"/>
              </w:rPr>
              <w:t> </w:t>
            </w:r>
          </w:p>
        </w:tc>
      </w:tr>
      <w:tr>
        <w:tblPrEx>
          <w:jc w:val="left"/>
          <w:tblLayout w:type="fixed"/>
          <w:tblCellMar>
            <w:left w:w="0" w:type="dxa"/>
            <w:right w:w="0" w:type="dxa"/>
          </w:tblCellMar>
        </w:tblPrEx>
        <w:trPr>
          <w:jc w:val="left"/>
        </w:trPr>
        <w:tc>
          <w:tcPr>
            <w:tcW w:w="533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both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sk-SK"/>
              </w:rPr>
              <w:t xml:space="preserve">– </w:t>
            </w: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ar-SA" w:bidi="ar-SA"/>
              </w:rPr>
              <w:t>vplyvy na hospodárenie obyvateľstva,</w:t>
            </w:r>
          </w:p>
        </w:tc>
        <w:tc>
          <w:tcPr>
            <w:tcW w:w="1183" w:type="dxa"/>
            <w:tcBorders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center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sk-SK"/>
              </w:rPr>
              <w:t> </w:t>
            </w:r>
          </w:p>
        </w:tc>
        <w:tc>
          <w:tcPr>
            <w:tcW w:w="1162" w:type="dxa"/>
            <w:tcBorders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center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ar-SA" w:bidi="ar-SA"/>
              </w:rPr>
              <w:t>x</w:t>
            </w:r>
          </w:p>
        </w:tc>
        <w:tc>
          <w:tcPr>
            <w:tcW w:w="1195" w:type="dxa"/>
            <w:tcBorders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center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sk-SK"/>
              </w:rPr>
              <w:t> </w:t>
            </w:r>
          </w:p>
        </w:tc>
      </w:tr>
      <w:tr>
        <w:tblPrEx>
          <w:jc w:val="left"/>
          <w:tblLayout w:type="fixed"/>
          <w:tblCellMar>
            <w:left w:w="0" w:type="dxa"/>
            <w:right w:w="0" w:type="dxa"/>
          </w:tblCellMar>
        </w:tblPrEx>
        <w:trPr>
          <w:jc w:val="left"/>
        </w:trPr>
        <w:tc>
          <w:tcPr>
            <w:tcW w:w="533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both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sk-SK"/>
              </w:rPr>
              <w:t xml:space="preserve">– </w:t>
            </w: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ar-SA" w:bidi="ar-SA"/>
              </w:rPr>
              <w:t>sociálnu exklúziu,</w:t>
            </w:r>
          </w:p>
        </w:tc>
        <w:tc>
          <w:tcPr>
            <w:tcW w:w="1183" w:type="dxa"/>
            <w:tcBorders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center"/>
              <w:rPr>
                <w:rFonts w:eastAsia="Arial" w:hAnsi="Liberation Serif" w:cs="Liberation Serif"/>
                <w:sz w:val="24"/>
                <w:szCs w:val="24"/>
                <w:rtl w:val="0"/>
                <w:lang w:eastAsia="ar-SA" w:bidi="ar-SA"/>
              </w:rPr>
            </w:pPr>
          </w:p>
        </w:tc>
        <w:tc>
          <w:tcPr>
            <w:tcW w:w="1162" w:type="dxa"/>
            <w:tcBorders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center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sk-SK"/>
              </w:rPr>
              <w:t> </w:t>
            </w: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ar-SA" w:bidi="ar-SA"/>
              </w:rPr>
              <w:t>x</w:t>
            </w:r>
          </w:p>
        </w:tc>
        <w:tc>
          <w:tcPr>
            <w:tcW w:w="1195" w:type="dxa"/>
            <w:tcBorders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center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sk-SK"/>
              </w:rPr>
              <w:t> </w:t>
            </w:r>
          </w:p>
        </w:tc>
      </w:tr>
      <w:tr>
        <w:tblPrEx>
          <w:jc w:val="left"/>
          <w:tblLayout w:type="fixed"/>
          <w:tblCellMar>
            <w:left w:w="0" w:type="dxa"/>
            <w:right w:w="0" w:type="dxa"/>
          </w:tblCellMar>
        </w:tblPrEx>
        <w:trPr>
          <w:jc w:val="left"/>
        </w:trPr>
        <w:tc>
          <w:tcPr>
            <w:tcW w:w="533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both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sk-SK"/>
              </w:rPr>
              <w:t xml:space="preserve">– </w:t>
            </w: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ar-SA" w:bidi="ar-SA"/>
              </w:rPr>
              <w:t>rovnosť príležitostí a rodovú rovnosť a vplyvy na zamestnanosť</w:t>
            </w:r>
          </w:p>
        </w:tc>
        <w:tc>
          <w:tcPr>
            <w:tcW w:w="1183" w:type="dxa"/>
            <w:tcBorders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center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sk-SK"/>
              </w:rPr>
              <w:t>x</w:t>
            </w:r>
          </w:p>
        </w:tc>
        <w:tc>
          <w:tcPr>
            <w:tcW w:w="1162" w:type="dxa"/>
            <w:tcBorders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center"/>
              <w:rPr>
                <w:rFonts w:hAnsi="Liberation Serif" w:cs="Liberation Serif"/>
                <w:szCs w:val="24"/>
                <w:rtl w:val="0"/>
              </w:rPr>
            </w:pPr>
          </w:p>
        </w:tc>
        <w:tc>
          <w:tcPr>
            <w:tcW w:w="1195" w:type="dxa"/>
            <w:tcBorders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center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sk-SK"/>
              </w:rPr>
              <w:t> </w:t>
            </w:r>
          </w:p>
        </w:tc>
      </w:tr>
      <w:tr>
        <w:tblPrEx>
          <w:jc w:val="left"/>
          <w:tblLayout w:type="fixed"/>
          <w:tblCellMar>
            <w:left w:w="0" w:type="dxa"/>
            <w:right w:w="0" w:type="dxa"/>
          </w:tblCellMar>
        </w:tblPrEx>
        <w:trPr>
          <w:jc w:val="left"/>
        </w:trPr>
        <w:tc>
          <w:tcPr>
            <w:tcW w:w="533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both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ar-SA" w:bidi="ar-SA"/>
              </w:rPr>
              <w:t>4. Vplyvy na životné prostredie</w:t>
            </w:r>
          </w:p>
        </w:tc>
        <w:tc>
          <w:tcPr>
            <w:tcW w:w="1183" w:type="dxa"/>
            <w:tcBorders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center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sk-SK"/>
              </w:rPr>
              <w:t> </w:t>
            </w:r>
          </w:p>
        </w:tc>
        <w:tc>
          <w:tcPr>
            <w:tcW w:w="1162" w:type="dxa"/>
            <w:tcBorders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center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ar-SA" w:bidi="ar-SA"/>
              </w:rPr>
              <w:t>x</w:t>
            </w:r>
          </w:p>
        </w:tc>
        <w:tc>
          <w:tcPr>
            <w:tcW w:w="1195" w:type="dxa"/>
            <w:tcBorders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center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sk-SK"/>
              </w:rPr>
              <w:t> </w:t>
            </w:r>
          </w:p>
        </w:tc>
      </w:tr>
      <w:tr>
        <w:tblPrEx>
          <w:jc w:val="left"/>
          <w:tblLayout w:type="fixed"/>
          <w:tblCellMar>
            <w:left w:w="0" w:type="dxa"/>
            <w:right w:w="0" w:type="dxa"/>
          </w:tblCellMar>
        </w:tblPrEx>
        <w:trPr>
          <w:jc w:val="left"/>
        </w:trPr>
        <w:tc>
          <w:tcPr>
            <w:tcW w:w="533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both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ar-SA" w:bidi="ar-SA"/>
              </w:rPr>
              <w:t>5. Vplyvy na informatizáciu spoločnosti</w:t>
            </w:r>
          </w:p>
        </w:tc>
        <w:tc>
          <w:tcPr>
            <w:tcW w:w="1183" w:type="dxa"/>
            <w:tcBorders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center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sk-SK"/>
              </w:rPr>
              <w:t> </w:t>
            </w:r>
          </w:p>
        </w:tc>
        <w:tc>
          <w:tcPr>
            <w:tcW w:w="1162" w:type="dxa"/>
            <w:tcBorders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center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ar-SA" w:bidi="ar-SA"/>
              </w:rPr>
              <w:t>x</w:t>
            </w:r>
          </w:p>
        </w:tc>
        <w:tc>
          <w:tcPr>
            <w:tcW w:w="1195" w:type="dxa"/>
            <w:tcBorders>
              <w:bottom w:val="single" w:sz="8" w:space="0" w:color="000001"/>
              <w:right w:val="single" w:sz="8" w:space="0" w:color="000001"/>
            </w:tcBorders>
            <w:vAlign w:val="center"/>
          </w:tcPr>
          <w:p>
            <w:pPr>
              <w:spacing w:before="120" w:after="0"/>
              <w:jc w:val="center"/>
              <w:rPr>
                <w:rFonts w:hAnsi="Liberation Serif" w:cs="Liberation Serif"/>
                <w:szCs w:val="24"/>
              </w:rPr>
            </w:pPr>
            <w:r>
              <w:rPr>
                <w:rFonts w:ascii="Times New Roman" w:eastAsia="Arial" w:hAnsi="Liberation Serif" w:cs="Liberation Serif"/>
                <w:sz w:val="24"/>
                <w:szCs w:val="24"/>
                <w:rtl w:val="0"/>
                <w:lang w:eastAsia="sk-SK"/>
              </w:rPr>
              <w:t> </w:t>
            </w:r>
          </w:p>
        </w:tc>
      </w:tr>
    </w:tbl>
    <w:p>
      <w:pPr>
        <w:pStyle w:val="NormalWeb"/>
        <w:spacing w:before="0" w:after="0"/>
        <w:jc w:val="both"/>
        <w:rPr>
          <w:rFonts w:ascii="Times New Roman" w:eastAsia="Times New Roman" w:hAnsi="Liberation Serif" w:cs="Liberation Serif"/>
          <w:b/>
          <w:sz w:val="16"/>
          <w:szCs w:val="24"/>
          <w:rtl w:val="0"/>
        </w:rPr>
      </w:pPr>
    </w:p>
    <w:p>
      <w:pPr>
        <w:pStyle w:val="NormalWeb"/>
        <w:spacing w:before="0" w:after="0"/>
        <w:jc w:val="both"/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b/>
          <w:sz w:val="16"/>
          <w:szCs w:val="24"/>
          <w:rtl w:val="0"/>
        </w:rPr>
        <w:t>*</w:t>
      </w:r>
      <w:r>
        <w:rPr>
          <w:rFonts w:ascii="Times New Roman" w:eastAsia="Times New Roman" w:hAnsi="Liberation Serif" w:cs="Liberation Serif"/>
          <w:sz w:val="16"/>
          <w:szCs w:val="24"/>
          <w:rtl w:val="0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>
      <w:pPr>
        <w:rPr>
          <w:rFonts w:ascii="Times New Roman" w:eastAsia="Times New Roman" w:hAnsi="Liberation Serif" w:cs="Liberation Serif"/>
          <w:b/>
          <w:sz w:val="24"/>
          <w:szCs w:val="24"/>
          <w:rtl w:val="0"/>
          <w:lang w:eastAsia="ar-SA" w:bidi="ar-SA"/>
        </w:rPr>
      </w:pPr>
    </w:p>
    <w:p>
      <w:pPr>
        <w:rPr>
          <w:rFonts w:ascii="Times New Roman" w:eastAsia="Times New Roman" w:hAnsi="Liberation Serif" w:cs="Liberation Serif"/>
          <w:b/>
          <w:sz w:val="24"/>
          <w:szCs w:val="24"/>
          <w:rtl w:val="0"/>
          <w:lang w:eastAsia="ar-SA" w:bidi="ar-SA"/>
        </w:rPr>
      </w:pPr>
    </w:p>
    <w:p>
      <w:pPr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b/>
          <w:sz w:val="24"/>
          <w:szCs w:val="24"/>
          <w:rtl w:val="0"/>
          <w:lang w:eastAsia="ar-SA" w:bidi="ar-SA"/>
        </w:rPr>
        <w:t>A.3. Poznámky</w:t>
      </w:r>
    </w:p>
    <w:p>
      <w:pPr>
        <w:jc w:val="both"/>
        <w:rPr>
          <w:rFonts w:eastAsia="Arial" w:hAnsi="Liberation Serif" w:cs="Liberation Serif"/>
          <w:sz w:val="24"/>
          <w:szCs w:val="24"/>
          <w:rtl w:val="0"/>
          <w:lang w:eastAsia="ar-SA" w:bidi="ar-SA"/>
        </w:rPr>
      </w:pPr>
    </w:p>
    <w:p>
      <w:pPr>
        <w:rPr>
          <w:rFonts w:ascii="Times New Roman" w:eastAsia="Times New Roman" w:hAnsi="Liberation Serif" w:cs="Liberation Serif"/>
          <w:sz w:val="24"/>
          <w:szCs w:val="24"/>
          <w:rtl w:val="0"/>
          <w:lang w:eastAsia="ar-SA" w:bidi="ar-SA"/>
        </w:rPr>
      </w:pPr>
    </w:p>
    <w:p>
      <w:pPr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b/>
          <w:sz w:val="24"/>
          <w:szCs w:val="24"/>
          <w:rtl w:val="0"/>
          <w:lang w:eastAsia="ar-SA" w:bidi="ar-SA"/>
        </w:rPr>
        <w:t>A.4. Alternatívne riešenia</w:t>
      </w:r>
    </w:p>
    <w:p>
      <w:pPr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sz w:val="24"/>
          <w:szCs w:val="24"/>
          <w:rtl w:val="0"/>
          <w:lang w:eastAsia="sk-SK"/>
        </w:rPr>
        <w:t> </w:t>
      </w:r>
    </w:p>
    <w:p>
      <w:pPr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sz w:val="24"/>
          <w:szCs w:val="24"/>
          <w:rtl w:val="0"/>
          <w:lang w:eastAsia="ar-SA" w:bidi="ar-SA"/>
        </w:rPr>
        <w:t>Nepredkladajú sa.</w:t>
      </w:r>
    </w:p>
    <w:p>
      <w:pPr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sz w:val="24"/>
          <w:szCs w:val="24"/>
          <w:rtl w:val="0"/>
          <w:lang w:eastAsia="sk-SK"/>
        </w:rPr>
        <w:t> </w:t>
      </w:r>
    </w:p>
    <w:p>
      <w:pPr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sz w:val="24"/>
          <w:szCs w:val="24"/>
          <w:rtl w:val="0"/>
          <w:lang w:eastAsia="sk-SK"/>
        </w:rPr>
        <w:t>  </w:t>
      </w:r>
    </w:p>
    <w:p>
      <w:pPr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b/>
          <w:sz w:val="24"/>
          <w:szCs w:val="24"/>
          <w:rtl w:val="0"/>
          <w:lang w:eastAsia="ar-SA" w:bidi="ar-SA"/>
        </w:rPr>
        <w:t>A.5. Stanovisko gestorov</w:t>
      </w:r>
    </w:p>
    <w:p>
      <w:pPr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b/>
          <w:sz w:val="24"/>
          <w:szCs w:val="24"/>
          <w:rtl w:val="0"/>
          <w:lang w:eastAsia="sk-SK"/>
        </w:rPr>
        <w:t> </w:t>
      </w:r>
    </w:p>
    <w:p>
      <w:pPr>
        <w:jc w:val="both"/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sz w:val="24"/>
          <w:szCs w:val="24"/>
          <w:rtl w:val="0"/>
          <w:lang w:eastAsia="ar-SA" w:bidi="ar-SA"/>
        </w:rPr>
        <w:t>Bezpredmetné.</w:t>
      </w:r>
    </w:p>
    <w:p>
      <w:pPr>
        <w:rPr>
          <w:rFonts w:ascii="Times New Roman" w:eastAsia="Times New Roman" w:hAnsi="Liberation Serif" w:cs="Liberation Serif"/>
          <w:sz w:val="24"/>
          <w:szCs w:val="24"/>
          <w:rtl w:val="0"/>
          <w:lang w:eastAsia="ar-SA" w:bidi="ar-SA"/>
        </w:rPr>
      </w:pPr>
    </w:p>
    <w:p>
      <w:pPr>
        <w:rPr>
          <w:rFonts w:ascii="Times New Roman" w:eastAsia="Times New Roman" w:hAnsi="Liberation Serif" w:cs="Liberation Serif"/>
          <w:sz w:val="24"/>
          <w:szCs w:val="24"/>
          <w:rtl w:val="0"/>
          <w:lang w:eastAsia="ar-SA" w:bidi="ar-SA"/>
        </w:rPr>
      </w:pPr>
    </w:p>
    <w:p>
      <w:pPr>
        <w:rPr>
          <w:rFonts w:hAnsi="Liberation Serif" w:cs="Liberation Serif"/>
          <w:szCs w:val="24"/>
          <w:rtl w:val="0"/>
        </w:rPr>
      </w:pPr>
    </w:p>
    <w:sectPr>
      <w:type w:val="continuous"/>
      <w:pgSz w:w="11906" w:h="16838"/>
      <w:pgMar w:top="1514" w:right="1514" w:bottom="1514" w:left="1514" w:header="708" w:footer="708"/>
      <w:pgNumType w:fmt="decimal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EE"/>
    <w:family w:val="roman"/>
    <w:pitch w:val="variable"/>
    <w:sig w:usb0="00000000" w:usb1="00000000" w:usb2="00000000" w:usb3="00000000" w:csb0="00000003" w:csb1="00000000"/>
  </w:font>
  <w:font w:name="Symbol">
    <w:charset w:val="02"/>
    <w:family w:val="roman"/>
    <w:pitch w:val="variable"/>
    <w:sig w:usb0="00000000" w:usb1="00000000" w:usb2="00000000" w:usb3="00000000" w:csb0="80000000" w:csb1="00000000"/>
  </w:font>
  <w:font w:name="Arial">
    <w:charset w:val="EE"/>
    <w:family w:val="swiss"/>
    <w:pitch w:val="variable"/>
    <w:sig w:usb0="00000000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2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2" w:csb1="00000000"/>
  </w:font>
  <w:font w:name="Segoe UI">
    <w:charset w:val="EE"/>
    <w:family w:val="roman"/>
    <w:pitch w:val="variable"/>
    <w:sig w:usb0="00000000" w:usb1="00000000" w:usb2="00000000" w:usb3="00000000" w:csb0="00000002" w:csb1="00000000"/>
  </w:font>
  <w:font w:name="Verdana">
    <w:charset w:val="EE"/>
    <w:family w:val="auto"/>
    <w:pitch w:val="variable"/>
    <w:sig w:usb0="00000000" w:usb1="00000000" w:usb2="00000000" w:usb3="00000000" w:csb0="00000002" w:csb1="00000000"/>
  </w:font>
  <w:font w:name="Mangal">
    <w:charset w:val="EE"/>
    <w:family w:val="auto"/>
    <w:pitch w:val="variable"/>
    <w:sig w:usb0="00000000" w:usb1="00000000" w:usb2="00000000" w:usb3="00000000" w:csb0="0002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708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bidi w:val="0"/>
      <w:adjustRightInd w:val="0"/>
      <w:ind w:left="0" w:right="0" w:firstLine="0"/>
      <w:jc w:val="left"/>
      <w:textAlignment w:val="auto"/>
    </w:pPr>
    <w:rPr>
      <w:rFonts w:ascii="Arial" w:eastAsia="Liberation Serif"/>
      <w:color w:val="000000"/>
      <w:kern w:val="1"/>
      <w:sz w:val="20"/>
      <w:lang w:val="sk-SK" w:eastAsia="hi-I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rkazkladnhotextu3Char">
    <w:name w:val="Zarážka základného textu 3 Char"/>
    <w:basedOn w:val="DefaultParagraphFont"/>
    <w:uiPriority w:val="99"/>
    <w:rPr>
      <w:rFonts w:ascii="Times New Roman" w:eastAsia="Times New Roman"/>
      <w:sz w:val="16"/>
      <w:lang w:val="sk-SK" w:eastAsia="sk-SK"/>
    </w:rPr>
  </w:style>
  <w:style w:type="character" w:customStyle="1" w:styleId="TextbublinyChar">
    <w:name w:val="Text bubliny Char"/>
    <w:basedOn w:val="DefaultParagraphFont"/>
    <w:uiPriority w:val="99"/>
    <w:rPr>
      <w:rFonts w:ascii="Segoe UI" w:eastAsia="Segoe UI"/>
      <w:sz w:val="18"/>
      <w:lang w:val="sk-SK" w:eastAsia="sk-SK"/>
    </w:rPr>
  </w:style>
  <w:style w:type="character" w:customStyle="1" w:styleId="ZkladntextChar">
    <w:name w:val="Základný text Char"/>
    <w:basedOn w:val="DefaultParagraphFont"/>
    <w:uiPriority w:val="99"/>
    <w:rPr>
      <w:rFonts w:ascii="Arial" w:eastAsia="Arial"/>
      <w:sz w:val="20"/>
      <w:lang w:val="sk-SK" w:eastAsia="sk-SK"/>
    </w:rPr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jc w:val="left"/>
    </w:pPr>
    <w:rPr>
      <w:rFonts w:ascii="Liberation Sans" w:eastAsia="Mangal"/>
      <w:sz w:val="28"/>
      <w:lang w:eastAsia="ar-SA" w:bidi="ar-SA"/>
    </w:rPr>
  </w:style>
  <w:style w:type="paragraph" w:customStyle="1" w:styleId="Telotextu">
    <w:name w:val="Telo textu"/>
    <w:basedOn w:val="Normal"/>
    <w:uiPriority w:val="99"/>
    <w:pPr>
      <w:spacing w:before="0" w:after="120" w:line="288" w:lineRule="auto"/>
      <w:jc w:val="left"/>
    </w:pPr>
    <w:rPr>
      <w:lang w:eastAsia="ar-SA" w:bidi="ar-SA"/>
    </w:rPr>
  </w:style>
  <w:style w:type="paragraph" w:customStyle="1" w:styleId="Zoznam">
    <w:name w:val="Zoznam"/>
    <w:basedOn w:val="Telotextu"/>
    <w:uiPriority w:val="99"/>
    <w:pPr>
      <w:jc w:val="left"/>
    </w:pPr>
    <w:rPr>
      <w:rFonts w:eastAsia="Mangal"/>
    </w:rPr>
  </w:style>
  <w:style w:type="paragraph" w:customStyle="1" w:styleId="Popis">
    <w:name w:val="Popis"/>
    <w:basedOn w:val="Normal"/>
    <w:uiPriority w:val="99"/>
    <w:pPr>
      <w:suppressLineNumbers/>
      <w:spacing w:before="120" w:after="120"/>
      <w:jc w:val="left"/>
    </w:pPr>
    <w:rPr>
      <w:rFonts w:eastAsia="Mangal"/>
      <w:i/>
      <w:sz w:val="24"/>
      <w:lang w:eastAsia="ar-SA" w:bidi="ar-SA"/>
    </w:rPr>
  </w:style>
  <w:style w:type="paragraph" w:customStyle="1" w:styleId="Index">
    <w:name w:val="Index"/>
    <w:basedOn w:val="Normal"/>
    <w:uiPriority w:val="99"/>
    <w:pPr>
      <w:suppressLineNumbers/>
      <w:jc w:val="left"/>
    </w:pPr>
    <w:rPr>
      <w:rFonts w:eastAsia="Mangal"/>
      <w:lang w:eastAsia="ar-SA" w:bidi="ar-SA"/>
    </w:rPr>
  </w:style>
  <w:style w:type="paragraph" w:styleId="BodyTextIndent3">
    <w:name w:val="Body Text Indent 3"/>
    <w:basedOn w:val="Normal"/>
    <w:uiPriority w:val="99"/>
    <w:pPr>
      <w:spacing w:before="0" w:after="120"/>
      <w:ind w:left="283"/>
      <w:jc w:val="left"/>
    </w:pPr>
    <w:rPr>
      <w:sz w:val="16"/>
      <w:lang w:eastAsia="ar-SA" w:bidi="ar-SA"/>
    </w:rPr>
  </w:style>
  <w:style w:type="paragraph" w:styleId="NormalWeb">
    <w:name w:val="Normal (Web)"/>
    <w:basedOn w:val="Normal"/>
    <w:uiPriority w:val="99"/>
    <w:pPr>
      <w:spacing w:before="280" w:after="280"/>
      <w:jc w:val="left"/>
    </w:pPr>
    <w:rPr>
      <w:sz w:val="24"/>
      <w:lang w:eastAsia="ar-SA" w:bidi="ar-SA"/>
    </w:rPr>
  </w:style>
  <w:style w:type="paragraph" w:styleId="BalloonText">
    <w:name w:val="Balloon Text"/>
    <w:basedOn w:val="Normal"/>
    <w:uiPriority w:val="99"/>
    <w:pPr>
      <w:jc w:val="left"/>
    </w:pPr>
    <w:rPr>
      <w:rFonts w:ascii="Segoe UI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revision>0</cp:revision>
  <cp:lastPrinted>2016-08-16T11:18:00Z</cp:lastPrinted>
  <dcterms:created xsi:type="dcterms:W3CDTF">2016-09-12T11:29:00Z</dcterms:created>
  <dcterms:modified xsi:type="dcterms:W3CDTF">2017-11-06T11:48:00Z</dcterms:modified>
</cp:coreProperties>
</file>