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Rastislav Schlosár, </w:t>
        <w:br/>
      </w:r>
      <w:r w:rsidR="003801D5">
        <w:rPr>
          <w:rFonts w:ascii="Book Antiqua" w:hAnsi="Book Antiqua"/>
        </w:rPr>
        <w:t>Stanislav Drobný</w:t>
      </w:r>
      <w:r w:rsidR="00803FF2">
        <w:rPr>
          <w:rFonts w:ascii="Book Antiqua" w:hAnsi="Book Antiqua"/>
        </w:rPr>
        <w:t xml:space="preserve"> a Ján Kecskés</w:t>
      </w:r>
      <w:r w:rsidR="003801D5">
        <w:rPr>
          <w:rFonts w:ascii="Book Antiqua" w:hAnsi="Book Antiqua"/>
        </w:rPr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3801D5" w:rsidP="003801D5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3801D5" w:rsidR="003801D5">
        <w:rPr>
          <w:rFonts w:ascii="Book Antiqua" w:hAnsi="Book Antiqua"/>
        </w:rPr>
        <w:t>zákona o</w:t>
      </w:r>
      <w:r w:rsidR="00803FF2">
        <w:rPr>
          <w:rFonts w:ascii="Book Antiqua" w:hAnsi="Book Antiqua"/>
        </w:rPr>
        <w:t> sudcoch a prísediacich</w:t>
      </w:r>
      <w:r w:rsidRPr="003801D5" w:rsidR="003801D5">
        <w:rPr>
          <w:rFonts w:ascii="Book Antiqua" w:hAnsi="Book Antiqua"/>
        </w:rPr>
        <w:t xml:space="preserve"> a o zmene a doplnení niektorých zákonov</w:t>
      </w:r>
      <w:r w:rsidR="00803FF2">
        <w:rPr>
          <w:rFonts w:ascii="Book Antiqua" w:hAnsi="Book Antiqua"/>
        </w:rPr>
        <w:t xml:space="preserve"> v znení neskorších predpisov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zákona</w:t>
      </w:r>
      <w:r w:rsidR="003801D5">
        <w:rPr>
          <w:rFonts w:ascii="Book Antiqua" w:hAnsi="Book Antiqua"/>
          <w:sz w:val="22"/>
          <w:szCs w:val="22"/>
        </w:rPr>
        <w:t xml:space="preserve"> </w:t>
      </w:r>
      <w:r w:rsidR="00803FF2">
        <w:rPr>
          <w:rFonts w:ascii="Book Antiqua" w:hAnsi="Book Antiqua"/>
          <w:sz w:val="22"/>
          <w:szCs w:val="22"/>
        </w:rPr>
        <w:t>o sudcoch a prísediacich a o zmene a doplnení niektorých zákonov v znení neskorších predpisov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1C35D5" w:rsidR="001C35D5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343C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B333F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343C51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1C35D5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89270C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43C51"/>
    <w:rsid w:val="00361473"/>
    <w:rsid w:val="00377562"/>
    <w:rsid w:val="003801D5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D5321"/>
    <w:rsid w:val="00803FF2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A215B8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FF64-0055-4D7D-90CC-D86DB4DD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1591</TotalTime>
  <Pages>2</Pages>
  <Words>286</Words>
  <Characters>1797</Characters>
  <Application>Microsoft Office Word</Application>
  <DocSecurity>0</DocSecurity>
  <Lines>0</Lines>
  <Paragraphs>0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bobo</cp:lastModifiedBy>
  <cp:revision>2</cp:revision>
  <cp:lastPrinted>2017-11-06T10:26:00Z</cp:lastPrinted>
  <dcterms:created xsi:type="dcterms:W3CDTF">2017-11-07T13:06:00Z</dcterms:created>
  <dcterms:modified xsi:type="dcterms:W3CDTF">2017-11-07T13:06:00Z</dcterms:modified>
</cp:coreProperties>
</file>