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721A">
      <w:pPr>
        <w:bidi w:val="0"/>
        <w:spacing w:after="200" w:line="276" w:lineRule="auto"/>
        <w:ind w:firstLine="0"/>
        <w:jc w:val="left"/>
        <w:rPr>
          <w:rFonts w:ascii="Times New Roman" w:hAnsi="Times New Roman"/>
        </w:rPr>
      </w:pPr>
      <w:bookmarkStart w:id="0" w:name="_Hlk485593229"/>
      <w:bookmarkEnd w:id="0"/>
    </w:p>
    <w:p w:rsidR="0004721A">
      <w:pPr>
        <w:bidi w:val="0"/>
        <w:spacing w:after="200" w:line="276" w:lineRule="auto"/>
        <w:ind w:firstLine="0"/>
        <w:jc w:val="left"/>
        <w:rPr>
          <w:rFonts w:ascii="Times New Roman" w:hAnsi="Times New Roman"/>
        </w:rPr>
      </w:pPr>
    </w:p>
    <w:p w:rsidR="0004721A">
      <w:pPr>
        <w:bidi w:val="0"/>
        <w:spacing w:after="200" w:line="276" w:lineRule="auto"/>
        <w:ind w:firstLine="0"/>
        <w:jc w:val="left"/>
        <w:rPr>
          <w:rFonts w:ascii="Times New Roman" w:hAnsi="Times New Roman"/>
        </w:rPr>
      </w:pPr>
    </w:p>
    <w:p w:rsidR="0004721A">
      <w:pPr>
        <w:bidi w:val="0"/>
        <w:spacing w:after="200" w:line="276" w:lineRule="auto"/>
        <w:ind w:firstLine="0"/>
        <w:jc w:val="left"/>
        <w:rPr>
          <w:rFonts w:ascii="Times New Roman" w:hAnsi="Times New Roman"/>
        </w:rPr>
      </w:pPr>
    </w:p>
    <w:p w:rsidR="0004721A">
      <w:pPr>
        <w:bidi w:val="0"/>
        <w:spacing w:after="200" w:line="276" w:lineRule="auto"/>
        <w:ind w:firstLine="0"/>
        <w:jc w:val="left"/>
        <w:rPr>
          <w:rFonts w:ascii="Times New Roman" w:hAnsi="Times New Roman"/>
        </w:rPr>
      </w:pPr>
    </w:p>
    <w:p w:rsidR="0004721A">
      <w:pPr>
        <w:bidi w:val="0"/>
        <w:spacing w:after="200" w:line="276" w:lineRule="auto"/>
        <w:ind w:firstLine="0"/>
        <w:jc w:val="left"/>
        <w:rPr>
          <w:rFonts w:ascii="Times New Roman" w:hAnsi="Times New Roman"/>
        </w:rPr>
      </w:pPr>
    </w:p>
    <w:p w:rsidR="0004721A">
      <w:pPr>
        <w:bidi w:val="0"/>
        <w:spacing w:after="200" w:line="276" w:lineRule="auto"/>
        <w:ind w:firstLine="0"/>
        <w:jc w:val="left"/>
        <w:rPr>
          <w:rFonts w:ascii="Times New Roman" w:hAnsi="Times New Roman"/>
        </w:rPr>
      </w:pPr>
    </w:p>
    <w:p w:rsidR="0004721A">
      <w:pPr>
        <w:bidi w:val="0"/>
        <w:spacing w:after="200" w:line="276" w:lineRule="auto"/>
        <w:ind w:firstLine="0"/>
        <w:jc w:val="left"/>
        <w:rPr>
          <w:rFonts w:ascii="Times New Roman" w:hAnsi="Times New Roman"/>
        </w:rPr>
      </w:pPr>
    </w:p>
    <w:p w:rsidR="0004721A">
      <w:pPr>
        <w:bidi w:val="0"/>
        <w:spacing w:after="200" w:line="276" w:lineRule="auto"/>
        <w:ind w:firstLine="0"/>
        <w:jc w:val="left"/>
        <w:rPr>
          <w:rFonts w:ascii="Times New Roman" w:hAnsi="Times New Roman"/>
        </w:rPr>
      </w:pPr>
    </w:p>
    <w:p w:rsidR="0004721A" w:rsidP="00AE3D32">
      <w:pPr>
        <w:bidi w:val="0"/>
        <w:spacing w:after="200" w:line="276" w:lineRule="auto"/>
        <w:ind w:firstLine="0"/>
        <w:jc w:val="left"/>
        <w:rPr>
          <w:rFonts w:ascii="Times New Roman" w:hAnsi="Times New Roman"/>
        </w:rPr>
      </w:pPr>
    </w:p>
    <w:p w:rsidR="0004721A" w:rsidP="00AE3D32">
      <w:pPr>
        <w:pStyle w:val="Title"/>
        <w:bidi w:val="0"/>
        <w:ind w:firstLine="0"/>
        <w:jc w:val="center"/>
        <w:rPr>
          <w:color w:val="365F91" w:themeColor="accent1" w:themeShade="BF"/>
          <w:sz w:val="32"/>
          <w:szCs w:val="32"/>
        </w:rPr>
      </w:pPr>
      <w:r w:rsidRPr="00AE3D32" w:rsidR="00AE3D32">
        <w:rPr>
          <w:rFonts w:hint="default"/>
          <w:color w:val="365F91" w:themeColor="accent1" w:themeShade="BF"/>
          <w:sz w:val="52"/>
        </w:rPr>
        <w:t>Koncepcia oddlž</w:t>
      </w:r>
      <w:r w:rsidRPr="00AE3D32" w:rsidR="00AE3D32">
        <w:rPr>
          <w:rFonts w:hint="default"/>
          <w:color w:val="365F91" w:themeColor="accent1" w:themeShade="BF"/>
          <w:sz w:val="52"/>
        </w:rPr>
        <w:t>enia zdravotní</w:t>
      </w:r>
      <w:r w:rsidRPr="00AE3D32" w:rsidR="00AE3D32">
        <w:rPr>
          <w:rFonts w:hint="default"/>
          <w:color w:val="365F91" w:themeColor="accent1" w:themeShade="BF"/>
          <w:sz w:val="52"/>
        </w:rPr>
        <w:t>ckych zariadení</w:t>
      </w:r>
      <w:r>
        <w:br w:type="page"/>
      </w:r>
    </w:p>
    <w:p w:rsidR="00251D02" w:rsidRPr="00774A6E" w:rsidP="00EF537B">
      <w:pPr>
        <w:pStyle w:val="Heading1"/>
        <w:bidi w:val="0"/>
        <w:rPr>
          <w:rFonts w:hint="default"/>
        </w:rPr>
      </w:pPr>
      <w:r w:rsidRPr="00774A6E">
        <w:rPr>
          <w:rFonts w:hint="default"/>
        </w:rPr>
        <w:t>Ú</w:t>
      </w:r>
      <w:r w:rsidRPr="00774A6E">
        <w:rPr>
          <w:rFonts w:hint="default"/>
        </w:rPr>
        <w:t>vod</w:t>
      </w:r>
    </w:p>
    <w:p w:rsidR="00251D02" w:rsidRPr="00774A6E" w:rsidP="00EF537B">
      <w:pPr>
        <w:bidi w:val="0"/>
        <w:rPr>
          <w:rFonts w:ascii="Times New Roman" w:hAnsi="Times New Roman"/>
        </w:rPr>
      </w:pPr>
    </w:p>
    <w:p w:rsidR="008C6DBB" w:rsidRPr="00774A6E" w:rsidP="00C122A5">
      <w:pPr>
        <w:bidi w:val="0"/>
        <w:spacing w:line="240" w:lineRule="auto"/>
        <w:rPr>
          <w:rFonts w:ascii="Times New Roman" w:hAnsi="Times New Roman"/>
        </w:rPr>
      </w:pPr>
      <w:r w:rsidRPr="00774A6E" w:rsidR="001060A8">
        <w:rPr>
          <w:rFonts w:ascii="Times New Roman" w:hAnsi="Times New Roman"/>
        </w:rPr>
        <w:t xml:space="preserve">Ministerstvo zdravotníctva </w:t>
      </w:r>
      <w:r w:rsidRPr="00774A6E">
        <w:rPr>
          <w:rFonts w:ascii="Times New Roman" w:hAnsi="Times New Roman"/>
        </w:rPr>
        <w:t xml:space="preserve">SR (ďalej aj „ministerstvo zdravotníctva“ alebo „MZ SR“) </w:t>
      </w:r>
      <w:r w:rsidRPr="00774A6E" w:rsidR="001060A8">
        <w:rPr>
          <w:rFonts w:ascii="Times New Roman" w:hAnsi="Times New Roman"/>
        </w:rPr>
        <w:t xml:space="preserve">v súlade s Uznesením vlády Slovenskej republiky č. 338 zo dňa 6.7.2012 pravidelne predkladá na rokovanie vlády informáciu o vývoji dlhu v rezorte zdravotníctva za predchádzajúci rok. Dlhy v sledovaných nemocniciach merané prostredníctvom záväzkov po lehote ich splatnosti dosiahli k 31.12.2016 úroveň 647 mil. EUR. </w:t>
      </w:r>
    </w:p>
    <w:p w:rsidR="008C6DBB" w:rsidRPr="00774A6E" w:rsidP="00C122A5">
      <w:pPr>
        <w:bidi w:val="0"/>
        <w:spacing w:line="240" w:lineRule="auto"/>
        <w:rPr>
          <w:rFonts w:ascii="Times New Roman" w:hAnsi="Times New Roman"/>
        </w:rPr>
      </w:pPr>
    </w:p>
    <w:p w:rsidR="00251D02" w:rsidRPr="00774A6E" w:rsidP="00C122A5">
      <w:pPr>
        <w:bidi w:val="0"/>
        <w:spacing w:line="240" w:lineRule="auto"/>
        <w:rPr>
          <w:rFonts w:ascii="Times New Roman" w:hAnsi="Times New Roman"/>
        </w:rPr>
      </w:pPr>
      <w:r w:rsidR="001F5DF0">
        <w:rPr>
          <w:rFonts w:ascii="Times New Roman" w:hAnsi="Times New Roman"/>
        </w:rPr>
        <w:t>MZ SR</w:t>
      </w:r>
      <w:r w:rsidRPr="00774A6E">
        <w:rPr>
          <w:rFonts w:ascii="Times New Roman" w:hAnsi="Times New Roman"/>
        </w:rPr>
        <w:t xml:space="preserve"> má záujem na riešení finančnej situácie nemocníc vo vzťahu k ich veriteľom v oblasti existujúceho stavu záväzkov po lehote ich splatnosti, ako aj realizáciu opatrení na úrovni nemocníc s cieľom zamedzovať ich ďalšiemu zadlžovaniu. </w:t>
      </w:r>
    </w:p>
    <w:p w:rsidR="00B01C65" w:rsidRPr="00774A6E" w:rsidP="00EF537B">
      <w:pPr>
        <w:bidi w:val="0"/>
        <w:rPr>
          <w:rFonts w:ascii="Times New Roman" w:hAnsi="Times New Roman"/>
        </w:rPr>
      </w:pPr>
    </w:p>
    <w:p w:rsidR="00251D02" w:rsidRPr="00774A6E" w:rsidP="00EF537B">
      <w:pPr>
        <w:bidi w:val="0"/>
        <w:rPr>
          <w:rFonts w:ascii="Times New Roman" w:hAnsi="Times New Roman"/>
        </w:rPr>
      </w:pPr>
    </w:p>
    <w:p w:rsidR="005E46CD" w:rsidRPr="00774A6E" w:rsidP="00EF537B">
      <w:pPr>
        <w:pStyle w:val="Heading1"/>
        <w:bidi w:val="0"/>
      </w:pPr>
      <w:r w:rsidRPr="00774A6E" w:rsidR="00B01C65">
        <w:rPr>
          <w:rFonts w:hint="default"/>
        </w:rPr>
        <w:t>Vý</w:t>
      </w:r>
      <w:r w:rsidRPr="00774A6E" w:rsidR="00B01C65">
        <w:rPr>
          <w:rFonts w:hint="default"/>
        </w:rPr>
        <w:t>chodiská</w:t>
      </w:r>
    </w:p>
    <w:p w:rsidR="00013319" w:rsidRPr="00774A6E" w:rsidP="00EF537B">
      <w:pPr>
        <w:bidi w:val="0"/>
        <w:rPr>
          <w:rFonts w:ascii="Times New Roman" w:hAnsi="Times New Roman"/>
        </w:rPr>
      </w:pPr>
    </w:p>
    <w:p w:rsidR="00013319" w:rsidRPr="00774A6E" w:rsidP="00EF537B">
      <w:pPr>
        <w:pStyle w:val="Heading2"/>
        <w:bidi w:val="0"/>
        <w:rPr>
          <w:rFonts w:hint="default"/>
        </w:rPr>
      </w:pPr>
      <w:r w:rsidRPr="00774A6E">
        <w:rPr>
          <w:rFonts w:hint="default"/>
        </w:rPr>
        <w:t>Stav zadlž</w:t>
      </w:r>
      <w:r w:rsidRPr="00774A6E">
        <w:rPr>
          <w:rFonts w:hint="default"/>
        </w:rPr>
        <w:t>enia nemocní</w:t>
      </w:r>
      <w:r w:rsidRPr="00774A6E">
        <w:rPr>
          <w:rFonts w:hint="default"/>
        </w:rPr>
        <w:t>c</w:t>
      </w:r>
    </w:p>
    <w:p w:rsidR="00EF537B" w:rsidRPr="00774A6E" w:rsidP="00EF537B">
      <w:pPr>
        <w:bidi w:val="0"/>
        <w:rPr>
          <w:rFonts w:ascii="Times New Roman" w:hAnsi="Times New Roman"/>
        </w:rPr>
      </w:pPr>
    </w:p>
    <w:p w:rsidR="008C6DBB" w:rsidRPr="00774A6E" w:rsidP="008C6DBB">
      <w:pPr>
        <w:pStyle w:val="Obyajn"/>
        <w:bidi w:val="0"/>
        <w:rPr>
          <w:rFonts w:ascii="Times New Roman" w:hAnsi="Times New Roman"/>
        </w:rPr>
      </w:pPr>
      <w:r w:rsidRPr="00774A6E" w:rsidR="002E7D84">
        <w:rPr>
          <w:rFonts w:ascii="Times New Roman" w:hAnsi="Times New Roman"/>
        </w:rPr>
        <w:t xml:space="preserve">Dlh nemocníc (všeobecných a špecializovaných) vyčísľujeme prostredníctvom výšky záväzkov po lehote splatnosti. </w:t>
      </w:r>
      <w:r w:rsidRPr="00774A6E">
        <w:rPr>
          <w:rFonts w:ascii="Times New Roman" w:hAnsi="Times New Roman"/>
        </w:rPr>
        <w:t>Evidovaný objem záväzkov po lehote splatnosti je k 31.12.2016 u sledovaných nemocníc</w:t>
      </w:r>
      <w:r>
        <w:rPr>
          <w:rStyle w:val="FootnoteReference"/>
          <w:rFonts w:ascii="Times New Roman" w:hAnsi="Times New Roman"/>
          <w:rtl w:val="0"/>
        </w:rPr>
        <w:footnoteReference w:id="2"/>
      </w:r>
      <w:r w:rsidRPr="00774A6E">
        <w:rPr>
          <w:rFonts w:ascii="Times New Roman" w:hAnsi="Times New Roman"/>
        </w:rPr>
        <w:t xml:space="preserve"> na úrovni 647 mil. EUR. Štruktúra dlhu podľa ich pôsobnosti je nasledovná: </w:t>
      </w:r>
    </w:p>
    <w:p w:rsidR="008C6DBB" w:rsidRPr="00774A6E" w:rsidP="008C6DBB">
      <w:pPr>
        <w:pStyle w:val="Obyajn"/>
        <w:tabs>
          <w:tab w:val="left" w:pos="993"/>
          <w:tab w:val="left" w:pos="5954"/>
        </w:tabs>
        <w:bidi w:val="0"/>
        <w:rPr>
          <w:rFonts w:ascii="Times New Roman" w:hAnsi="Times New Roman"/>
        </w:rPr>
      </w:pPr>
      <w:r w:rsidRPr="00774A6E">
        <w:rPr>
          <w:rFonts w:ascii="Times New Roman" w:hAnsi="Times New Roman"/>
        </w:rPr>
        <w:t>-</w:t>
        <w:tab/>
        <w:t>Príspevkové organizácie v pôsobnosti MZ SR</w:t>
        <w:tab/>
        <w:t>547 mil. EUR</w:t>
      </w:r>
    </w:p>
    <w:p w:rsidR="008C6DBB" w:rsidRPr="00774A6E" w:rsidP="008C6DBB">
      <w:pPr>
        <w:pStyle w:val="Obyajn"/>
        <w:tabs>
          <w:tab w:val="left" w:pos="993"/>
          <w:tab w:val="left" w:pos="5954"/>
        </w:tabs>
        <w:bidi w:val="0"/>
        <w:rPr>
          <w:rFonts w:ascii="Times New Roman" w:hAnsi="Times New Roman"/>
        </w:rPr>
      </w:pPr>
      <w:r w:rsidRPr="00774A6E">
        <w:rPr>
          <w:rFonts w:ascii="Times New Roman" w:hAnsi="Times New Roman"/>
        </w:rPr>
        <w:t>-</w:t>
        <w:tab/>
        <w:t xml:space="preserve">Zariadenia v pôsobnosti MO </w:t>
      </w:r>
      <w:r w:rsidR="0004721A">
        <w:rPr>
          <w:rFonts w:ascii="Times New Roman" w:hAnsi="Times New Roman"/>
        </w:rPr>
        <w:t xml:space="preserve">SR </w:t>
      </w:r>
      <w:r w:rsidRPr="00774A6E">
        <w:rPr>
          <w:rFonts w:ascii="Times New Roman" w:hAnsi="Times New Roman"/>
        </w:rPr>
        <w:t>a MV SR</w:t>
        <w:tab/>
        <w:t>25 mil. EUR</w:t>
      </w:r>
    </w:p>
    <w:p w:rsidR="008C6DBB" w:rsidRPr="00774A6E" w:rsidP="008C6DBB">
      <w:pPr>
        <w:pStyle w:val="Obyajn"/>
        <w:tabs>
          <w:tab w:val="left" w:pos="993"/>
          <w:tab w:val="left" w:pos="5954"/>
        </w:tabs>
        <w:bidi w:val="0"/>
        <w:rPr>
          <w:rFonts w:ascii="Times New Roman" w:hAnsi="Times New Roman"/>
        </w:rPr>
      </w:pPr>
      <w:r w:rsidRPr="00774A6E">
        <w:rPr>
          <w:rFonts w:ascii="Times New Roman" w:hAnsi="Times New Roman"/>
        </w:rPr>
        <w:t>-</w:t>
        <w:tab/>
        <w:t xml:space="preserve">Zariadenia delimitované na obce a VÚC       </w:t>
        <w:tab/>
        <w:t>75 mil. EUR</w:t>
      </w:r>
    </w:p>
    <w:p w:rsidR="00013319" w:rsidRPr="00774A6E" w:rsidP="00EF537B">
      <w:pPr>
        <w:pStyle w:val="Obyajn"/>
        <w:bidi w:val="0"/>
        <w:rPr>
          <w:rFonts w:ascii="Times New Roman" w:hAnsi="Times New Roman"/>
        </w:rPr>
      </w:pPr>
      <w:r w:rsidRPr="00774A6E">
        <w:rPr>
          <w:rFonts w:ascii="Times New Roman" w:hAnsi="Times New Roman"/>
        </w:rPr>
        <w:t xml:space="preserve">Z celkového počtu 114 nemocníc vykazuje záväzky po lehote splatnosti 43 nemocníc, 23 nemocníc nevykazuje záväzky po lehote splatnosti a pri 48 nemocniciach nie sú dostupné údaje. Ide o súkromné nemocnice, pričom v tomto prípade </w:t>
      </w:r>
      <w:r w:rsidRPr="00774A6E" w:rsidR="00353C74">
        <w:rPr>
          <w:rFonts w:ascii="Times New Roman" w:hAnsi="Times New Roman"/>
        </w:rPr>
        <w:t>sa odhaduje</w:t>
      </w:r>
      <w:r w:rsidRPr="00774A6E">
        <w:rPr>
          <w:rFonts w:ascii="Times New Roman" w:hAnsi="Times New Roman"/>
        </w:rPr>
        <w:t xml:space="preserve"> výšk</w:t>
      </w:r>
      <w:r w:rsidRPr="00774A6E" w:rsidR="00353C74">
        <w:rPr>
          <w:rFonts w:ascii="Times New Roman" w:hAnsi="Times New Roman"/>
        </w:rPr>
        <w:t>a</w:t>
      </w:r>
      <w:r w:rsidRPr="00774A6E">
        <w:rPr>
          <w:rFonts w:ascii="Times New Roman" w:hAnsi="Times New Roman"/>
        </w:rPr>
        <w:t xml:space="preserve"> záväzkov po lehote splatnosti na úrovni 10-20 mil. EUR.</w:t>
      </w:r>
    </w:p>
    <w:p w:rsidR="00013319" w:rsidRPr="00774A6E" w:rsidP="00C65A9C">
      <w:pPr>
        <w:pStyle w:val="Obyajn"/>
        <w:bidi w:val="0"/>
        <w:ind w:firstLine="0"/>
        <w:rPr>
          <w:rFonts w:ascii="Times New Roman" w:hAnsi="Times New Roman"/>
        </w:rPr>
      </w:pPr>
    </w:p>
    <w:p w:rsidR="007E3310" w:rsidP="00C65A9C">
      <w:pPr>
        <w:pStyle w:val="Obyajn"/>
        <w:bidi w:val="0"/>
        <w:ind w:firstLine="0"/>
        <w:rPr>
          <w:rFonts w:ascii="Times New Roman" w:hAnsi="Times New Roman"/>
        </w:rPr>
      </w:pPr>
      <w:r w:rsidRPr="00774A6E">
        <w:rPr>
          <w:rFonts w:ascii="Times New Roman" w:hAnsi="Times New Roman"/>
        </w:rPr>
        <w:tab/>
        <w:t>Štruktúra dlhu je nasledovná:</w:t>
      </w:r>
    </w:p>
    <w:p w:rsidR="00946AAB" w:rsidP="00C65A9C">
      <w:pPr>
        <w:pStyle w:val="Obyajn"/>
        <w:bidi w:val="0"/>
        <w:ind w:firstLine="0"/>
        <w:rPr>
          <w:rFonts w:ascii="Times New Roman" w:hAnsi="Times New Roman"/>
        </w:rPr>
      </w:pPr>
      <w:r>
        <w:rPr>
          <w:rFonts w:ascii="Times New Roman" w:hAnsi="Times New Roman"/>
          <w:noProof/>
          <w:color w:val="FFFFFF" w:themeColor="bg1" w:themeShade="FF"/>
          <w:rtl w:val="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2" o:spid="_x0000_i1025" type="#_x0000_t75" style="width:375.85pt;height:204pt;visibility:visible" stroked="f">
            <v:imagedata r:id="rId9" o:title=""/>
            <o:lock v:ext="edit" aspectratio="f"/>
          </v:shape>
        </w:pict>
      </w:r>
    </w:p>
    <w:p w:rsidR="00D714DB" w:rsidRPr="00D80236" w:rsidP="00C65A9C">
      <w:pPr>
        <w:pStyle w:val="Obyajn"/>
        <w:bidi w:val="0"/>
        <w:ind w:firstLine="0"/>
        <w:rPr>
          <w:rFonts w:ascii="Times New Roman" w:hAnsi="Times New Roman"/>
        </w:rPr>
      </w:pPr>
      <w:r>
        <w:rPr>
          <w:rFonts w:ascii="Times New Roman" w:hAnsi="Times New Roman"/>
          <w:noProof/>
          <w:rtl w:val="0"/>
          <w:lang w:val="en-US" w:eastAsia="en-US"/>
        </w:rPr>
        <w:pict>
          <v:shape id="Graf 4" o:spid="_x0000_i1026" type="#_x0000_t75" style="width:457.7pt;height:279.85pt;visibility:visible" stroked="f">
            <v:imagedata r:id="rId10" o:title="" cropright="-29f"/>
            <o:lock v:ext="edit" aspectratio="f"/>
          </v:shape>
        </w:pict>
      </w:r>
    </w:p>
    <w:p w:rsidR="00DE01E3" w:rsidP="00C65A9C">
      <w:pPr>
        <w:bidi w:val="0"/>
        <w:rPr>
          <w:rFonts w:ascii="Times New Roman" w:hAnsi="Times New Roman"/>
        </w:rPr>
      </w:pPr>
    </w:p>
    <w:p w:rsidR="00013319" w:rsidRPr="00774A6E" w:rsidP="00EF537B">
      <w:pPr>
        <w:pStyle w:val="Heading2"/>
        <w:bidi w:val="0"/>
        <w:rPr>
          <w:rFonts w:hint="default"/>
        </w:rPr>
      </w:pPr>
      <w:r w:rsidRPr="00774A6E">
        <w:rPr>
          <w:rFonts w:hint="default"/>
        </w:rPr>
        <w:t>Stav hospodá</w:t>
      </w:r>
      <w:r w:rsidRPr="00774A6E">
        <w:rPr>
          <w:rFonts w:hint="default"/>
        </w:rPr>
        <w:t xml:space="preserve">renia </w:t>
      </w:r>
    </w:p>
    <w:p w:rsidR="00EF537B" w:rsidRPr="00774A6E" w:rsidP="00EF537B">
      <w:pPr>
        <w:bidi w:val="0"/>
        <w:rPr>
          <w:rFonts w:ascii="Times New Roman" w:hAnsi="Times New Roman"/>
        </w:rPr>
      </w:pPr>
    </w:p>
    <w:p w:rsidR="00013319" w:rsidRPr="00774A6E" w:rsidP="00EF537B">
      <w:pPr>
        <w:pStyle w:val="Obyajn"/>
        <w:bidi w:val="0"/>
        <w:rPr>
          <w:rFonts w:ascii="Times New Roman" w:hAnsi="Times New Roman"/>
        </w:rPr>
      </w:pPr>
      <w:r w:rsidRPr="00774A6E">
        <w:rPr>
          <w:rFonts w:ascii="Times New Roman" w:hAnsi="Times New Roman"/>
        </w:rPr>
        <w:t>Spomedzi 43 nemocníc, ktoré vykazujú záväzky po lehote splatnosti, 1</w:t>
      </w:r>
      <w:r w:rsidRPr="00774A6E" w:rsidR="00010867">
        <w:rPr>
          <w:rFonts w:ascii="Times New Roman" w:hAnsi="Times New Roman"/>
        </w:rPr>
        <w:t>3</w:t>
      </w:r>
      <w:r w:rsidRPr="00774A6E">
        <w:rPr>
          <w:rFonts w:ascii="Times New Roman" w:hAnsi="Times New Roman"/>
        </w:rPr>
        <w:t xml:space="preserve"> z nich vykázalo v roku 2016 zápornú hodnotu ukazovateľa EBITDA. Ide o tieto nemocnice:</w:t>
      </w:r>
    </w:p>
    <w:p w:rsidR="00010867" w:rsidRPr="00774A6E" w:rsidP="00CF2104">
      <w:pPr>
        <w:pStyle w:val="Obyajn"/>
        <w:numPr>
          <w:numId w:val="5"/>
        </w:numPr>
        <w:bidi w:val="0"/>
        <w:rPr>
          <w:rFonts w:ascii="Times New Roman" w:hAnsi="Times New Roman"/>
        </w:rPr>
      </w:pPr>
      <w:r w:rsidRPr="00774A6E">
        <w:rPr>
          <w:rFonts w:ascii="Times New Roman" w:hAnsi="Times New Roman"/>
        </w:rPr>
        <w:t>11 má formu príspevkovej organizácie zriadenej MZ SR, pričom ide o univerzitné a fakultné nemocnice mimoriadnej strategickej významnosti</w:t>
      </w:r>
    </w:p>
    <w:p w:rsidR="00010867" w:rsidRPr="00774A6E" w:rsidP="00CF2104">
      <w:pPr>
        <w:pStyle w:val="Obyajn"/>
        <w:numPr>
          <w:numId w:val="5"/>
        </w:numPr>
        <w:bidi w:val="0"/>
        <w:rPr>
          <w:rFonts w:ascii="Times New Roman" w:hAnsi="Times New Roman"/>
        </w:rPr>
      </w:pPr>
      <w:r w:rsidRPr="00774A6E">
        <w:rPr>
          <w:rFonts w:ascii="Times New Roman" w:hAnsi="Times New Roman"/>
        </w:rPr>
        <w:t>dve majú formu neziskovej organizácie, ktorej spoluzakladateľom je MZ SR, pričom v tomto prípade ide o malé nemocnice regionálneho významu</w:t>
      </w:r>
    </w:p>
    <w:p w:rsidR="00010867" w:rsidRPr="00774A6E" w:rsidP="00EF537B">
      <w:pPr>
        <w:pStyle w:val="Obyajn"/>
        <w:bidi w:val="0"/>
        <w:rPr>
          <w:rFonts w:ascii="Times New Roman" w:hAnsi="Times New Roman"/>
        </w:rPr>
      </w:pPr>
    </w:p>
    <w:tbl>
      <w:tblPr>
        <w:tblStyle w:val="TableNormal"/>
        <w:tblpPr w:leftFromText="141" w:rightFromText="141" w:vertAnchor="text" w:horzAnchor="page" w:tblpX="1412" w:tblpY="119"/>
        <w:tblOverlap w:val="neve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176"/>
        <w:gridCol w:w="1575"/>
        <w:gridCol w:w="1134"/>
        <w:gridCol w:w="1276"/>
      </w:tblGrid>
      <w:tr>
        <w:tblPrEx>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414"/>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left"/>
              <w:rPr>
                <w:rFonts w:ascii="Times New Roman" w:hAnsi="Times New Roman"/>
                <w:lang w:eastAsia="sk-SK"/>
              </w:rPr>
            </w:pPr>
            <w:r w:rsidRPr="00774A6E">
              <w:rPr>
                <w:rFonts w:ascii="Times New Roman" w:hAnsi="Times New Roman"/>
                <w:lang w:eastAsia="sk-SK"/>
              </w:rPr>
              <w:t>Názov zariadenia</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946AAB">
            <w:pPr>
              <w:bidi w:val="0"/>
              <w:spacing w:after="0"/>
              <w:ind w:firstLine="0"/>
              <w:suppressOverlap/>
              <w:jc w:val="center"/>
              <w:rPr>
                <w:rFonts w:ascii="Times New Roman" w:hAnsi="Times New Roman"/>
                <w:lang w:eastAsia="sk-SK"/>
              </w:rPr>
            </w:pPr>
            <w:r w:rsidRPr="00774A6E">
              <w:rPr>
                <w:rFonts w:ascii="Times New Roman" w:hAnsi="Times New Roman"/>
                <w:lang w:eastAsia="sk-SK"/>
              </w:rPr>
              <w:t>Stav záväzkov po lehote splatnosti</w:t>
            </w:r>
          </w:p>
          <w:p w:rsidR="008C6DBB" w:rsidRPr="00774A6E" w:rsidP="00946AAB">
            <w:pPr>
              <w:bidi w:val="0"/>
              <w:spacing w:after="0"/>
              <w:ind w:firstLine="0"/>
              <w:suppressOverlap/>
              <w:jc w:val="center"/>
              <w:rPr>
                <w:rFonts w:ascii="Times New Roman" w:hAnsi="Times New Roman"/>
                <w:lang w:eastAsia="sk-SK"/>
              </w:rPr>
            </w:pPr>
            <w:r w:rsidRPr="00774A6E">
              <w:rPr>
                <w:rFonts w:ascii="Times New Roman" w:hAnsi="Times New Roman"/>
                <w:lang w:eastAsia="sk-SK"/>
              </w:rPr>
              <w:t>(k 31.12.2016) (tis. EUR)</w:t>
            </w:r>
          </w:p>
        </w:tc>
        <w:tc>
          <w:tcPr>
            <w:tcW w:w="1134"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946AAB">
            <w:pPr>
              <w:bidi w:val="0"/>
              <w:spacing w:after="0"/>
              <w:ind w:firstLine="0"/>
              <w:suppressOverlap/>
              <w:jc w:val="center"/>
              <w:rPr>
                <w:rFonts w:ascii="Times New Roman" w:hAnsi="Times New Roman"/>
                <w:lang w:eastAsia="sk-SK"/>
              </w:rPr>
            </w:pPr>
            <w:r w:rsidRPr="00774A6E">
              <w:rPr>
                <w:rFonts w:ascii="Times New Roman" w:hAnsi="Times New Roman"/>
                <w:lang w:eastAsia="sk-SK"/>
              </w:rPr>
              <w:t>HV po zdanení</w:t>
            </w:r>
          </w:p>
          <w:p w:rsidR="008C6DBB" w:rsidRPr="00774A6E" w:rsidP="00946AAB">
            <w:pPr>
              <w:bidi w:val="0"/>
              <w:spacing w:after="0"/>
              <w:ind w:firstLine="0"/>
              <w:suppressOverlap/>
              <w:jc w:val="center"/>
              <w:rPr>
                <w:rFonts w:ascii="Times New Roman" w:hAnsi="Times New Roman"/>
                <w:lang w:eastAsia="sk-SK"/>
              </w:rPr>
            </w:pPr>
            <w:r w:rsidRPr="00774A6E">
              <w:rPr>
                <w:rFonts w:ascii="Times New Roman" w:hAnsi="Times New Roman"/>
                <w:lang w:eastAsia="sk-SK"/>
              </w:rPr>
              <w:t>(tis. EUR)</w:t>
            </w:r>
          </w:p>
        </w:tc>
        <w:tc>
          <w:tcPr>
            <w:tcW w:w="12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946AAB">
            <w:pPr>
              <w:bidi w:val="0"/>
              <w:spacing w:after="0"/>
              <w:ind w:firstLine="0"/>
              <w:suppressOverlap/>
              <w:jc w:val="center"/>
              <w:rPr>
                <w:rFonts w:ascii="Times New Roman" w:hAnsi="Times New Roman"/>
                <w:lang w:eastAsia="sk-SK"/>
              </w:rPr>
            </w:pPr>
            <w:r w:rsidRPr="00774A6E">
              <w:rPr>
                <w:rFonts w:ascii="Times New Roman" w:hAnsi="Times New Roman"/>
                <w:lang w:eastAsia="sk-SK"/>
              </w:rPr>
              <w:t>EBITDA</w:t>
            </w:r>
          </w:p>
          <w:p w:rsidR="008C6DBB" w:rsidRPr="00774A6E" w:rsidP="00946AAB">
            <w:pPr>
              <w:bidi w:val="0"/>
              <w:spacing w:after="0"/>
              <w:ind w:firstLine="0"/>
              <w:suppressOverlap/>
              <w:jc w:val="center"/>
              <w:rPr>
                <w:rFonts w:ascii="Times New Roman" w:hAnsi="Times New Roman"/>
                <w:lang w:eastAsia="sk-SK"/>
              </w:rPr>
            </w:pPr>
            <w:r w:rsidRPr="00774A6E">
              <w:rPr>
                <w:rFonts w:ascii="Times New Roman" w:hAnsi="Times New Roman"/>
                <w:lang w:eastAsia="sk-SK"/>
              </w:rPr>
              <w:t>(tis. EUR)</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left"/>
              <w:rPr>
                <w:rFonts w:ascii="Times New Roman" w:hAnsi="Times New Roman"/>
                <w:lang w:eastAsia="sk-SK"/>
              </w:rPr>
            </w:pPr>
            <w:r w:rsidRPr="00774A6E">
              <w:rPr>
                <w:rFonts w:ascii="Times New Roman" w:hAnsi="Times New Roman"/>
                <w:lang w:eastAsia="sk-SK"/>
              </w:rPr>
              <w:t>Univerzitná nemocnica Bratislava</w:t>
            </w:r>
            <w:r w:rsidRPr="00774A6E" w:rsidR="00010867">
              <w:rPr>
                <w:rFonts w:ascii="Times New Roman" w:hAnsi="Times New Roman"/>
                <w:lang w:eastAsia="sk-SK"/>
              </w:rPr>
              <w:t xml:space="preserve"> *</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207 681</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-47 701</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-42 038</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431134">
            <w:pPr>
              <w:bidi w:val="0"/>
              <w:spacing w:after="0"/>
              <w:ind w:firstLine="0"/>
              <w:suppressOverlap/>
              <w:jc w:val="left"/>
              <w:rPr>
                <w:rFonts w:ascii="Times New Roman" w:hAnsi="Times New Roman"/>
                <w:lang w:eastAsia="sk-SK"/>
              </w:rPr>
            </w:pPr>
            <w:r w:rsidRPr="00774A6E">
              <w:rPr>
                <w:rFonts w:ascii="Times New Roman" w:hAnsi="Times New Roman"/>
                <w:lang w:eastAsia="sk-SK"/>
              </w:rPr>
              <w:t>Univerzitná nemocnica L.</w:t>
            </w:r>
            <w:r w:rsidR="002B738A">
              <w:rPr>
                <w:rFonts w:ascii="Times New Roman" w:hAnsi="Times New Roman"/>
                <w:lang w:eastAsia="sk-SK"/>
              </w:rPr>
              <w:t xml:space="preserve"> </w:t>
            </w:r>
            <w:r w:rsidRPr="00774A6E">
              <w:rPr>
                <w:rFonts w:ascii="Times New Roman" w:hAnsi="Times New Roman"/>
                <w:lang w:eastAsia="sk-SK"/>
              </w:rPr>
              <w:t>Pasteura Košice</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76 583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-18 509</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-11 497</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431134">
            <w:pPr>
              <w:bidi w:val="0"/>
              <w:spacing w:after="0"/>
              <w:ind w:firstLine="0"/>
              <w:suppressOverlap/>
              <w:jc w:val="left"/>
              <w:rPr>
                <w:rFonts w:ascii="Times New Roman" w:hAnsi="Times New Roman"/>
                <w:lang w:eastAsia="sk-SK"/>
              </w:rPr>
            </w:pPr>
            <w:r w:rsidRPr="00774A6E">
              <w:rPr>
                <w:rFonts w:ascii="Times New Roman" w:hAnsi="Times New Roman"/>
                <w:lang w:eastAsia="sk-SK"/>
              </w:rPr>
              <w:t>Fakultná nemocnica s poliklinikou J. A. Reimana Prešov</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53 024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-12 716</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-10 899</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431134">
            <w:pPr>
              <w:bidi w:val="0"/>
              <w:spacing w:after="0"/>
              <w:ind w:firstLine="0"/>
              <w:suppressOverlap/>
              <w:jc w:val="left"/>
              <w:rPr>
                <w:rFonts w:ascii="Times New Roman" w:hAnsi="Times New Roman"/>
                <w:lang w:eastAsia="sk-SK"/>
              </w:rPr>
            </w:pPr>
            <w:r w:rsidRPr="00774A6E">
              <w:rPr>
                <w:rFonts w:ascii="Times New Roman" w:hAnsi="Times New Roman"/>
                <w:lang w:eastAsia="sk-SK"/>
              </w:rPr>
              <w:t>Fakultná nemocnica s poliklinikou Banská Bystrica</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46 267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-4 850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-2 376</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431134">
            <w:pPr>
              <w:bidi w:val="0"/>
              <w:spacing w:after="0"/>
              <w:ind w:firstLine="0"/>
              <w:suppressOverlap/>
              <w:jc w:val="left"/>
              <w:rPr>
                <w:rFonts w:ascii="Times New Roman" w:hAnsi="Times New Roman"/>
                <w:lang w:eastAsia="sk-SK"/>
              </w:rPr>
            </w:pPr>
            <w:r w:rsidRPr="00774A6E">
              <w:rPr>
                <w:rFonts w:ascii="Times New Roman" w:hAnsi="Times New Roman"/>
                <w:lang w:eastAsia="sk-SK"/>
              </w:rPr>
              <w:t>Detská fakultná nemocnica s</w:t>
            </w:r>
            <w:r w:rsidR="00946AAB">
              <w:rPr>
                <w:rFonts w:ascii="Times New Roman" w:hAnsi="Times New Roman"/>
                <w:lang w:eastAsia="sk-SK"/>
              </w:rPr>
              <w:t> </w:t>
            </w:r>
            <w:r w:rsidRPr="00774A6E">
              <w:rPr>
                <w:rFonts w:ascii="Times New Roman" w:hAnsi="Times New Roman"/>
                <w:lang w:eastAsia="sk-SK"/>
              </w:rPr>
              <w:t>poliklinikou</w:t>
            </w:r>
            <w:r w:rsidR="00946AAB">
              <w:rPr>
                <w:rFonts w:ascii="Times New Roman" w:hAnsi="Times New Roman"/>
                <w:lang w:eastAsia="sk-SK"/>
              </w:rPr>
              <w:t xml:space="preserve"> Bratislava</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36 389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-5 982</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-4 524</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left"/>
              <w:rPr>
                <w:rFonts w:ascii="Times New Roman" w:hAnsi="Times New Roman"/>
                <w:lang w:eastAsia="sk-SK"/>
              </w:rPr>
            </w:pPr>
            <w:r w:rsidRPr="00774A6E">
              <w:rPr>
                <w:rFonts w:ascii="Times New Roman" w:hAnsi="Times New Roman"/>
                <w:lang w:eastAsia="sk-SK"/>
              </w:rPr>
              <w:t>Univerzitná nemocnica Martin</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35 249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-7 999</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-5 765</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431134">
            <w:pPr>
              <w:bidi w:val="0"/>
              <w:spacing w:after="0"/>
              <w:ind w:firstLine="0"/>
              <w:suppressOverlap/>
              <w:jc w:val="left"/>
              <w:rPr>
                <w:rFonts w:ascii="Times New Roman" w:hAnsi="Times New Roman"/>
                <w:lang w:eastAsia="sk-SK"/>
              </w:rPr>
            </w:pPr>
            <w:r w:rsidRPr="00774A6E">
              <w:rPr>
                <w:rFonts w:ascii="Times New Roman" w:hAnsi="Times New Roman"/>
                <w:lang w:eastAsia="sk-SK"/>
              </w:rPr>
              <w:t>Fakultná nemocnica s poliklinikou Žilina</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25 288</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-5 522</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-4 634</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431134">
            <w:pPr>
              <w:bidi w:val="0"/>
              <w:spacing w:after="0"/>
              <w:ind w:firstLine="0"/>
              <w:suppressOverlap/>
              <w:jc w:val="left"/>
              <w:rPr>
                <w:rFonts w:ascii="Times New Roman" w:hAnsi="Times New Roman"/>
                <w:lang w:eastAsia="sk-SK"/>
              </w:rPr>
            </w:pPr>
            <w:r w:rsidRPr="00774A6E">
              <w:rPr>
                <w:rFonts w:ascii="Times New Roman" w:hAnsi="Times New Roman"/>
                <w:lang w:eastAsia="sk-SK"/>
              </w:rPr>
              <w:t>Fakultná nemocnica Trenčín</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19 417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-4 881</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-2 791</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431134">
            <w:pPr>
              <w:bidi w:val="0"/>
              <w:spacing w:after="0"/>
              <w:ind w:firstLine="0"/>
              <w:suppressOverlap/>
              <w:jc w:val="left"/>
              <w:rPr>
                <w:rFonts w:ascii="Times New Roman" w:hAnsi="Times New Roman"/>
                <w:lang w:eastAsia="sk-SK"/>
              </w:rPr>
            </w:pPr>
            <w:r w:rsidRPr="00774A6E">
              <w:rPr>
                <w:rFonts w:ascii="Times New Roman" w:hAnsi="Times New Roman"/>
                <w:lang w:eastAsia="sk-SK"/>
              </w:rPr>
              <w:t>Fakultná nemocnica Trnava</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18 675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-2 125</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-1 429</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431134">
            <w:pPr>
              <w:bidi w:val="0"/>
              <w:spacing w:after="0"/>
              <w:ind w:firstLine="0"/>
              <w:suppressOverlap/>
              <w:jc w:val="left"/>
              <w:rPr>
                <w:rFonts w:ascii="Times New Roman" w:hAnsi="Times New Roman"/>
                <w:lang w:eastAsia="sk-SK"/>
              </w:rPr>
            </w:pPr>
            <w:r w:rsidRPr="00774A6E">
              <w:rPr>
                <w:rFonts w:ascii="Times New Roman" w:hAnsi="Times New Roman"/>
                <w:lang w:eastAsia="sk-SK"/>
              </w:rPr>
              <w:t>Fakultná nemocnica s poliklinikou Nové Zámky</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6 837</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-575</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-38</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431134">
            <w:pPr>
              <w:bidi w:val="0"/>
              <w:spacing w:after="0"/>
              <w:ind w:firstLine="0"/>
              <w:suppressOverlap/>
              <w:jc w:val="left"/>
              <w:rPr>
                <w:rFonts w:ascii="Times New Roman" w:hAnsi="Times New Roman"/>
                <w:lang w:eastAsia="sk-SK"/>
              </w:rPr>
            </w:pPr>
            <w:r w:rsidRPr="00774A6E">
              <w:rPr>
                <w:rFonts w:ascii="Times New Roman" w:hAnsi="Times New Roman"/>
                <w:lang w:eastAsia="sk-SK"/>
              </w:rPr>
              <w:t>Nemocnica s poliklinikou Ilava, n.o.</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4 448</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00946AAB">
              <w:rPr>
                <w:rFonts w:ascii="Times New Roman" w:hAnsi="Times New Roman"/>
                <w:lang w:eastAsia="sk-SK"/>
              </w:rPr>
              <w:t>-</w:t>
            </w:r>
            <w:r w:rsidRPr="00774A6E">
              <w:rPr>
                <w:rFonts w:ascii="Times New Roman" w:hAnsi="Times New Roman"/>
                <w:lang w:eastAsia="sk-SK"/>
              </w:rPr>
              <w:t>343</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-212</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431134">
            <w:pPr>
              <w:bidi w:val="0"/>
              <w:spacing w:after="0"/>
              <w:ind w:firstLine="0"/>
              <w:suppressOverlap/>
              <w:jc w:val="left"/>
              <w:rPr>
                <w:rFonts w:ascii="Times New Roman" w:hAnsi="Times New Roman"/>
                <w:lang w:eastAsia="sk-SK"/>
              </w:rPr>
            </w:pPr>
            <w:r w:rsidRPr="00774A6E">
              <w:rPr>
                <w:rFonts w:ascii="Times New Roman" w:hAnsi="Times New Roman"/>
                <w:lang w:eastAsia="sk-SK"/>
              </w:rPr>
              <w:t>Nemocnica s poliklinikou Nové Mesto nad Váhom, n.o.</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2 683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-483</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-65</w:t>
            </w:r>
          </w:p>
        </w:tc>
      </w:tr>
      <w:tr>
        <w:tblPrEx>
          <w:tblW w:w="9161" w:type="dxa"/>
          <w:tblCellMar>
            <w:left w:w="70" w:type="dxa"/>
            <w:right w:w="70" w:type="dxa"/>
          </w:tblCellMar>
          <w:tblLook w:val="04A0"/>
        </w:tblPrEx>
        <w:trPr>
          <w:trHeight w:val="397"/>
        </w:trPr>
        <w:tc>
          <w:tcPr>
            <w:tcW w:w="5176"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left"/>
              <w:rPr>
                <w:rFonts w:ascii="Times New Roman" w:hAnsi="Times New Roman"/>
                <w:lang w:eastAsia="sk-SK"/>
              </w:rPr>
            </w:pPr>
            <w:r w:rsidRPr="00774A6E">
              <w:rPr>
                <w:rFonts w:ascii="Times New Roman" w:hAnsi="Times New Roman"/>
                <w:lang w:eastAsia="sk-SK"/>
              </w:rPr>
              <w:t>Detská fakultná nemocnica Košice</w:t>
            </w:r>
          </w:p>
        </w:tc>
        <w:tc>
          <w:tcPr>
            <w:tcW w:w="1575" w:type="dxa"/>
            <w:tcBorders>
              <w:top w:val="single" w:sz="4" w:space="0" w:color="auto"/>
              <w:left w:val="single" w:sz="4" w:space="0" w:color="auto"/>
              <w:bottom w:val="single" w:sz="4" w:space="0" w:color="auto"/>
              <w:right w:val="single" w:sz="4" w:space="0" w:color="auto"/>
            </w:tcBorders>
            <w:textDirection w:val="lrTb"/>
            <w:vAlign w:val="center"/>
            <w:hideMark/>
          </w:tcPr>
          <w:p w:rsidR="008C6DBB" w:rsidRPr="00774A6E" w:rsidP="00154367">
            <w:pPr>
              <w:bidi w:val="0"/>
              <w:spacing w:after="0"/>
              <w:ind w:firstLine="0"/>
              <w:suppressOverlap/>
              <w:jc w:val="center"/>
              <w:rPr>
                <w:rFonts w:ascii="Times New Roman" w:hAnsi="Times New Roman"/>
                <w:lang w:eastAsia="sk-SK"/>
              </w:rPr>
            </w:pPr>
            <w:r w:rsidRPr="00774A6E">
              <w:rPr>
                <w:rFonts w:ascii="Times New Roman" w:hAnsi="Times New Roman"/>
                <w:lang w:eastAsia="sk-SK"/>
              </w:rPr>
              <w:t>1 153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-452</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8C6DBB" w:rsidRPr="00774A6E" w:rsidP="00154367">
            <w:pPr>
              <w:bidi w:val="0"/>
              <w:spacing w:after="0"/>
              <w:ind w:firstLine="0"/>
              <w:suppressOverlap/>
              <w:jc w:val="center"/>
              <w:rPr>
                <w:rFonts w:ascii="Times New Roman" w:hAnsi="Times New Roman"/>
                <w:color w:val="000000"/>
                <w:lang w:eastAsia="sk-SK"/>
              </w:rPr>
            </w:pPr>
            <w:r w:rsidRPr="00774A6E">
              <w:rPr>
                <w:rFonts w:ascii="Times New Roman" w:hAnsi="Times New Roman"/>
                <w:lang w:eastAsia="sk-SK"/>
              </w:rPr>
              <w:t>-213</w:t>
            </w:r>
          </w:p>
        </w:tc>
      </w:tr>
    </w:tbl>
    <w:p w:rsidR="00013319" w:rsidRPr="00774A6E" w:rsidP="008C6DBB">
      <w:pPr>
        <w:pStyle w:val="Obyajn"/>
        <w:bidi w:val="0"/>
        <w:ind w:firstLine="0"/>
        <w:rPr>
          <w:rFonts w:ascii="Times New Roman" w:hAnsi="Times New Roman"/>
        </w:rPr>
      </w:pPr>
    </w:p>
    <w:p w:rsidR="00013319" w:rsidRPr="00774A6E" w:rsidP="00B30034">
      <w:pPr>
        <w:pStyle w:val="Obyajn"/>
        <w:bidi w:val="0"/>
        <w:ind w:firstLine="0"/>
        <w:rPr>
          <w:rFonts w:ascii="Times New Roman" w:hAnsi="Times New Roman"/>
        </w:rPr>
      </w:pPr>
      <w:r w:rsidRPr="00774A6E" w:rsidR="00010867">
        <w:rPr>
          <w:rFonts w:ascii="Times New Roman" w:hAnsi="Times New Roman"/>
        </w:rPr>
        <w:t>Pozn.:</w:t>
      </w:r>
      <w:r w:rsidRPr="00774A6E">
        <w:rPr>
          <w:rFonts w:ascii="Times New Roman" w:hAnsi="Times New Roman"/>
        </w:rPr>
        <w:t xml:space="preserve"> Univerzitn</w:t>
      </w:r>
      <w:r w:rsidRPr="00774A6E" w:rsidR="00010867">
        <w:rPr>
          <w:rFonts w:ascii="Times New Roman" w:hAnsi="Times New Roman"/>
        </w:rPr>
        <w:t>á</w:t>
      </w:r>
      <w:r w:rsidRPr="00774A6E">
        <w:rPr>
          <w:rFonts w:ascii="Times New Roman" w:hAnsi="Times New Roman"/>
        </w:rPr>
        <w:t xml:space="preserve"> nemocnic</w:t>
      </w:r>
      <w:r w:rsidRPr="00774A6E" w:rsidR="00010867">
        <w:rPr>
          <w:rFonts w:ascii="Times New Roman" w:hAnsi="Times New Roman"/>
        </w:rPr>
        <w:t>a</w:t>
      </w:r>
      <w:r w:rsidRPr="00774A6E">
        <w:rPr>
          <w:rFonts w:ascii="Times New Roman" w:hAnsi="Times New Roman"/>
        </w:rPr>
        <w:t xml:space="preserve"> Bratislava </w:t>
      </w:r>
      <w:r w:rsidRPr="00774A6E" w:rsidR="00010867">
        <w:rPr>
          <w:rFonts w:ascii="Times New Roman" w:hAnsi="Times New Roman"/>
        </w:rPr>
        <w:t xml:space="preserve">je de facto tvorená 5 nemocnicami </w:t>
      </w:r>
      <w:r w:rsidRPr="00774A6E">
        <w:rPr>
          <w:rFonts w:ascii="Times New Roman" w:hAnsi="Times New Roman"/>
        </w:rPr>
        <w:t>(jedn</w:t>
      </w:r>
      <w:r w:rsidRPr="00774A6E" w:rsidR="00010867">
        <w:rPr>
          <w:rFonts w:ascii="Times New Roman" w:hAnsi="Times New Roman"/>
        </w:rPr>
        <w:t>a</w:t>
      </w:r>
      <w:r w:rsidRPr="00774A6E">
        <w:rPr>
          <w:rFonts w:ascii="Times New Roman" w:hAnsi="Times New Roman"/>
        </w:rPr>
        <w:t xml:space="preserve"> </w:t>
      </w:r>
      <w:r w:rsidRPr="00774A6E" w:rsidR="00010867">
        <w:rPr>
          <w:rFonts w:ascii="Times New Roman" w:hAnsi="Times New Roman"/>
        </w:rPr>
        <w:t>právnická organizácia</w:t>
      </w:r>
      <w:r w:rsidRPr="00774A6E">
        <w:rPr>
          <w:rFonts w:ascii="Times New Roman" w:hAnsi="Times New Roman"/>
        </w:rPr>
        <w:t>)</w:t>
      </w:r>
      <w:r w:rsidRPr="00774A6E" w:rsidR="00010867">
        <w:rPr>
          <w:rFonts w:ascii="Times New Roman" w:hAnsi="Times New Roman"/>
        </w:rPr>
        <w:t>:</w:t>
      </w:r>
    </w:p>
    <w:p w:rsidR="00010867" w:rsidRPr="00774A6E" w:rsidP="00CF2104">
      <w:pPr>
        <w:pStyle w:val="Obyajn"/>
        <w:numPr>
          <w:numId w:val="5"/>
        </w:numPr>
        <w:bidi w:val="0"/>
        <w:rPr>
          <w:rFonts w:ascii="Times New Roman" w:hAnsi="Times New Roman"/>
        </w:rPr>
      </w:pPr>
      <w:r w:rsidRPr="00774A6E">
        <w:rPr>
          <w:rFonts w:ascii="Times New Roman" w:hAnsi="Times New Roman"/>
        </w:rPr>
        <w:t> Nemocnica Kramáre akad. L. Dérera</w:t>
      </w:r>
    </w:p>
    <w:p w:rsidR="00010867" w:rsidRPr="00774A6E" w:rsidP="00CF2104">
      <w:pPr>
        <w:pStyle w:val="Obyajn"/>
        <w:numPr>
          <w:numId w:val="5"/>
        </w:numPr>
        <w:bidi w:val="0"/>
        <w:rPr>
          <w:rFonts w:ascii="Times New Roman" w:hAnsi="Times New Roman"/>
        </w:rPr>
      </w:pPr>
      <w:r w:rsidRPr="00774A6E">
        <w:rPr>
          <w:rFonts w:ascii="Times New Roman" w:hAnsi="Times New Roman"/>
        </w:rPr>
        <w:t> Nemocnica Ružinov</w:t>
      </w:r>
    </w:p>
    <w:p w:rsidR="00010867" w:rsidRPr="00774A6E" w:rsidP="00CF2104">
      <w:pPr>
        <w:pStyle w:val="Obyajn"/>
        <w:numPr>
          <w:numId w:val="5"/>
        </w:numPr>
        <w:bidi w:val="0"/>
        <w:rPr>
          <w:rFonts w:ascii="Times New Roman" w:hAnsi="Times New Roman"/>
        </w:rPr>
      </w:pPr>
      <w:r w:rsidR="005F3653">
        <w:rPr>
          <w:rFonts w:ascii="Times New Roman" w:hAnsi="Times New Roman"/>
        </w:rPr>
        <w:t> Nemocnica Staré Mest</w:t>
      </w:r>
      <w:r w:rsidRPr="00774A6E">
        <w:rPr>
          <w:rFonts w:ascii="Times New Roman" w:hAnsi="Times New Roman"/>
        </w:rPr>
        <w:t>o</w:t>
      </w:r>
    </w:p>
    <w:p w:rsidR="00010867" w:rsidRPr="00774A6E" w:rsidP="00CF2104">
      <w:pPr>
        <w:pStyle w:val="Obyajn"/>
        <w:numPr>
          <w:numId w:val="5"/>
        </w:numPr>
        <w:bidi w:val="0"/>
        <w:rPr>
          <w:rFonts w:ascii="Times New Roman" w:hAnsi="Times New Roman"/>
        </w:rPr>
      </w:pPr>
      <w:r w:rsidRPr="00774A6E">
        <w:rPr>
          <w:rFonts w:ascii="Times New Roman" w:hAnsi="Times New Roman"/>
        </w:rPr>
        <w:t> Nemocnica Petržalka sv. Cyrila a Metoda</w:t>
      </w:r>
    </w:p>
    <w:p w:rsidR="002051D2" w:rsidP="00CF2104">
      <w:pPr>
        <w:pStyle w:val="Obyajn"/>
        <w:numPr>
          <w:numId w:val="5"/>
        </w:numPr>
        <w:bidi w:val="0"/>
        <w:rPr>
          <w:rFonts w:ascii="Times New Roman" w:hAnsi="Times New Roman"/>
        </w:rPr>
      </w:pPr>
      <w:r w:rsidRPr="00774A6E" w:rsidR="00010867">
        <w:rPr>
          <w:rFonts w:ascii="Times New Roman" w:hAnsi="Times New Roman"/>
        </w:rPr>
        <w:t> </w:t>
      </w:r>
      <w:r w:rsidRPr="00774A6E" w:rsidR="00C91CB0">
        <w:rPr>
          <w:rFonts w:ascii="Times New Roman" w:hAnsi="Times New Roman"/>
        </w:rPr>
        <w:t>Špecializovaná geriatrická nemocnica Podunajské Biskupice</w:t>
      </w:r>
    </w:p>
    <w:p w:rsidR="00B30034" w:rsidP="00B30034">
      <w:pPr>
        <w:pStyle w:val="Obyajn"/>
        <w:bidi w:val="0"/>
        <w:ind w:left="2149" w:firstLine="0"/>
        <w:rPr>
          <w:rFonts w:ascii="Times New Roman" w:hAnsi="Times New Roman"/>
        </w:rPr>
      </w:pPr>
    </w:p>
    <w:p w:rsidR="00B30034" w:rsidP="00B30034">
      <w:pPr>
        <w:pStyle w:val="Obyajn"/>
        <w:bidi w:val="0"/>
        <w:rPr>
          <w:rFonts w:ascii="Times New Roman" w:hAnsi="Times New Roman"/>
        </w:rPr>
      </w:pPr>
      <w:r>
        <w:rPr>
          <w:rFonts w:ascii="Times New Roman" w:hAnsi="Times New Roman"/>
        </w:rPr>
        <w:t xml:space="preserve">Za </w:t>
      </w:r>
      <w:r w:rsidRPr="00B41DF9" w:rsidR="00E07716">
        <w:rPr>
          <w:rFonts w:ascii="Times New Roman" w:hAnsi="Times New Roman"/>
          <w:b/>
        </w:rPr>
        <w:t>naj</w:t>
      </w:r>
      <w:r w:rsidRPr="00B41DF9">
        <w:rPr>
          <w:rFonts w:ascii="Times New Roman" w:hAnsi="Times New Roman"/>
          <w:b/>
        </w:rPr>
        <w:t>významnejšie dôvody zadlžovania</w:t>
      </w:r>
      <w:r>
        <w:rPr>
          <w:rFonts w:ascii="Times New Roman" w:hAnsi="Times New Roman"/>
        </w:rPr>
        <w:t xml:space="preserve"> zdravotníckych zariadení možno považovať:</w:t>
      </w:r>
    </w:p>
    <w:p w:rsidR="00B30034" w:rsidP="00CF2104">
      <w:pPr>
        <w:pStyle w:val="Obyajn"/>
        <w:numPr>
          <w:numId w:val="5"/>
        </w:numPr>
        <w:bidi w:val="0"/>
        <w:rPr>
          <w:rFonts w:ascii="Times New Roman" w:hAnsi="Times New Roman"/>
        </w:rPr>
      </w:pPr>
      <w:r>
        <w:rPr>
          <w:rFonts w:ascii="Times New Roman" w:hAnsi="Times New Roman"/>
        </w:rPr>
        <w:t xml:space="preserve">Systém koncovej siete, pričom poskytovateľ zaradený v tejto sieti musí poskytnúť konečnú zdravotnú starostlivosť a podiel medicínsky a ekonomicky najnáročnejších výkonov sa presúva do týchto zariadení s osobitným </w:t>
      </w:r>
      <w:r w:rsidR="002636F2">
        <w:rPr>
          <w:rFonts w:ascii="Times New Roman" w:hAnsi="Times New Roman"/>
        </w:rPr>
        <w:t>postavením univerzitných nemocníc</w:t>
      </w:r>
    </w:p>
    <w:p w:rsidR="002636F2" w:rsidP="00CF2104">
      <w:pPr>
        <w:pStyle w:val="Obyajn"/>
        <w:numPr>
          <w:numId w:val="5"/>
        </w:numPr>
        <w:bidi w:val="0"/>
        <w:rPr>
          <w:rFonts w:ascii="Times New Roman" w:hAnsi="Times New Roman"/>
        </w:rPr>
      </w:pPr>
      <w:r>
        <w:rPr>
          <w:rFonts w:ascii="Times New Roman" w:hAnsi="Times New Roman"/>
        </w:rPr>
        <w:t>Systém financovania nemocníc na báze ukončenej hospitalizácie v spojitosti s predchádzajúcim bodom spôsobuje, že medicínsky a ekonomicky najnáročnejšie výkony pri vyššom pomere nie sú kryté zdrojmi výnosov. V súčasnosti nemocnice prechádzajú na systém úhrad podľa DRG, avšak plná ekonomická prevádzka bude k dispozícii až po postupnej harmonizácii základných sadzieb v roku 2020-2021.</w:t>
      </w:r>
    </w:p>
    <w:p w:rsidR="002636F2" w:rsidP="00CF2104">
      <w:pPr>
        <w:pStyle w:val="Obyajn"/>
        <w:numPr>
          <w:numId w:val="5"/>
        </w:numPr>
        <w:bidi w:val="0"/>
        <w:rPr>
          <w:rFonts w:ascii="Times New Roman" w:hAnsi="Times New Roman"/>
        </w:rPr>
      </w:pPr>
      <w:r>
        <w:rPr>
          <w:rFonts w:ascii="Times New Roman" w:hAnsi="Times New Roman"/>
        </w:rPr>
        <w:t>Vysoké mzdové náklady až na úrovni 85% celkových výnosov. M</w:t>
      </w:r>
      <w:r w:rsidR="009E1BA9">
        <w:rPr>
          <w:rFonts w:ascii="Times New Roman" w:hAnsi="Times New Roman"/>
        </w:rPr>
        <w:t>inimálne m</w:t>
      </w:r>
      <w:r>
        <w:rPr>
          <w:rFonts w:ascii="Times New Roman" w:hAnsi="Times New Roman"/>
        </w:rPr>
        <w:t xml:space="preserve">zdové </w:t>
      </w:r>
      <w:r w:rsidR="009E1BA9">
        <w:rPr>
          <w:rFonts w:ascii="Times New Roman" w:hAnsi="Times New Roman"/>
        </w:rPr>
        <w:t>odmeňovanie zdravotníckych pracovníkov je</w:t>
      </w:r>
      <w:r>
        <w:rPr>
          <w:rFonts w:ascii="Times New Roman" w:hAnsi="Times New Roman"/>
        </w:rPr>
        <w:t xml:space="preserve"> </w:t>
      </w:r>
      <w:r w:rsidR="009E1BA9">
        <w:rPr>
          <w:rFonts w:ascii="Times New Roman" w:hAnsi="Times New Roman"/>
        </w:rPr>
        <w:t>na základe zákona</w:t>
      </w:r>
      <w:r>
        <w:rPr>
          <w:rFonts w:ascii="Times New Roman" w:hAnsi="Times New Roman"/>
        </w:rPr>
        <w:t xml:space="preserve"> valorizované každý rok </w:t>
      </w:r>
      <w:r w:rsidR="009E1BA9">
        <w:rPr>
          <w:rFonts w:ascii="Times New Roman" w:hAnsi="Times New Roman"/>
        </w:rPr>
        <w:t xml:space="preserve">odvíjajúc sa od priemernej mzdy v národnom hospodárstve dosiahnuté v predchádzajúcich 2 rokoch </w:t>
      </w:r>
      <w:r>
        <w:rPr>
          <w:rFonts w:ascii="Times New Roman" w:hAnsi="Times New Roman"/>
        </w:rPr>
        <w:t xml:space="preserve">a následne sú valorizované všetky mzdy prostredníctvom </w:t>
      </w:r>
      <w:r w:rsidR="009E1BA9">
        <w:rPr>
          <w:rFonts w:ascii="Times New Roman" w:hAnsi="Times New Roman"/>
        </w:rPr>
        <w:t>kolektívneho vyjednávania.</w:t>
      </w:r>
    </w:p>
    <w:p w:rsidR="002636F2" w:rsidP="00CF2104">
      <w:pPr>
        <w:pStyle w:val="Obyajn"/>
        <w:numPr>
          <w:numId w:val="5"/>
        </w:numPr>
        <w:bidi w:val="0"/>
        <w:rPr>
          <w:rFonts w:ascii="Times New Roman" w:hAnsi="Times New Roman"/>
        </w:rPr>
      </w:pPr>
      <w:r w:rsidR="007A6E70">
        <w:rPr>
          <w:rFonts w:ascii="Times New Roman" w:hAnsi="Times New Roman"/>
        </w:rPr>
        <w:t>Vyšší</w:t>
      </w:r>
      <w:r>
        <w:rPr>
          <w:rFonts w:ascii="Times New Roman" w:hAnsi="Times New Roman"/>
        </w:rPr>
        <w:t xml:space="preserve"> počet akútnych lôžok v niektorých štátnych nemocniciach v porovnaní s ukazovateľmi OECD viaže na seba väčší počet personálu</w:t>
      </w:r>
      <w:r w:rsidR="002B738A">
        <w:rPr>
          <w:rFonts w:ascii="Times New Roman" w:hAnsi="Times New Roman"/>
        </w:rPr>
        <w:t>, a teda aj nákladov na prevádzku</w:t>
      </w:r>
      <w:r w:rsidR="00E07716">
        <w:rPr>
          <w:rFonts w:ascii="Times New Roman" w:hAnsi="Times New Roman"/>
        </w:rPr>
        <w:t>.</w:t>
      </w:r>
    </w:p>
    <w:p w:rsidR="002636F2" w:rsidP="00CF2104">
      <w:pPr>
        <w:pStyle w:val="Obyajn"/>
        <w:numPr>
          <w:numId w:val="5"/>
        </w:numPr>
        <w:bidi w:val="0"/>
        <w:rPr>
          <w:rFonts w:ascii="Times New Roman" w:hAnsi="Times New Roman"/>
        </w:rPr>
      </w:pPr>
      <w:r w:rsidR="00E07716">
        <w:rPr>
          <w:rFonts w:ascii="Times New Roman" w:hAnsi="Times New Roman"/>
        </w:rPr>
        <w:t>Exekučná imunita čiastočne chrániaca niektoré nemocnice</w:t>
      </w:r>
      <w:r w:rsidR="007A6E70">
        <w:rPr>
          <w:rFonts w:ascii="Times New Roman" w:hAnsi="Times New Roman"/>
        </w:rPr>
        <w:t xml:space="preserve">, znižujúca motiváciu </w:t>
      </w:r>
      <w:r w:rsidR="00FC7BDB">
        <w:rPr>
          <w:rFonts w:ascii="Times New Roman" w:hAnsi="Times New Roman"/>
        </w:rPr>
        <w:t>zvyšovať</w:t>
      </w:r>
      <w:r w:rsidR="007A6E70">
        <w:rPr>
          <w:rFonts w:ascii="Times New Roman" w:hAnsi="Times New Roman"/>
        </w:rPr>
        <w:t xml:space="preserve"> efektivit</w:t>
      </w:r>
      <w:r w:rsidR="00FC7BDB">
        <w:rPr>
          <w:rFonts w:ascii="Times New Roman" w:hAnsi="Times New Roman"/>
        </w:rPr>
        <w:t xml:space="preserve">u prevádzky </w:t>
      </w:r>
      <w:r w:rsidR="007A6E70">
        <w:rPr>
          <w:rFonts w:ascii="Times New Roman" w:hAnsi="Times New Roman"/>
        </w:rPr>
        <w:t>nemocníc</w:t>
      </w:r>
      <w:r w:rsidR="00E07716">
        <w:rPr>
          <w:rFonts w:ascii="Times New Roman" w:hAnsi="Times New Roman"/>
        </w:rPr>
        <w:t>.</w:t>
      </w:r>
    </w:p>
    <w:p w:rsidR="00E07716" w:rsidP="00CF2104">
      <w:pPr>
        <w:pStyle w:val="Obyajn"/>
        <w:numPr>
          <w:numId w:val="5"/>
        </w:numPr>
        <w:bidi w:val="0"/>
        <w:rPr>
          <w:rFonts w:ascii="Times New Roman" w:hAnsi="Times New Roman"/>
        </w:rPr>
      </w:pPr>
      <w:r>
        <w:rPr>
          <w:rFonts w:ascii="Times New Roman" w:hAnsi="Times New Roman"/>
        </w:rPr>
        <w:t>Predchádzajúce oddlžovania v</w:t>
      </w:r>
      <w:r w:rsidR="00AB2D1E">
        <w:rPr>
          <w:rFonts w:ascii="Times New Roman" w:hAnsi="Times New Roman"/>
        </w:rPr>
        <w:t>ytvorili precedens opakovaného zadl</w:t>
      </w:r>
      <w:r>
        <w:rPr>
          <w:rFonts w:ascii="Times New Roman" w:hAnsi="Times New Roman"/>
        </w:rPr>
        <w:t>žovania a znížili mieru zodpovednosti a snahy realizovať n</w:t>
      </w:r>
      <w:r w:rsidR="00727D4E">
        <w:rPr>
          <w:rFonts w:ascii="Times New Roman" w:hAnsi="Times New Roman"/>
        </w:rPr>
        <w:t>áročné reštriktívne opatrenia.</w:t>
      </w:r>
      <w:r>
        <w:rPr>
          <w:rFonts w:ascii="Times New Roman" w:hAnsi="Times New Roman"/>
        </w:rPr>
        <w:t xml:space="preserve"> </w:t>
      </w:r>
    </w:p>
    <w:p w:rsidR="00627388" w:rsidP="00627388">
      <w:pPr>
        <w:pStyle w:val="Obyajn"/>
        <w:bidi w:val="0"/>
        <w:ind w:firstLine="0"/>
        <w:rPr>
          <w:rFonts w:ascii="Times New Roman" w:hAnsi="Times New Roman"/>
        </w:rPr>
      </w:pPr>
    </w:p>
    <w:p w:rsidR="00627388" w:rsidRPr="00774A6E" w:rsidP="00627388">
      <w:pPr>
        <w:pStyle w:val="Heading2"/>
        <w:bidi w:val="0"/>
      </w:pPr>
      <w:r>
        <w:rPr>
          <w:rFonts w:hint="default"/>
        </w:rPr>
        <w:t>Realizované</w:t>
      </w:r>
      <w:r>
        <w:rPr>
          <w:rFonts w:hint="default"/>
        </w:rPr>
        <w:t xml:space="preserve"> o</w:t>
      </w:r>
      <w:r w:rsidR="00C44F2B">
        <w:rPr>
          <w:rFonts w:hint="default"/>
        </w:rPr>
        <w:t>patrenia na zníž</w:t>
      </w:r>
      <w:r w:rsidR="00C44F2B">
        <w:rPr>
          <w:rFonts w:hint="default"/>
        </w:rPr>
        <w:t>enie zadlž</w:t>
      </w:r>
      <w:r w:rsidR="00C44F2B">
        <w:rPr>
          <w:rFonts w:hint="default"/>
        </w:rPr>
        <w:t>ovania</w:t>
      </w:r>
      <w:r>
        <w:rPr>
          <w:rFonts w:hint="default"/>
        </w:rPr>
        <w:t xml:space="preserve"> nemocní</w:t>
      </w:r>
      <w:r>
        <w:rPr>
          <w:rFonts w:hint="default"/>
        </w:rPr>
        <w:t>c</w:t>
      </w:r>
      <w:r w:rsidRPr="00774A6E">
        <w:t xml:space="preserve"> </w:t>
      </w:r>
    </w:p>
    <w:p w:rsidR="00627388" w:rsidRPr="00774A6E" w:rsidP="00627388">
      <w:pPr>
        <w:bidi w:val="0"/>
        <w:rPr>
          <w:rFonts w:ascii="Times New Roman" w:hAnsi="Times New Roman"/>
        </w:rPr>
      </w:pPr>
    </w:p>
    <w:p w:rsidR="00042225">
      <w:pPr>
        <w:pStyle w:val="Obyajn"/>
        <w:bidi w:val="0"/>
        <w:rPr>
          <w:rFonts w:ascii="Times New Roman" w:hAnsi="Times New Roman"/>
        </w:rPr>
      </w:pPr>
      <w:r w:rsidR="002B738A">
        <w:rPr>
          <w:rFonts w:ascii="Times New Roman" w:hAnsi="Times New Roman"/>
        </w:rPr>
        <w:t xml:space="preserve">S cieľom zlepšiť finančnú situáciu ústavných poskytovateľov v pôsobnosti </w:t>
      </w:r>
      <w:r w:rsidR="001F5DF0">
        <w:rPr>
          <w:rFonts w:ascii="Times New Roman" w:hAnsi="Times New Roman"/>
        </w:rPr>
        <w:t>MZ SR</w:t>
      </w:r>
      <w:r w:rsidR="002B738A">
        <w:rPr>
          <w:rFonts w:ascii="Times New Roman" w:hAnsi="Times New Roman"/>
        </w:rPr>
        <w:t xml:space="preserve"> bol</w:t>
      </w:r>
      <w:r w:rsidR="00627388">
        <w:rPr>
          <w:rFonts w:ascii="Times New Roman" w:hAnsi="Times New Roman"/>
        </w:rPr>
        <w:t xml:space="preserve"> </w:t>
      </w:r>
      <w:r w:rsidR="007A6E70">
        <w:rPr>
          <w:rFonts w:ascii="Times New Roman" w:hAnsi="Times New Roman"/>
        </w:rPr>
        <w:t xml:space="preserve">v júni 2016 </w:t>
      </w:r>
      <w:r w:rsidR="00627388">
        <w:rPr>
          <w:rFonts w:ascii="Times New Roman" w:hAnsi="Times New Roman"/>
        </w:rPr>
        <w:t>zriad</w:t>
      </w:r>
      <w:r w:rsidR="002B738A">
        <w:rPr>
          <w:rFonts w:ascii="Times New Roman" w:hAnsi="Times New Roman"/>
        </w:rPr>
        <w:t>ený</w:t>
      </w:r>
      <w:r w:rsidRPr="00627388" w:rsidR="00627388">
        <w:rPr>
          <w:rFonts w:ascii="Times New Roman" w:hAnsi="Times New Roman"/>
        </w:rPr>
        <w:t xml:space="preserve"> </w:t>
      </w:r>
      <w:r w:rsidRPr="00627388" w:rsidR="00627388">
        <w:rPr>
          <w:rFonts w:ascii="Times New Roman" w:hAnsi="Times New Roman"/>
          <w:b/>
        </w:rPr>
        <w:t>Úrad pre riadenie podriadených organizácií</w:t>
      </w:r>
      <w:r w:rsidR="00FC7BDB">
        <w:rPr>
          <w:rFonts w:ascii="Times New Roman" w:hAnsi="Times New Roman"/>
          <w:b/>
        </w:rPr>
        <w:t xml:space="preserve"> </w:t>
      </w:r>
      <w:r w:rsidRPr="00154367" w:rsidR="00FC7BDB">
        <w:rPr>
          <w:rFonts w:ascii="Times New Roman" w:hAnsi="Times New Roman"/>
        </w:rPr>
        <w:t>(ďalej aj ako „Úrad“)</w:t>
      </w:r>
      <w:r w:rsidRPr="00FC7BDB" w:rsidR="00627388">
        <w:rPr>
          <w:rFonts w:ascii="Times New Roman" w:hAnsi="Times New Roman"/>
        </w:rPr>
        <w:t>,</w:t>
      </w:r>
      <w:r w:rsidRPr="00627388" w:rsidR="00627388">
        <w:rPr>
          <w:rFonts w:ascii="Times New Roman" w:hAnsi="Times New Roman"/>
        </w:rPr>
        <w:t xml:space="preserve"> ktorý </w:t>
      </w:r>
      <w:r w:rsidR="00627388">
        <w:rPr>
          <w:rFonts w:ascii="Times New Roman" w:hAnsi="Times New Roman"/>
        </w:rPr>
        <w:t>pomáha centrálne riadiť</w:t>
      </w:r>
      <w:r w:rsidRPr="00627388" w:rsidR="00627388">
        <w:rPr>
          <w:rFonts w:ascii="Times New Roman" w:hAnsi="Times New Roman"/>
        </w:rPr>
        <w:t xml:space="preserve"> procesy </w:t>
      </w:r>
      <w:r w:rsidR="00627388">
        <w:rPr>
          <w:rFonts w:ascii="Times New Roman" w:hAnsi="Times New Roman"/>
        </w:rPr>
        <w:t xml:space="preserve">svojich </w:t>
      </w:r>
      <w:r w:rsidRPr="00627388" w:rsidR="00627388">
        <w:rPr>
          <w:rFonts w:ascii="Times New Roman" w:hAnsi="Times New Roman"/>
        </w:rPr>
        <w:t xml:space="preserve">podriadených organizácií. </w:t>
      </w:r>
      <w:r w:rsidR="00FC7BDB">
        <w:rPr>
          <w:rFonts w:ascii="Times New Roman" w:hAnsi="Times New Roman"/>
        </w:rPr>
        <w:t>Úrad v spolupráci s ostatnými odbornými útvarmi MZ SR v</w:t>
      </w:r>
      <w:r w:rsidRPr="00627388" w:rsidR="00627388">
        <w:rPr>
          <w:rFonts w:ascii="Times New Roman" w:hAnsi="Times New Roman"/>
        </w:rPr>
        <w:t>yhodnocuje finančné a prevádzkové výkazníctvo, verejné obstarávania a podporuje implementáci</w:t>
      </w:r>
      <w:r w:rsidR="00627388">
        <w:rPr>
          <w:rFonts w:ascii="Times New Roman" w:hAnsi="Times New Roman"/>
        </w:rPr>
        <w:t>u</w:t>
      </w:r>
      <w:r w:rsidRPr="00627388" w:rsidR="00627388">
        <w:rPr>
          <w:rFonts w:ascii="Times New Roman" w:hAnsi="Times New Roman"/>
        </w:rPr>
        <w:t xml:space="preserve"> jednotlivých projektov v</w:t>
      </w:r>
      <w:r w:rsidR="00FC7BDB">
        <w:rPr>
          <w:rFonts w:ascii="Times New Roman" w:hAnsi="Times New Roman"/>
        </w:rPr>
        <w:t> </w:t>
      </w:r>
      <w:r w:rsidRPr="00627388" w:rsidR="00627388">
        <w:rPr>
          <w:rFonts w:ascii="Times New Roman" w:hAnsi="Times New Roman"/>
        </w:rPr>
        <w:t>nemocniciach</w:t>
      </w:r>
      <w:r w:rsidR="00FC7BDB">
        <w:rPr>
          <w:rFonts w:ascii="Times New Roman" w:hAnsi="Times New Roman"/>
        </w:rPr>
        <w:t xml:space="preserve"> a s cieľom zaviesť </w:t>
      </w:r>
      <w:r w:rsidRPr="00627388" w:rsidR="00627388">
        <w:rPr>
          <w:rFonts w:ascii="Times New Roman" w:hAnsi="Times New Roman"/>
        </w:rPr>
        <w:t xml:space="preserve">opatrenia na zamedzenie rastu zadlženosti </w:t>
      </w:r>
      <w:r w:rsidRPr="00042225" w:rsidR="00627388">
        <w:rPr>
          <w:rFonts w:ascii="Times New Roman" w:hAnsi="Times New Roman"/>
        </w:rPr>
        <w:t>zdravotníckych zariadení</w:t>
      </w:r>
      <w:r w:rsidRPr="00042225" w:rsidR="00FC7BDB">
        <w:rPr>
          <w:rFonts w:ascii="Times New Roman" w:hAnsi="Times New Roman"/>
        </w:rPr>
        <w:t xml:space="preserve"> a zvýšenia kvality poskytov</w:t>
      </w:r>
      <w:r>
        <w:rPr>
          <w:rFonts w:ascii="Times New Roman" w:hAnsi="Times New Roman"/>
        </w:rPr>
        <w:t>anej zdravotnej starostlivosti. N</w:t>
      </w:r>
      <w:r w:rsidRPr="00042225" w:rsidR="00FC7BDB">
        <w:rPr>
          <w:rFonts w:ascii="Times New Roman" w:hAnsi="Times New Roman"/>
        </w:rPr>
        <w:t>ajvýznamnejši</w:t>
      </w:r>
      <w:r>
        <w:rPr>
          <w:rFonts w:ascii="Times New Roman" w:hAnsi="Times New Roman"/>
        </w:rPr>
        <w:t>a</w:t>
      </w:r>
      <w:r w:rsidRPr="00042225" w:rsidR="00FC7BDB">
        <w:rPr>
          <w:rFonts w:ascii="Times New Roman" w:hAnsi="Times New Roman"/>
        </w:rPr>
        <w:t xml:space="preserve"> </w:t>
      </w:r>
      <w:r>
        <w:rPr>
          <w:rFonts w:ascii="Times New Roman" w:hAnsi="Times New Roman"/>
        </w:rPr>
        <w:t>zmena</w:t>
      </w:r>
      <w:r w:rsidRPr="00154367" w:rsidR="00FC7BDB">
        <w:rPr>
          <w:rFonts w:ascii="Times New Roman" w:hAnsi="Times New Roman"/>
        </w:rPr>
        <w:t xml:space="preserve"> </w:t>
      </w:r>
      <w:r w:rsidRPr="00154367">
        <w:rPr>
          <w:rFonts w:ascii="Times New Roman" w:hAnsi="Times New Roman"/>
        </w:rPr>
        <w:t xml:space="preserve">v procese </w:t>
      </w:r>
      <w:r w:rsidRPr="00154367" w:rsidR="00FC7BDB">
        <w:rPr>
          <w:rFonts w:ascii="Times New Roman" w:hAnsi="Times New Roman"/>
        </w:rPr>
        <w:t xml:space="preserve">riadenia nemocníc, ktoré zaviedol </w:t>
      </w:r>
      <w:r w:rsidR="002F17AD">
        <w:rPr>
          <w:rFonts w:ascii="Times New Roman" w:hAnsi="Times New Roman"/>
        </w:rPr>
        <w:t xml:space="preserve">Úrad, </w:t>
      </w:r>
      <w:r>
        <w:rPr>
          <w:rFonts w:ascii="Times New Roman" w:hAnsi="Times New Roman"/>
        </w:rPr>
        <w:t>je</w:t>
      </w:r>
      <w:r w:rsidRPr="00154367" w:rsidR="00FC7BDB">
        <w:rPr>
          <w:rFonts w:ascii="Times New Roman" w:hAnsi="Times New Roman"/>
        </w:rPr>
        <w:t xml:space="preserve"> </w:t>
      </w:r>
      <w:r w:rsidRPr="00042225" w:rsidR="00FC7BDB">
        <w:rPr>
          <w:rFonts w:ascii="Times New Roman" w:hAnsi="Times New Roman"/>
        </w:rPr>
        <w:t xml:space="preserve">ustanovenie </w:t>
      </w:r>
      <w:r w:rsidRPr="00042225" w:rsidR="00627388">
        <w:rPr>
          <w:rFonts w:ascii="Times New Roman" w:hAnsi="Times New Roman"/>
        </w:rPr>
        <w:t>systém</w:t>
      </w:r>
      <w:r w:rsidRPr="00042225" w:rsidR="00FC7BDB">
        <w:rPr>
          <w:rFonts w:ascii="Times New Roman" w:hAnsi="Times New Roman"/>
        </w:rPr>
        <w:t>u</w:t>
      </w:r>
      <w:r w:rsidRPr="00042225" w:rsidR="00627388">
        <w:rPr>
          <w:rFonts w:ascii="Times New Roman" w:hAnsi="Times New Roman"/>
        </w:rPr>
        <w:t xml:space="preserve"> kolektívneho rozhodovania pri riadení nemocníc, ktoré majú právnu formu štátnej</w:t>
      </w:r>
      <w:r w:rsidRPr="00627388" w:rsidR="00627388">
        <w:rPr>
          <w:rFonts w:ascii="Times New Roman" w:hAnsi="Times New Roman"/>
        </w:rPr>
        <w:t xml:space="preserve"> príspevkovej organizácie, a to prostredníctvom </w:t>
      </w:r>
      <w:r w:rsidRPr="00627388" w:rsidR="00627388">
        <w:rPr>
          <w:rFonts w:ascii="Times New Roman" w:hAnsi="Times New Roman"/>
          <w:b/>
        </w:rPr>
        <w:t>Rady riaditeľov</w:t>
      </w:r>
      <w:r w:rsidRPr="00627388" w:rsidR="00627388">
        <w:rPr>
          <w:rFonts w:ascii="Times New Roman" w:hAnsi="Times New Roman"/>
        </w:rPr>
        <w:t xml:space="preserve">, ktorá je trojčlenným štatutárnym orgánom zdravotníckeho zariadenia. </w:t>
      </w:r>
      <w:r>
        <w:rPr>
          <w:rFonts w:ascii="Times New Roman" w:hAnsi="Times New Roman"/>
        </w:rPr>
        <w:t xml:space="preserve"> V rámci zvyšovania transparentnosti a efektivity prevádzky Úrad zriadil v týchto zariadeniach </w:t>
      </w:r>
      <w:r w:rsidRPr="00FC7BDB" w:rsidR="00FC7BDB">
        <w:rPr>
          <w:rFonts w:ascii="Times New Roman" w:hAnsi="Times New Roman"/>
          <w:b/>
        </w:rPr>
        <w:t>dozor</w:t>
      </w:r>
      <w:r>
        <w:rPr>
          <w:rFonts w:ascii="Times New Roman" w:hAnsi="Times New Roman"/>
          <w:b/>
        </w:rPr>
        <w:t>né</w:t>
      </w:r>
      <w:r w:rsidRPr="00FC7BDB" w:rsidR="00627388">
        <w:rPr>
          <w:rFonts w:ascii="Times New Roman" w:hAnsi="Times New Roman"/>
          <w:b/>
        </w:rPr>
        <w:t xml:space="preserve"> orgán</w:t>
      </w:r>
      <w:r>
        <w:rPr>
          <w:rFonts w:ascii="Times New Roman" w:hAnsi="Times New Roman"/>
          <w:b/>
        </w:rPr>
        <w:t>y</w:t>
      </w:r>
      <w:r w:rsidRPr="00FC7BDB" w:rsidR="00627388">
        <w:rPr>
          <w:rFonts w:ascii="Times New Roman" w:hAnsi="Times New Roman"/>
          <w:b/>
        </w:rPr>
        <w:t xml:space="preserve"> v nemocniciach</w:t>
      </w:r>
      <w:r w:rsidRPr="00627388" w:rsidR="00627388">
        <w:rPr>
          <w:rFonts w:ascii="Times New Roman" w:hAnsi="Times New Roman"/>
        </w:rPr>
        <w:t>,</w:t>
      </w:r>
      <w:r>
        <w:rPr>
          <w:rFonts w:ascii="Times New Roman" w:hAnsi="Times New Roman"/>
        </w:rPr>
        <w:t xml:space="preserve"> ktoré pravidelne od jari 2017 zasadajú a dopomáhajú Rade riaditeľom plniť stanovené ciele a úlohy. </w:t>
      </w:r>
    </w:p>
    <w:p w:rsidR="00FC7BDB">
      <w:pPr>
        <w:pStyle w:val="Obyajn"/>
        <w:bidi w:val="0"/>
        <w:rPr>
          <w:rFonts w:ascii="Times New Roman" w:hAnsi="Times New Roman"/>
        </w:rPr>
      </w:pPr>
      <w:r w:rsidRPr="00627388" w:rsidR="00627388">
        <w:rPr>
          <w:rFonts w:ascii="Times New Roman" w:hAnsi="Times New Roman"/>
        </w:rPr>
        <w:t xml:space="preserve">Úrad </w:t>
      </w:r>
      <w:r w:rsidR="00042225">
        <w:rPr>
          <w:rFonts w:ascii="Times New Roman" w:hAnsi="Times New Roman"/>
        </w:rPr>
        <w:t xml:space="preserve">na dennodennej báze </w:t>
      </w:r>
      <w:r w:rsidRPr="00627388" w:rsidR="00627388">
        <w:rPr>
          <w:rFonts w:ascii="Times New Roman" w:hAnsi="Times New Roman"/>
        </w:rPr>
        <w:t xml:space="preserve">vykonáva analýzu dodávateľských zmlúv poskytovateľov s cieľom zabrániť uzatváraniu nevýhodných zmlúv a s cieľom stanoviť maximálne prípustné parametre dodávateľských zmlúv, pričom kontinuálne rozširuje analyzované oblasti. V súčinnosti s Inštitútom zdravotnej politiky vykonáva analýzu spotreby a nákladovosti liekov, analýzu nákladovo neefektívnych liekov a analýzu cenovej politiky špeciálneho zdravotníckeho materiálu. </w:t>
      </w:r>
      <w:r w:rsidR="007A6E70">
        <w:rPr>
          <w:rFonts w:ascii="Times New Roman" w:hAnsi="Times New Roman"/>
        </w:rPr>
        <w:t>Úrad taktiež s</w:t>
      </w:r>
      <w:r w:rsidRPr="00627388" w:rsidR="00627388">
        <w:rPr>
          <w:rFonts w:ascii="Times New Roman" w:hAnsi="Times New Roman"/>
        </w:rPr>
        <w:t>polupracuje s manažmentom nemocn</w:t>
      </w:r>
      <w:r w:rsidR="007A6E70">
        <w:rPr>
          <w:rFonts w:ascii="Times New Roman" w:hAnsi="Times New Roman"/>
        </w:rPr>
        <w:t xml:space="preserve">íc pri riešení </w:t>
      </w:r>
      <w:r w:rsidRPr="00627388" w:rsidR="00627388">
        <w:rPr>
          <w:rFonts w:ascii="Times New Roman" w:hAnsi="Times New Roman"/>
        </w:rPr>
        <w:t>problematik</w:t>
      </w:r>
      <w:r w:rsidR="007A6E70">
        <w:rPr>
          <w:rFonts w:ascii="Times New Roman" w:hAnsi="Times New Roman"/>
        </w:rPr>
        <w:t>y</w:t>
      </w:r>
      <w:r w:rsidRPr="00627388" w:rsidR="00627388">
        <w:rPr>
          <w:rFonts w:ascii="Times New Roman" w:hAnsi="Times New Roman"/>
        </w:rPr>
        <w:t xml:space="preserve"> nadlimitných výkonov zdravotníckych zariadení. </w:t>
      </w:r>
    </w:p>
    <w:p w:rsidR="00627388">
      <w:pPr>
        <w:pStyle w:val="Obyajn"/>
        <w:bidi w:val="0"/>
        <w:rPr>
          <w:rFonts w:ascii="Times New Roman" w:hAnsi="Times New Roman"/>
        </w:rPr>
      </w:pPr>
      <w:r w:rsidR="00B41DF9">
        <w:rPr>
          <w:rFonts w:ascii="Times New Roman" w:hAnsi="Times New Roman"/>
        </w:rPr>
        <w:t xml:space="preserve">Okrem </w:t>
      </w:r>
      <w:r w:rsidR="007A6E70">
        <w:rPr>
          <w:rFonts w:ascii="Times New Roman" w:hAnsi="Times New Roman"/>
        </w:rPr>
        <w:t>týchto opatrení</w:t>
      </w:r>
      <w:r w:rsidR="00B41DF9">
        <w:rPr>
          <w:rFonts w:ascii="Times New Roman" w:hAnsi="Times New Roman"/>
        </w:rPr>
        <w:t xml:space="preserve"> </w:t>
      </w:r>
      <w:r w:rsidR="00042225">
        <w:rPr>
          <w:rFonts w:ascii="Times New Roman" w:hAnsi="Times New Roman"/>
        </w:rPr>
        <w:t xml:space="preserve">Úrad zastrešil </w:t>
      </w:r>
      <w:r w:rsidRPr="00FC7BDB" w:rsidR="00B41DF9">
        <w:rPr>
          <w:rFonts w:ascii="Times New Roman" w:hAnsi="Times New Roman"/>
          <w:b/>
        </w:rPr>
        <w:t>centr</w:t>
      </w:r>
      <w:r w:rsidR="00042225">
        <w:rPr>
          <w:rFonts w:ascii="Times New Roman" w:hAnsi="Times New Roman"/>
          <w:b/>
        </w:rPr>
        <w:t>álne</w:t>
      </w:r>
      <w:r w:rsidRPr="00FC7BDB" w:rsidR="00B41DF9">
        <w:rPr>
          <w:rFonts w:ascii="Times New Roman" w:hAnsi="Times New Roman"/>
          <w:b/>
        </w:rPr>
        <w:t xml:space="preserve"> obstarávani</w:t>
      </w:r>
      <w:r w:rsidR="00042225">
        <w:rPr>
          <w:rFonts w:ascii="Times New Roman" w:hAnsi="Times New Roman"/>
          <w:b/>
        </w:rPr>
        <w:t>e</w:t>
      </w:r>
      <w:r w:rsidRPr="00FC7BDB" w:rsidR="00B41DF9">
        <w:rPr>
          <w:rFonts w:ascii="Times New Roman" w:hAnsi="Times New Roman"/>
          <w:b/>
        </w:rPr>
        <w:t xml:space="preserve"> zdravotníckej techniky</w:t>
      </w:r>
      <w:r w:rsidR="00B41DF9">
        <w:rPr>
          <w:rFonts w:ascii="Times New Roman" w:hAnsi="Times New Roman"/>
        </w:rPr>
        <w:t xml:space="preserve"> ako sú CT prístroje, nemocničné lôžka, MR prístroje, lineárne urýchľovače, mamografy, ostatné röntgenové prístroje, čím vytvára predpoklady na významné úspory kapitálových výdavkov, ktoré sa prejavujú v ročných prevádzkových nákladov.</w:t>
      </w:r>
    </w:p>
    <w:p w:rsidR="00627388" w:rsidRPr="00627388" w:rsidP="00627388">
      <w:pPr>
        <w:pStyle w:val="Obyajn"/>
        <w:bidi w:val="0"/>
        <w:rPr>
          <w:rFonts w:ascii="Times New Roman" w:hAnsi="Times New Roman"/>
        </w:rPr>
      </w:pPr>
      <w:r w:rsidR="001F5DF0">
        <w:rPr>
          <w:rFonts w:ascii="Times New Roman" w:hAnsi="Times New Roman"/>
        </w:rPr>
        <w:t>MZ SR</w:t>
      </w:r>
      <w:r w:rsidR="00042225">
        <w:rPr>
          <w:rFonts w:ascii="Times New Roman" w:hAnsi="Times New Roman"/>
        </w:rPr>
        <w:t xml:space="preserve"> však</w:t>
      </w:r>
      <w:r w:rsidRPr="00627388">
        <w:rPr>
          <w:rFonts w:ascii="Times New Roman" w:hAnsi="Times New Roman"/>
        </w:rPr>
        <w:t xml:space="preserve"> hľadá riešenia aj na otázky alokatívnej efektivity a preto v spolupráci s Ministerstvom financií </w:t>
      </w:r>
      <w:r w:rsidR="00B41DF9">
        <w:rPr>
          <w:rFonts w:ascii="Times New Roman" w:hAnsi="Times New Roman"/>
        </w:rPr>
        <w:t xml:space="preserve">Slovenskej republiky </w:t>
      </w:r>
      <w:r w:rsidRPr="00627388">
        <w:rPr>
          <w:rFonts w:ascii="Times New Roman" w:hAnsi="Times New Roman"/>
        </w:rPr>
        <w:t xml:space="preserve">v rámci projektu </w:t>
      </w:r>
      <w:r w:rsidRPr="00627388">
        <w:rPr>
          <w:rFonts w:ascii="Times New Roman" w:hAnsi="Times New Roman"/>
          <w:b/>
        </w:rPr>
        <w:t>Hodnota za peniaze</w:t>
      </w:r>
      <w:r w:rsidRPr="00627388">
        <w:rPr>
          <w:rFonts w:ascii="Times New Roman" w:hAnsi="Times New Roman"/>
        </w:rPr>
        <w:t xml:space="preserve"> reformuje pravidlá a nastavuje procesy tak, aby významne zvýšili hodnotu za peniaze v slovenskom zdravotníctve. Jedným z nástrojov Hodnoty za peniaze je komplexná revízia väčšiny verejných výdavkov. </w:t>
      </w:r>
    </w:p>
    <w:p w:rsidR="002F17AD" w:rsidP="00627388">
      <w:pPr>
        <w:pStyle w:val="Obyajn"/>
        <w:bidi w:val="0"/>
        <w:rPr>
          <w:rFonts w:ascii="Times New Roman" w:hAnsi="Times New Roman"/>
        </w:rPr>
      </w:pPr>
      <w:r w:rsidRPr="00627388" w:rsidR="00627388">
        <w:rPr>
          <w:rFonts w:ascii="Times New Roman" w:hAnsi="Times New Roman"/>
          <w:b/>
          <w:bCs/>
        </w:rPr>
        <w:t>Revízia identifikovala opatrenia v celkovom objem</w:t>
      </w:r>
      <w:r w:rsidR="00C44F2B">
        <w:rPr>
          <w:rFonts w:ascii="Times New Roman" w:hAnsi="Times New Roman"/>
          <w:b/>
          <w:bCs/>
        </w:rPr>
        <w:t xml:space="preserve">e 174 mil. </w:t>
      </w:r>
      <w:r w:rsidR="00042225">
        <w:rPr>
          <w:rFonts w:ascii="Times New Roman" w:hAnsi="Times New Roman"/>
          <w:b/>
          <w:bCs/>
        </w:rPr>
        <w:t>EUR</w:t>
      </w:r>
      <w:r w:rsidR="00C44F2B">
        <w:rPr>
          <w:rFonts w:ascii="Times New Roman" w:hAnsi="Times New Roman"/>
          <w:b/>
          <w:bCs/>
        </w:rPr>
        <w:t xml:space="preserve"> v roku 2017. </w:t>
      </w:r>
      <w:r w:rsidRPr="00627388" w:rsidR="00627388">
        <w:rPr>
          <w:rFonts w:ascii="Times New Roman" w:hAnsi="Times New Roman"/>
        </w:rPr>
        <w:t xml:space="preserve">Z celkovej sumy pripadá 143 mil. </w:t>
      </w:r>
      <w:r w:rsidR="00042225">
        <w:rPr>
          <w:rFonts w:ascii="Times New Roman" w:hAnsi="Times New Roman"/>
        </w:rPr>
        <w:t>EUR</w:t>
      </w:r>
      <w:r w:rsidRPr="00627388" w:rsidR="00627388">
        <w:rPr>
          <w:rFonts w:ascii="Times New Roman" w:hAnsi="Times New Roman"/>
        </w:rPr>
        <w:t xml:space="preserve"> na výdavky verejného zdravotného poistenia. Na základe identifikovaných opatrení dôjde k internej reštrukturalizácii výdavkov na verejné zdravotné poistenie bez šetrenia na rozsahu alebo objeme poskytovanej zdravotnej starostlivosti. Efektívna prevádzka a hospodárne obstarávania v nemocniciach podriadených Ministerstvu zdravotníctva SR uvoľní dodatočných 31 mil. </w:t>
      </w:r>
      <w:r w:rsidR="00042225">
        <w:rPr>
          <w:rFonts w:ascii="Times New Roman" w:hAnsi="Times New Roman"/>
        </w:rPr>
        <w:t>EUR</w:t>
      </w:r>
      <w:r w:rsidRPr="00627388" w:rsidR="00627388">
        <w:rPr>
          <w:rFonts w:ascii="Times New Roman" w:hAnsi="Times New Roman"/>
        </w:rPr>
        <w:t>. Revízia výdavkov identifikovala</w:t>
      </w:r>
      <w:r w:rsidR="00042225">
        <w:rPr>
          <w:rFonts w:ascii="Times New Roman" w:hAnsi="Times New Roman"/>
        </w:rPr>
        <w:t xml:space="preserve"> teoretickú</w:t>
      </w:r>
      <w:r w:rsidRPr="00627388" w:rsidR="00627388">
        <w:rPr>
          <w:rFonts w:ascii="Times New Roman" w:hAnsi="Times New Roman"/>
        </w:rPr>
        <w:t xml:space="preserve"> úsporu až do 84 mil. </w:t>
      </w:r>
      <w:r w:rsidR="00042225">
        <w:rPr>
          <w:rFonts w:ascii="Times New Roman" w:hAnsi="Times New Roman"/>
        </w:rPr>
        <w:t>EUR</w:t>
      </w:r>
      <w:r w:rsidRPr="00627388" w:rsidR="00627388">
        <w:rPr>
          <w:rFonts w:ascii="Times New Roman" w:hAnsi="Times New Roman"/>
        </w:rPr>
        <w:t xml:space="preserve"> ročne na prevádzke vo fakultných a univerzitných nemocniciach</w:t>
      </w:r>
      <w:r>
        <w:rPr>
          <w:rStyle w:val="FootnoteReference"/>
          <w:rFonts w:ascii="Times New Roman" w:hAnsi="Times New Roman"/>
          <w:rtl w:val="0"/>
        </w:rPr>
        <w:footnoteReference w:id="3"/>
      </w:r>
      <w:r w:rsidRPr="00627388" w:rsidR="00627388">
        <w:rPr>
          <w:rFonts w:ascii="Times New Roman" w:hAnsi="Times New Roman"/>
        </w:rPr>
        <w:t xml:space="preserve"> </w:t>
      </w:r>
      <w:r w:rsidRPr="00627388" w:rsidR="00627388">
        <w:rPr>
          <w:rFonts w:ascii="Times New Roman" w:hAnsi="Times New Roman"/>
          <w:bCs/>
        </w:rPr>
        <w:t xml:space="preserve">dosiahnutú opatreniami na optimalizáciu lôžkového fondu a počtu lekárov a sestier, ako aj </w:t>
      </w:r>
      <w:r w:rsidR="00042225">
        <w:rPr>
          <w:rFonts w:ascii="Times New Roman" w:hAnsi="Times New Roman"/>
          <w:bCs/>
        </w:rPr>
        <w:t xml:space="preserve">vyššie uvedené </w:t>
      </w:r>
      <w:r w:rsidRPr="00627388" w:rsidR="00627388">
        <w:rPr>
          <w:rFonts w:ascii="Times New Roman" w:hAnsi="Times New Roman"/>
          <w:bCs/>
        </w:rPr>
        <w:t>hospodárne obstarávanie energií a služieb.</w:t>
      </w:r>
      <w:r w:rsidRPr="00627388" w:rsidR="00627388">
        <w:rPr>
          <w:rFonts w:ascii="Times New Roman" w:hAnsi="Times New Roman"/>
        </w:rPr>
        <w:t xml:space="preserve"> </w:t>
      </w:r>
      <w:r w:rsidRPr="00627388">
        <w:rPr>
          <w:rFonts w:ascii="Times New Roman" w:hAnsi="Times New Roman"/>
        </w:rPr>
        <w:t xml:space="preserve">Zefektívnenie prevádzky a obstarávania a takto identifikované zdroje pomôžu </w:t>
      </w:r>
      <w:r w:rsidRPr="00627388">
        <w:rPr>
          <w:rFonts w:ascii="Times New Roman" w:hAnsi="Times New Roman"/>
          <w:b/>
        </w:rPr>
        <w:t>spomaliť a postupne zastaviť zadlžovanie nemocníc</w:t>
      </w:r>
      <w:r w:rsidRPr="00627388">
        <w:rPr>
          <w:rFonts w:ascii="Times New Roman" w:hAnsi="Times New Roman"/>
        </w:rPr>
        <w:t>.</w:t>
      </w:r>
      <w:r>
        <w:rPr>
          <w:rFonts w:ascii="Times New Roman" w:hAnsi="Times New Roman"/>
        </w:rPr>
        <w:t xml:space="preserve"> Úrad aj preto identifikované opatrenia analyzuje a postupne implementuje. </w:t>
      </w:r>
    </w:p>
    <w:p w:rsidR="00627388" w:rsidRPr="00627388" w:rsidP="00154367">
      <w:pPr>
        <w:pStyle w:val="Obyajn"/>
        <w:bidi w:val="0"/>
        <w:rPr>
          <w:rFonts w:ascii="Times New Roman" w:hAnsi="Times New Roman"/>
        </w:rPr>
      </w:pPr>
      <w:r w:rsidR="002F17AD">
        <w:rPr>
          <w:rFonts w:ascii="Times New Roman" w:hAnsi="Times New Roman"/>
        </w:rPr>
        <w:t>Aj na základe opatrení realizovaných v rámci Revízií výdavkov poklesnú v</w:t>
      </w:r>
      <w:r w:rsidR="00154367">
        <w:rPr>
          <w:rFonts w:ascii="Times New Roman" w:hAnsi="Times New Roman"/>
        </w:rPr>
        <w:t xml:space="preserve"> r</w:t>
      </w:r>
      <w:r w:rsidRPr="00627388">
        <w:rPr>
          <w:rFonts w:ascii="Times New Roman" w:hAnsi="Times New Roman"/>
        </w:rPr>
        <w:t xml:space="preserve">oku 2017 výdavky na lieky, zdravotnícke pomôcky a špeciálny zdravotnícky materiál o 105 mil. </w:t>
      </w:r>
      <w:r w:rsidR="002F17AD">
        <w:rPr>
          <w:rFonts w:ascii="Times New Roman" w:hAnsi="Times New Roman"/>
        </w:rPr>
        <w:t>EIR</w:t>
      </w:r>
      <w:r w:rsidRPr="00627388">
        <w:rPr>
          <w:rFonts w:ascii="Times New Roman" w:hAnsi="Times New Roman"/>
        </w:rPr>
        <w:t xml:space="preserve"> najmä vďaka opatreniam v oblasti nadspotreby liekov a </w:t>
      </w:r>
      <w:r w:rsidRPr="00627388">
        <w:rPr>
          <w:rFonts w:ascii="Times New Roman" w:hAnsi="Times New Roman"/>
          <w:b/>
        </w:rPr>
        <w:t>referencovania cien</w:t>
      </w:r>
      <w:r w:rsidRPr="00627388">
        <w:rPr>
          <w:rFonts w:ascii="Times New Roman" w:hAnsi="Times New Roman"/>
        </w:rPr>
        <w:t xml:space="preserve"> špeciálneho zdravotníckeho materiálu a zdravotníckych pomôcok. Zavedenie </w:t>
      </w:r>
      <w:r w:rsidRPr="00627388">
        <w:rPr>
          <w:rFonts w:ascii="Times New Roman" w:hAnsi="Times New Roman"/>
          <w:b/>
        </w:rPr>
        <w:t xml:space="preserve">DRG </w:t>
      </w:r>
      <w:r w:rsidRPr="00627388">
        <w:rPr>
          <w:rFonts w:ascii="Times New Roman" w:hAnsi="Times New Roman"/>
        </w:rPr>
        <w:t>(systém financovania nemocníc prostredníctvom platby za diagnózu) taktiež posilní priamu zodpovednosť nemocníc za náklady a prinesie transparentné a spravodlivé platby za výkony.</w:t>
      </w:r>
      <w:r w:rsidR="002F17AD">
        <w:rPr>
          <w:rFonts w:ascii="Times New Roman" w:hAnsi="Times New Roman"/>
        </w:rPr>
        <w:t xml:space="preserve"> </w:t>
      </w:r>
      <w:r w:rsidRPr="00627388">
        <w:rPr>
          <w:rFonts w:ascii="Times New Roman" w:hAnsi="Times New Roman"/>
        </w:rPr>
        <w:t xml:space="preserve">Zníženie jednotkových cien vyšetrení počítačovým tomografom a magnetickou rezonanciou spolu so zavedením limitov prinesie v roku 2017 úsporu 13 mil. </w:t>
      </w:r>
      <w:r w:rsidR="002F17AD">
        <w:rPr>
          <w:rFonts w:ascii="Times New Roman" w:hAnsi="Times New Roman"/>
        </w:rPr>
        <w:t>EUR</w:t>
      </w:r>
      <w:r w:rsidRPr="00627388">
        <w:rPr>
          <w:rFonts w:ascii="Times New Roman" w:hAnsi="Times New Roman"/>
        </w:rPr>
        <w:t xml:space="preserve">. Analýza predpisovania rádiodiagnostických a laboratórnych vyšetrení identifikovala možnú úsporu </w:t>
      </w:r>
      <w:r w:rsidR="002F17AD">
        <w:rPr>
          <w:rFonts w:ascii="Times New Roman" w:hAnsi="Times New Roman"/>
        </w:rPr>
        <w:t>12-13 mil. EUR v priebehu roku 2017.</w:t>
      </w:r>
    </w:p>
    <w:p w:rsidR="00627388" w:rsidRPr="00627388" w:rsidP="00CF1BFF">
      <w:pPr>
        <w:pStyle w:val="Obyajn"/>
        <w:bidi w:val="0"/>
        <w:rPr>
          <w:rFonts w:ascii="Times New Roman" w:hAnsi="Times New Roman"/>
        </w:rPr>
      </w:pPr>
      <w:r w:rsidR="001F5DF0">
        <w:rPr>
          <w:rFonts w:ascii="Times New Roman" w:hAnsi="Times New Roman"/>
        </w:rPr>
        <w:t>MZ SR</w:t>
      </w:r>
      <w:r w:rsidRPr="00627388">
        <w:rPr>
          <w:rFonts w:ascii="Times New Roman" w:hAnsi="Times New Roman"/>
        </w:rPr>
        <w:t xml:space="preserve"> zaviedlo viacero ďalších opatrení, ktorých cieľom je zefektívniť prevádzku nemocníc</w:t>
      </w:r>
      <w:r w:rsidR="002F17AD">
        <w:rPr>
          <w:rFonts w:ascii="Times New Roman" w:hAnsi="Times New Roman"/>
        </w:rPr>
        <w:t xml:space="preserve"> (viď sekciu 4.2)</w:t>
      </w:r>
      <w:r w:rsidRPr="00627388">
        <w:rPr>
          <w:rFonts w:ascii="Times New Roman" w:hAnsi="Times New Roman"/>
        </w:rPr>
        <w:t xml:space="preserve">, čo sa prejaví na zlepšenej platobnej disciplíne poskytovateľov. Opatrením zavedeným v decembri 2015, kedy sa začalo benchmarkovanie cien nakupovanej zdravotníckej techniky, sa výrazne zamedzilo neefektívnemu a netrhovému správaniu dodávateľov, čo dopomohlo nemocniciam dosiahnuť lepšie hospodárske výsledky. </w:t>
      </w:r>
    </w:p>
    <w:p w:rsidR="00627388" w:rsidRPr="00627388" w:rsidP="00627388">
      <w:pPr>
        <w:pStyle w:val="Obyajn"/>
        <w:bidi w:val="0"/>
        <w:rPr>
          <w:rFonts w:ascii="Times New Roman" w:hAnsi="Times New Roman"/>
        </w:rPr>
      </w:pPr>
      <w:r w:rsidR="001F5DF0">
        <w:rPr>
          <w:rFonts w:ascii="Times New Roman" w:hAnsi="Times New Roman"/>
        </w:rPr>
        <w:t>MZ SR</w:t>
      </w:r>
      <w:r w:rsidRPr="00627388">
        <w:rPr>
          <w:rFonts w:ascii="Times New Roman" w:hAnsi="Times New Roman"/>
        </w:rPr>
        <w:t xml:space="preserve"> monitoruje vývoj obchodných záväzkov zdravotníckych zariadení. Všeobecne dlhodobým problémom je, že najmä náklady najväčších fakultných a univerzitných nemocníc nie sú v dostatočnej miere pokryté výnosmi od zdravotných poisťovní. Aj napriek skutočnosti, že lehota na úhradu záväzkov zdravotníckych zariadení je najviac 60 dní, záväzky v lehote splatnosti sa dynamicky presúvajú do kategórie záväzkov po lehote splatnosti. Generovanie prevádzkových strát v nemocniciach negatívne ovplyvňuje verejné financie, čo aj v strednodobom výhľade predstavuje objektívne významné riziká pre verejné financie. Nemocnice čelia aj skrytému dlhu vo forme nevyhovujúcej infraštruktúry. </w:t>
      </w:r>
    </w:p>
    <w:p w:rsidR="00627388" w:rsidRPr="00774A6E" w:rsidP="00627388">
      <w:pPr>
        <w:pStyle w:val="Obyajn"/>
        <w:bidi w:val="0"/>
        <w:rPr>
          <w:rFonts w:ascii="Times New Roman" w:hAnsi="Times New Roman"/>
        </w:rPr>
      </w:pPr>
    </w:p>
    <w:p w:rsidR="00013319" w:rsidRPr="00774A6E" w:rsidP="00C65A9C">
      <w:pPr>
        <w:pStyle w:val="Heading1"/>
        <w:bidi w:val="0"/>
        <w:rPr>
          <w:rFonts w:hint="default"/>
        </w:rPr>
      </w:pPr>
      <w:r w:rsidRPr="00774A6E">
        <w:rPr>
          <w:rFonts w:hint="default"/>
        </w:rPr>
        <w:t>Dô</w:t>
      </w:r>
      <w:r w:rsidRPr="00774A6E">
        <w:rPr>
          <w:rFonts w:hint="default"/>
        </w:rPr>
        <w:t>vody oddlž</w:t>
      </w:r>
      <w:r w:rsidRPr="00774A6E">
        <w:rPr>
          <w:rFonts w:hint="default"/>
        </w:rPr>
        <w:t>enia</w:t>
      </w:r>
    </w:p>
    <w:p w:rsidR="00C65A9C" w:rsidRPr="00774A6E" w:rsidP="00C65A9C">
      <w:pPr>
        <w:bidi w:val="0"/>
        <w:rPr>
          <w:rFonts w:ascii="Times New Roman" w:hAnsi="Times New Roman"/>
        </w:rPr>
      </w:pPr>
    </w:p>
    <w:p w:rsidR="00013319" w:rsidRPr="00774A6E" w:rsidP="00EF537B">
      <w:pPr>
        <w:pStyle w:val="Obyajn"/>
        <w:bidi w:val="0"/>
        <w:rPr>
          <w:rFonts w:ascii="Times New Roman" w:hAnsi="Times New Roman"/>
        </w:rPr>
      </w:pPr>
      <w:r w:rsidRPr="00B41DF9">
        <w:rPr>
          <w:rFonts w:ascii="Times New Roman" w:hAnsi="Times New Roman"/>
          <w:b/>
        </w:rPr>
        <w:t>Hlavné dôvody oddlženia</w:t>
      </w:r>
      <w:r w:rsidRPr="00774A6E">
        <w:rPr>
          <w:rFonts w:ascii="Times New Roman" w:hAnsi="Times New Roman"/>
        </w:rPr>
        <w:t xml:space="preserve"> sú nasledovné:</w:t>
      </w:r>
    </w:p>
    <w:p w:rsidR="00013319" w:rsidRPr="00774A6E" w:rsidP="00CF2104">
      <w:pPr>
        <w:pStyle w:val="Obyajn"/>
        <w:numPr>
          <w:numId w:val="3"/>
        </w:numPr>
        <w:bidi w:val="0"/>
        <w:rPr>
          <w:rFonts w:ascii="Times New Roman" w:hAnsi="Times New Roman"/>
        </w:rPr>
      </w:pPr>
      <w:r w:rsidRPr="00774A6E">
        <w:rPr>
          <w:rFonts w:ascii="Times New Roman" w:hAnsi="Times New Roman"/>
        </w:rPr>
        <w:t>V súčasnosti iba 13 nemocníc z celkového počtu 110</w:t>
      </w:r>
      <w:r>
        <w:rPr>
          <w:rStyle w:val="FootnoteReference"/>
          <w:rFonts w:ascii="Times New Roman" w:hAnsi="Times New Roman"/>
          <w:sz w:val="20"/>
          <w:szCs w:val="20"/>
          <w:rtl w:val="0"/>
        </w:rPr>
        <w:footnoteReference w:id="4"/>
      </w:r>
      <w:r w:rsidRPr="00774A6E">
        <w:rPr>
          <w:rFonts w:ascii="Times New Roman" w:hAnsi="Times New Roman"/>
        </w:rPr>
        <w:t xml:space="preserve"> hospodári tak, že má predpoklady na vytváranie nových záväzkov po lehote splatnosti (záporná hodnota EBITDA)</w:t>
      </w:r>
    </w:p>
    <w:p w:rsidR="00013319" w:rsidRPr="00774A6E" w:rsidP="00CF2104">
      <w:pPr>
        <w:pStyle w:val="Obyajn"/>
        <w:numPr>
          <w:numId w:val="3"/>
        </w:numPr>
        <w:bidi w:val="0"/>
        <w:rPr>
          <w:rFonts w:ascii="Times New Roman" w:hAnsi="Times New Roman"/>
        </w:rPr>
      </w:pPr>
      <w:r w:rsidRPr="00774A6E">
        <w:rPr>
          <w:rFonts w:ascii="Times New Roman" w:hAnsi="Times New Roman"/>
        </w:rPr>
        <w:t>Európska komisia začína proti Slovenskej republike konanie kvôli nedostatkom v aplikácii smernice Európskeho parlamentu a Rady 2011/7/EÚ zo dňa 16. februára 2011 o boji proti oneskoreným platbám v obchodných transakciách pokiaľ ide o uplatnenie predmetnej smernice v otázke úhrad faktúr od zdravotníckych zariadení v prospech dodávateľov</w:t>
      </w:r>
    </w:p>
    <w:p w:rsidR="00013319" w:rsidP="00CF2104">
      <w:pPr>
        <w:pStyle w:val="Obyajn"/>
        <w:numPr>
          <w:numId w:val="3"/>
        </w:numPr>
        <w:bidi w:val="0"/>
        <w:rPr>
          <w:rFonts w:ascii="Times New Roman" w:hAnsi="Times New Roman"/>
        </w:rPr>
      </w:pPr>
      <w:r w:rsidRPr="00774A6E">
        <w:rPr>
          <w:rFonts w:ascii="Times New Roman" w:hAnsi="Times New Roman"/>
        </w:rPr>
        <w:t>Všetkých 13 vyššie uvedených nemocníc je v pôsobnosti MZ SR, ktoré vykonáva konkrétne kroky (viď nižšie) s cieľom dosiahnuť vyrovnané hospodárenie uvedených nemocníc na úrovni EBITDA</w:t>
      </w:r>
    </w:p>
    <w:p w:rsidR="00627388" w:rsidP="00CF2104">
      <w:pPr>
        <w:pStyle w:val="Obyajn"/>
        <w:numPr>
          <w:numId w:val="3"/>
        </w:numPr>
        <w:bidi w:val="0"/>
        <w:rPr>
          <w:rFonts w:ascii="Times New Roman" w:hAnsi="Times New Roman"/>
        </w:rPr>
      </w:pPr>
      <w:r>
        <w:rPr>
          <w:rFonts w:ascii="Times New Roman" w:hAnsi="Times New Roman"/>
        </w:rPr>
        <w:t xml:space="preserve">Zníženie nákladov na obstaranie tovarov a služieb (ŠZM, služby) </w:t>
      </w:r>
      <w:r w:rsidR="002F17AD">
        <w:rPr>
          <w:rFonts w:ascii="Times New Roman" w:hAnsi="Times New Roman"/>
        </w:rPr>
        <w:t>vo výške cca 10-15%</w:t>
      </w:r>
      <w:r>
        <w:rPr>
          <w:rStyle w:val="FootnoteReference"/>
          <w:rFonts w:ascii="Times New Roman" w:hAnsi="Times New Roman"/>
          <w:rtl w:val="0"/>
        </w:rPr>
        <w:footnoteReference w:id="5"/>
      </w:r>
      <w:r w:rsidR="002F17AD">
        <w:rPr>
          <w:rFonts w:ascii="Times New Roman" w:hAnsi="Times New Roman"/>
        </w:rPr>
        <w:t xml:space="preserve">, </w:t>
      </w:r>
      <w:r>
        <w:rPr>
          <w:rFonts w:ascii="Times New Roman" w:hAnsi="Times New Roman"/>
        </w:rPr>
        <w:t>v dôsledku započítania nákladov</w:t>
      </w:r>
      <w:r w:rsidR="002F17AD">
        <w:rPr>
          <w:rFonts w:ascii="Times New Roman" w:hAnsi="Times New Roman"/>
        </w:rPr>
        <w:t xml:space="preserve"> dodávateľov</w:t>
      </w:r>
      <w:r>
        <w:rPr>
          <w:rFonts w:ascii="Times New Roman" w:hAnsi="Times New Roman"/>
        </w:rPr>
        <w:t xml:space="preserve"> na financovanie</w:t>
      </w:r>
      <w:r w:rsidR="002F17AD">
        <w:rPr>
          <w:rFonts w:ascii="Times New Roman" w:hAnsi="Times New Roman"/>
        </w:rPr>
        <w:t xml:space="preserve"> poskytnutých tovarov a služieb</w:t>
      </w:r>
      <w:r>
        <w:rPr>
          <w:rFonts w:ascii="Times New Roman" w:hAnsi="Times New Roman"/>
        </w:rPr>
        <w:t xml:space="preserve"> </w:t>
      </w:r>
    </w:p>
    <w:p w:rsidR="00627388" w:rsidRPr="00774A6E" w:rsidP="00945CF9">
      <w:pPr>
        <w:pStyle w:val="Obyajn"/>
        <w:numPr>
          <w:numId w:val="3"/>
        </w:numPr>
        <w:bidi w:val="0"/>
        <w:rPr>
          <w:rFonts w:ascii="Times New Roman" w:hAnsi="Times New Roman"/>
        </w:rPr>
      </w:pPr>
      <w:r w:rsidR="002F17AD">
        <w:rPr>
          <w:rFonts w:ascii="Times New Roman" w:hAnsi="Times New Roman"/>
        </w:rPr>
        <w:t xml:space="preserve">Umožnenie prístupu </w:t>
      </w:r>
      <w:r>
        <w:rPr>
          <w:rFonts w:ascii="Times New Roman" w:hAnsi="Times New Roman"/>
        </w:rPr>
        <w:t>k možnosti čerpania finančných zdrojov z integrovaného regionálnemu operačnému programu.</w:t>
      </w:r>
    </w:p>
    <w:p w:rsidR="00C65A9C" w:rsidP="00C65A9C">
      <w:pPr>
        <w:pStyle w:val="Obyajn"/>
        <w:bidi w:val="0"/>
        <w:ind w:firstLine="0"/>
        <w:rPr>
          <w:rFonts w:ascii="Times New Roman" w:hAnsi="Times New Roman"/>
        </w:rPr>
      </w:pPr>
    </w:p>
    <w:p w:rsidR="00C65A9C" w:rsidP="00C65A9C">
      <w:pPr>
        <w:pStyle w:val="Heading1"/>
        <w:bidi w:val="0"/>
      </w:pPr>
      <w:r w:rsidRPr="00774A6E">
        <w:rPr>
          <w:rFonts w:hint="default"/>
        </w:rPr>
        <w:t>Ná</w:t>
      </w:r>
      <w:r w:rsidRPr="00774A6E">
        <w:rPr>
          <w:rFonts w:hint="default"/>
        </w:rPr>
        <w:t>vrh rieš</w:t>
      </w:r>
      <w:r w:rsidRPr="00774A6E">
        <w:rPr>
          <w:rFonts w:hint="default"/>
        </w:rPr>
        <w:t>enia</w:t>
      </w:r>
    </w:p>
    <w:p w:rsidR="00837563" w:rsidP="00837563">
      <w:pPr>
        <w:bidi w:val="0"/>
        <w:rPr>
          <w:rFonts w:ascii="Times New Roman" w:hAnsi="Times New Roman"/>
        </w:rPr>
      </w:pPr>
    </w:p>
    <w:p w:rsidR="00837563" w:rsidP="00837563">
      <w:pPr>
        <w:bidi w:val="0"/>
        <w:rPr>
          <w:rFonts w:ascii="Times New Roman" w:hAnsi="Times New Roman"/>
        </w:rPr>
      </w:pPr>
      <w:r w:rsidRPr="00B41DF9">
        <w:rPr>
          <w:rFonts w:ascii="Times New Roman" w:hAnsi="Times New Roman"/>
          <w:b/>
        </w:rPr>
        <w:t>Oddlženie predstavuje mimoriadny nástroj štátu</w:t>
      </w:r>
      <w:r>
        <w:rPr>
          <w:rFonts w:ascii="Times New Roman" w:hAnsi="Times New Roman"/>
        </w:rPr>
        <w:t>, ktorý zabezpečuje stabilizáciu verejného záujmu v oblasti dostupnosti poskytovania zdravotnej starostlivosti svojim občanom. Oddlženie nemožno považovať za štandardný nástroj financovania systému verejného zdravotného poistenia, pričom akékoľvek takéto oddlženie predstavuje riziko stability a efektívnosti systému verejného zdravotného poistenia a poskytovania zdravotnej starostlivosti. Ide najmä o tieto riziká:</w:t>
      </w:r>
    </w:p>
    <w:p w:rsidR="00837563" w:rsidP="00837563">
      <w:pPr>
        <w:bidi w:val="0"/>
        <w:rPr>
          <w:rFonts w:ascii="Times New Roman" w:hAnsi="Times New Roman"/>
        </w:rPr>
      </w:pPr>
    </w:p>
    <w:p w:rsidR="00837563" w:rsidP="00CF2104">
      <w:pPr>
        <w:pStyle w:val="Obyajn"/>
        <w:numPr>
          <w:numId w:val="3"/>
        </w:numPr>
        <w:bidi w:val="0"/>
        <w:rPr>
          <w:rFonts w:ascii="Times New Roman" w:hAnsi="Times New Roman"/>
        </w:rPr>
      </w:pPr>
      <w:r w:rsidR="00B30034">
        <w:rPr>
          <w:rFonts w:ascii="Times New Roman" w:hAnsi="Times New Roman"/>
        </w:rPr>
        <w:t>Precedens</w:t>
      </w:r>
      <w:r>
        <w:rPr>
          <w:rFonts w:ascii="Times New Roman" w:hAnsi="Times New Roman"/>
        </w:rPr>
        <w:t xml:space="preserve"> oddlžovania spôsobuje nižšiu úroveň zodpovednosti v</w:t>
      </w:r>
      <w:r w:rsidR="00B30034">
        <w:rPr>
          <w:rFonts w:ascii="Times New Roman" w:hAnsi="Times New Roman"/>
        </w:rPr>
        <w:t> hospodárnom riadení nemocníc, pričom v histórii Slovenskej republiky boli realizované už 3 oddlženia</w:t>
      </w:r>
      <w:r w:rsidR="00727D4E">
        <w:rPr>
          <w:rFonts w:ascii="Times New Roman" w:hAnsi="Times New Roman"/>
        </w:rPr>
        <w:t>.</w:t>
      </w:r>
    </w:p>
    <w:p w:rsidR="00B30034" w:rsidP="00CF2104">
      <w:pPr>
        <w:pStyle w:val="Obyajn"/>
        <w:numPr>
          <w:numId w:val="3"/>
        </w:numPr>
        <w:bidi w:val="0"/>
        <w:rPr>
          <w:rFonts w:ascii="Times New Roman" w:hAnsi="Times New Roman"/>
        </w:rPr>
      </w:pPr>
      <w:r>
        <w:rPr>
          <w:rFonts w:ascii="Times New Roman" w:hAnsi="Times New Roman"/>
        </w:rPr>
        <w:t xml:space="preserve">Nerovnomerné podmienky </w:t>
      </w:r>
      <w:r w:rsidR="00727D4E">
        <w:rPr>
          <w:rFonts w:ascii="Times New Roman" w:hAnsi="Times New Roman"/>
        </w:rPr>
        <w:t xml:space="preserve">v </w:t>
      </w:r>
      <w:r>
        <w:rPr>
          <w:rFonts w:ascii="Times New Roman" w:hAnsi="Times New Roman"/>
        </w:rPr>
        <w:t>podnikaní rôznych subjektov s rôznou právnou formou</w:t>
      </w:r>
      <w:r w:rsidR="00727D4E">
        <w:rPr>
          <w:rFonts w:ascii="Times New Roman" w:hAnsi="Times New Roman"/>
        </w:rPr>
        <w:t>.</w:t>
      </w:r>
    </w:p>
    <w:p w:rsidR="00727D4E" w:rsidRPr="00837563" w:rsidP="00CF2104">
      <w:pPr>
        <w:pStyle w:val="Obyajn"/>
        <w:numPr>
          <w:numId w:val="3"/>
        </w:numPr>
        <w:bidi w:val="0"/>
        <w:rPr>
          <w:rFonts w:ascii="Times New Roman" w:hAnsi="Times New Roman"/>
        </w:rPr>
      </w:pPr>
      <w:r>
        <w:rPr>
          <w:rFonts w:ascii="Times New Roman" w:hAnsi="Times New Roman"/>
        </w:rPr>
        <w:t>Oddlžením nedochádza k zásadnej zmene podmienok hospodárenia</w:t>
      </w:r>
      <w:r w:rsidR="00627388">
        <w:rPr>
          <w:rFonts w:ascii="Times New Roman" w:hAnsi="Times New Roman"/>
        </w:rPr>
        <w:t xml:space="preserve"> nemocníc</w:t>
      </w:r>
      <w:r>
        <w:rPr>
          <w:rFonts w:ascii="Times New Roman" w:hAnsi="Times New Roman"/>
        </w:rPr>
        <w:t xml:space="preserve"> a je potrebné</w:t>
      </w:r>
      <w:r w:rsidR="00627388">
        <w:rPr>
          <w:rFonts w:ascii="Times New Roman" w:hAnsi="Times New Roman"/>
        </w:rPr>
        <w:t xml:space="preserve"> vytvoriť významnejší princíp zásluhovosti.</w:t>
      </w:r>
    </w:p>
    <w:p w:rsidR="00C65A9C" w:rsidRPr="00774A6E" w:rsidP="00627388">
      <w:pPr>
        <w:pStyle w:val="Obyajn"/>
        <w:bidi w:val="0"/>
        <w:ind w:left="1429" w:firstLine="0"/>
        <w:rPr>
          <w:rFonts w:ascii="Times New Roman" w:hAnsi="Times New Roman"/>
        </w:rPr>
      </w:pPr>
    </w:p>
    <w:p w:rsidR="00013319" w:rsidRPr="00774A6E" w:rsidP="00C65A9C">
      <w:pPr>
        <w:pStyle w:val="Heading2"/>
        <w:bidi w:val="0"/>
        <w:rPr>
          <w:rFonts w:hint="default"/>
        </w:rPr>
      </w:pPr>
      <w:r w:rsidRPr="00774A6E">
        <w:rPr>
          <w:rFonts w:hint="default"/>
        </w:rPr>
        <w:t>Predpoklady vyrovnané</w:t>
      </w:r>
      <w:r w:rsidRPr="00774A6E">
        <w:rPr>
          <w:rFonts w:hint="default"/>
        </w:rPr>
        <w:t>ho hospodá</w:t>
      </w:r>
      <w:r w:rsidRPr="00774A6E">
        <w:rPr>
          <w:rFonts w:hint="default"/>
        </w:rPr>
        <w:t>renia</w:t>
      </w:r>
    </w:p>
    <w:p w:rsidR="00C65A9C" w:rsidRPr="00774A6E" w:rsidP="00EF537B">
      <w:pPr>
        <w:pStyle w:val="Obyajn"/>
        <w:bidi w:val="0"/>
        <w:rPr>
          <w:rFonts w:ascii="Times New Roman" w:hAnsi="Times New Roman"/>
        </w:rPr>
      </w:pPr>
    </w:p>
    <w:p w:rsidR="00013319" w:rsidRPr="00774A6E" w:rsidP="00EF537B">
      <w:pPr>
        <w:pStyle w:val="Obyajn"/>
        <w:bidi w:val="0"/>
        <w:rPr>
          <w:rFonts w:ascii="Times New Roman" w:hAnsi="Times New Roman"/>
        </w:rPr>
      </w:pPr>
      <w:r w:rsidR="00627388">
        <w:rPr>
          <w:rFonts w:ascii="Times New Roman" w:hAnsi="Times New Roman"/>
        </w:rPr>
        <w:t>Predpokladom oddlženia je zabezpečenie udržateľného hospodárenia nemocníc a postupná eliminácia ich zadlžovania.</w:t>
      </w:r>
      <w:r w:rsidR="002F17AD">
        <w:rPr>
          <w:rFonts w:ascii="Times New Roman" w:hAnsi="Times New Roman"/>
        </w:rPr>
        <w:t xml:space="preserve"> </w:t>
      </w:r>
      <w:r w:rsidRPr="00774A6E">
        <w:rPr>
          <w:rFonts w:ascii="Times New Roman" w:hAnsi="Times New Roman"/>
        </w:rPr>
        <w:t>Dosiahnutie vyrovnaného hospodárenia na úrovni EBITDA je možné za súčasného splnenia dvoch podmienok:</w:t>
      </w:r>
    </w:p>
    <w:p w:rsidR="00013319" w:rsidRPr="00774A6E" w:rsidP="00CF2104">
      <w:pPr>
        <w:pStyle w:val="Obyajn"/>
        <w:numPr>
          <w:numId w:val="4"/>
        </w:numPr>
        <w:bidi w:val="0"/>
        <w:rPr>
          <w:rFonts w:ascii="Times New Roman" w:hAnsi="Times New Roman"/>
        </w:rPr>
      </w:pPr>
      <w:r w:rsidRPr="00774A6E">
        <w:rPr>
          <w:rFonts w:ascii="Times New Roman" w:hAnsi="Times New Roman"/>
        </w:rPr>
        <w:t>Na nákladovej strane ide o racionalizáciu nákladov nemocní</w:t>
      </w:r>
      <w:r w:rsidR="00B63466">
        <w:rPr>
          <w:rFonts w:ascii="Times New Roman" w:hAnsi="Times New Roman"/>
        </w:rPr>
        <w:t>c</w:t>
      </w:r>
      <w:r w:rsidRPr="00774A6E">
        <w:rPr>
          <w:rFonts w:ascii="Times New Roman" w:hAnsi="Times New Roman"/>
        </w:rPr>
        <w:t xml:space="preserve"> (teda odstránenie nákladovej neefektivity, ktorá je u univerzitných a fakultných nemocníc prítomná) a znižovanie nákladov prostredníctvom rôznych nástrojov (viď nižšie)</w:t>
      </w:r>
    </w:p>
    <w:p w:rsidR="00013319" w:rsidP="00CF2104">
      <w:pPr>
        <w:pStyle w:val="Obyajn"/>
        <w:numPr>
          <w:numId w:val="4"/>
        </w:numPr>
        <w:bidi w:val="0"/>
        <w:rPr>
          <w:rFonts w:ascii="Times New Roman" w:hAnsi="Times New Roman"/>
        </w:rPr>
      </w:pPr>
      <w:r w:rsidRPr="00774A6E">
        <w:rPr>
          <w:rFonts w:ascii="Times New Roman" w:hAnsi="Times New Roman"/>
        </w:rPr>
        <w:t>Na výnosovej strane je nevyhnutné navýšenie výnosov zo zdravotných poisťovní (ďalej aj „ZP“) u univerzitných a fakultných nemocníc na takú úroveň, ktorá pokryje reálne náklady (po odstránení nákladovej neefektivity) na poskytovanie zdravotnej starostlivosti</w:t>
      </w:r>
    </w:p>
    <w:p w:rsidR="00C65A9C" w:rsidRPr="00774A6E" w:rsidP="00EF537B">
      <w:pPr>
        <w:pStyle w:val="Obyajn"/>
        <w:bidi w:val="0"/>
        <w:rPr>
          <w:rFonts w:ascii="Times New Roman" w:hAnsi="Times New Roman"/>
        </w:rPr>
      </w:pPr>
    </w:p>
    <w:p w:rsidR="00013319" w:rsidRPr="00774A6E" w:rsidP="00C65A9C">
      <w:pPr>
        <w:pStyle w:val="Heading2"/>
        <w:bidi w:val="0"/>
        <w:rPr>
          <w:rFonts w:hint="default"/>
        </w:rPr>
      </w:pPr>
      <w:r w:rsidRPr="00774A6E">
        <w:rPr>
          <w:rFonts w:hint="default"/>
        </w:rPr>
        <w:t>Opatrenia na odstraň</w:t>
      </w:r>
      <w:r w:rsidRPr="00774A6E">
        <w:rPr>
          <w:rFonts w:hint="default"/>
        </w:rPr>
        <w:t>ovanie ná</w:t>
      </w:r>
      <w:r w:rsidRPr="00774A6E">
        <w:rPr>
          <w:rFonts w:hint="default"/>
        </w:rPr>
        <w:t>kladovej neefektivity a </w:t>
      </w:r>
      <w:r w:rsidRPr="00774A6E">
        <w:rPr>
          <w:rFonts w:hint="default"/>
        </w:rPr>
        <w:t>zniž</w:t>
      </w:r>
      <w:r w:rsidRPr="00774A6E">
        <w:rPr>
          <w:rFonts w:hint="default"/>
        </w:rPr>
        <w:t>ovanie ná</w:t>
      </w:r>
      <w:r w:rsidRPr="00774A6E">
        <w:rPr>
          <w:rFonts w:hint="default"/>
        </w:rPr>
        <w:t>kladov uskutoč</w:t>
      </w:r>
      <w:r w:rsidRPr="00774A6E">
        <w:rPr>
          <w:rFonts w:hint="default"/>
        </w:rPr>
        <w:t>nené</w:t>
      </w:r>
      <w:r w:rsidRPr="00774A6E">
        <w:rPr>
          <w:rFonts w:hint="default"/>
        </w:rPr>
        <w:t xml:space="preserve"> zo strany MZ SR od roku 2016</w:t>
      </w:r>
    </w:p>
    <w:p w:rsidR="00C65A9C" w:rsidRPr="00774A6E" w:rsidP="00EF537B">
      <w:pPr>
        <w:pStyle w:val="Obyajn"/>
        <w:bidi w:val="0"/>
        <w:rPr>
          <w:rFonts w:ascii="Times New Roman" w:hAnsi="Times New Roman"/>
        </w:rPr>
      </w:pPr>
    </w:p>
    <w:p w:rsidR="00013319" w:rsidP="00EF537B">
      <w:pPr>
        <w:pStyle w:val="Obyajn"/>
        <w:bidi w:val="0"/>
        <w:rPr>
          <w:rFonts w:ascii="Times New Roman" w:hAnsi="Times New Roman"/>
        </w:rPr>
      </w:pPr>
      <w:r w:rsidRPr="00774A6E">
        <w:rPr>
          <w:rFonts w:ascii="Times New Roman" w:hAnsi="Times New Roman"/>
        </w:rPr>
        <w:t>Ministerstvo zdravotníctva vychádzajúc z programového vyhlásenia vlády Slovenskej republiky zo dňa 13. apríla 2016 realizuje systémové opatrenia na zefektívnenie vynakladania verejných zdrojov</w:t>
      </w:r>
      <w:r w:rsidRPr="00774A6E" w:rsidR="008C6DBB">
        <w:rPr>
          <w:rFonts w:ascii="Times New Roman" w:hAnsi="Times New Roman"/>
        </w:rPr>
        <w:t>. K optimalizácii nákladovej štruktúry</w:t>
      </w:r>
      <w:r w:rsidR="00804DAF">
        <w:rPr>
          <w:rFonts w:ascii="Times New Roman" w:hAnsi="Times New Roman"/>
        </w:rPr>
        <w:t xml:space="preserve"> poskytovateľov zdravotnej starostlivosti</w:t>
      </w:r>
      <w:r w:rsidRPr="00774A6E" w:rsidR="008C6DBB">
        <w:rPr>
          <w:rFonts w:ascii="Times New Roman" w:hAnsi="Times New Roman"/>
        </w:rPr>
        <w:t xml:space="preserve"> prispievajú opatrenia v oblasti  centrálneho obstarávania liekov, zdravotníckeho materiálu a ostatných tovarov a služieb, ako aj posudzovanie zmlúv nemocníc</w:t>
      </w:r>
      <w:r w:rsidR="00774A6E">
        <w:rPr>
          <w:rFonts w:ascii="Times New Roman" w:hAnsi="Times New Roman"/>
        </w:rPr>
        <w:t xml:space="preserve"> (v pôsobnosti MZ SR)</w:t>
      </w:r>
      <w:r w:rsidRPr="00774A6E" w:rsidR="008C6DBB">
        <w:rPr>
          <w:rFonts w:ascii="Times New Roman" w:hAnsi="Times New Roman"/>
        </w:rPr>
        <w:t xml:space="preserve"> z hľadiska ich opodstatnenia a cien, dôsledné dodržiavanie systému sledovania spotreby liekov s prihliadnutím na efektivitu liečby a zefektívnenie vnútorných procesov v nemocniciach.</w:t>
      </w:r>
      <w:r w:rsidRPr="00774A6E">
        <w:rPr>
          <w:rFonts w:ascii="Times New Roman" w:hAnsi="Times New Roman"/>
        </w:rPr>
        <w:t xml:space="preserve"> V nadväznosti na zlepšovanie hospodárenia stratových univerzitných a fakultných nemocníc možno </w:t>
      </w:r>
      <w:r w:rsidR="00F768DC">
        <w:rPr>
          <w:rFonts w:ascii="Times New Roman" w:hAnsi="Times New Roman"/>
        </w:rPr>
        <w:t>o</w:t>
      </w:r>
      <w:r w:rsidRPr="00774A6E">
        <w:rPr>
          <w:rFonts w:ascii="Times New Roman" w:hAnsi="Times New Roman"/>
        </w:rPr>
        <w:t>patrenia možno rozdeliť na všeobecné (znižujú náklady v celom sektore) a konkrétne (cielené na zlepšovanie hospodárenia stratových nemocníc).</w:t>
      </w:r>
    </w:p>
    <w:p w:rsidR="00B41DF9" w:rsidRPr="00774A6E" w:rsidP="00EF537B">
      <w:pPr>
        <w:pStyle w:val="Obyajn"/>
        <w:bidi w:val="0"/>
        <w:rPr>
          <w:rFonts w:ascii="Times New Roman" w:hAnsi="Times New Roman"/>
        </w:rPr>
      </w:pPr>
    </w:p>
    <w:p w:rsidR="00013319" w:rsidRPr="00C44F2B" w:rsidP="00EF537B">
      <w:pPr>
        <w:pStyle w:val="Obyajn"/>
        <w:bidi w:val="0"/>
        <w:rPr>
          <w:rFonts w:ascii="Times New Roman" w:hAnsi="Times New Roman"/>
          <w:u w:val="single"/>
        </w:rPr>
      </w:pPr>
      <w:r w:rsidRPr="00C44F2B">
        <w:rPr>
          <w:rFonts w:ascii="Times New Roman" w:hAnsi="Times New Roman"/>
          <w:u w:val="single"/>
        </w:rPr>
        <w:t>Všeobecné opatrenia:</w:t>
      </w:r>
    </w:p>
    <w:p w:rsidR="00013319" w:rsidRPr="00774A6E" w:rsidP="00CF2104">
      <w:pPr>
        <w:pStyle w:val="Obyajn"/>
        <w:numPr>
          <w:numId w:val="6"/>
        </w:numPr>
        <w:bidi w:val="0"/>
        <w:rPr>
          <w:rFonts w:ascii="Times New Roman" w:hAnsi="Times New Roman"/>
        </w:rPr>
      </w:pPr>
      <w:r w:rsidRPr="00774A6E">
        <w:rPr>
          <w:rFonts w:ascii="Times New Roman" w:hAnsi="Times New Roman"/>
        </w:rPr>
        <w:t>centrálne obstarávanie prístrojovej techniky (CT, MR, lineárne urýchľovače, röntgeny) prinesie ročnú úsporu v odpisoch na úrovni 300-400 tis. EUR ročne</w:t>
      </w:r>
    </w:p>
    <w:p w:rsidR="00013319" w:rsidRPr="00774A6E" w:rsidP="00CF2104">
      <w:pPr>
        <w:pStyle w:val="Obyajn"/>
        <w:numPr>
          <w:numId w:val="6"/>
        </w:numPr>
        <w:bidi w:val="0"/>
        <w:rPr>
          <w:rFonts w:ascii="Times New Roman" w:hAnsi="Times New Roman"/>
        </w:rPr>
      </w:pPr>
      <w:r w:rsidRPr="00774A6E">
        <w:rPr>
          <w:rFonts w:ascii="Times New Roman" w:hAnsi="Times New Roman"/>
        </w:rPr>
        <w:t>centrálne obstarávanie ostatných tovarov a služieb (postele, PHM, telekomunikačné služby, elektrická energia, zemný plyn, dochádzkový systém, počítače)</w:t>
      </w:r>
    </w:p>
    <w:p w:rsidR="00013319" w:rsidRPr="00774A6E" w:rsidP="00CF2104">
      <w:pPr>
        <w:pStyle w:val="Obyajn"/>
        <w:numPr>
          <w:numId w:val="6"/>
        </w:numPr>
        <w:bidi w:val="0"/>
        <w:rPr>
          <w:rFonts w:ascii="Times New Roman" w:hAnsi="Times New Roman"/>
        </w:rPr>
      </w:pPr>
      <w:r w:rsidRPr="00774A6E">
        <w:rPr>
          <w:rFonts w:ascii="Times New Roman" w:hAnsi="Times New Roman"/>
        </w:rPr>
        <w:t>rozšírenie centrálneho obstarávania liekov Všeobecnou zdravotnou poisťovňou</w:t>
      </w:r>
    </w:p>
    <w:p w:rsidR="00013319" w:rsidRPr="00774A6E" w:rsidP="00CF2104">
      <w:pPr>
        <w:pStyle w:val="Obyajn"/>
        <w:numPr>
          <w:numId w:val="6"/>
        </w:numPr>
        <w:bidi w:val="0"/>
        <w:rPr>
          <w:rFonts w:ascii="Times New Roman" w:hAnsi="Times New Roman"/>
        </w:rPr>
      </w:pPr>
      <w:r w:rsidRPr="00774A6E">
        <w:rPr>
          <w:rFonts w:ascii="Times New Roman" w:hAnsi="Times New Roman"/>
        </w:rPr>
        <w:t>benchmarking nákupných cien liekov</w:t>
      </w:r>
      <w:r w:rsidR="00E10C15">
        <w:rPr>
          <w:rFonts w:ascii="Times New Roman" w:hAnsi="Times New Roman"/>
        </w:rPr>
        <w:t>, ŠZM, techniky a pomôcok</w:t>
      </w:r>
    </w:p>
    <w:p w:rsidR="00013319" w:rsidRPr="00774A6E" w:rsidP="00CF2104">
      <w:pPr>
        <w:pStyle w:val="Obyajn"/>
        <w:numPr>
          <w:numId w:val="6"/>
        </w:numPr>
        <w:bidi w:val="0"/>
        <w:rPr>
          <w:rFonts w:ascii="Times New Roman" w:hAnsi="Times New Roman"/>
        </w:rPr>
      </w:pPr>
      <w:r w:rsidRPr="00774A6E">
        <w:rPr>
          <w:rFonts w:ascii="Times New Roman" w:hAnsi="Times New Roman"/>
        </w:rPr>
        <w:t xml:space="preserve">analýza spotreby a nákladovosti liekov, analýza nákladovo neefektívnych liekov a referencovanie cien ŠZM prinesú úsporu </w:t>
      </w:r>
      <w:r w:rsidR="00804DAF">
        <w:rPr>
          <w:rFonts w:ascii="Times New Roman" w:hAnsi="Times New Roman"/>
        </w:rPr>
        <w:t xml:space="preserve"> do výšky </w:t>
      </w:r>
      <w:r w:rsidRPr="00774A6E">
        <w:rPr>
          <w:rFonts w:ascii="Times New Roman" w:hAnsi="Times New Roman"/>
        </w:rPr>
        <w:t>105 mil. EUR pričom maximálny potenciál týchto opatrení sa pohybuje na úrovni 389 mil. EUR</w:t>
      </w:r>
    </w:p>
    <w:p w:rsidR="00013319" w:rsidP="00CF2104">
      <w:pPr>
        <w:pStyle w:val="Obyajn"/>
        <w:numPr>
          <w:numId w:val="6"/>
        </w:numPr>
        <w:bidi w:val="0"/>
        <w:rPr>
          <w:rFonts w:ascii="Times New Roman" w:hAnsi="Times New Roman"/>
        </w:rPr>
      </w:pPr>
      <w:r w:rsidRPr="00774A6E">
        <w:rPr>
          <w:rFonts w:ascii="Times New Roman" w:hAnsi="Times New Roman"/>
        </w:rPr>
        <w:t>rozšírenie zoznamu kategorizovaného ŠZM</w:t>
      </w:r>
    </w:p>
    <w:p w:rsidR="00B41DF9" w:rsidRPr="00774A6E" w:rsidP="00B41DF9">
      <w:pPr>
        <w:pStyle w:val="Obyajn"/>
        <w:bidi w:val="0"/>
        <w:ind w:left="1429" w:firstLine="0"/>
        <w:rPr>
          <w:rFonts w:ascii="Times New Roman" w:hAnsi="Times New Roman"/>
        </w:rPr>
      </w:pPr>
    </w:p>
    <w:p w:rsidR="00013319" w:rsidRPr="00C44F2B" w:rsidP="00EF537B">
      <w:pPr>
        <w:pStyle w:val="Obyajn"/>
        <w:bidi w:val="0"/>
        <w:rPr>
          <w:rFonts w:ascii="Times New Roman" w:hAnsi="Times New Roman"/>
          <w:u w:val="single"/>
        </w:rPr>
      </w:pPr>
      <w:r w:rsidRPr="00C44F2B">
        <w:rPr>
          <w:rFonts w:ascii="Times New Roman" w:hAnsi="Times New Roman"/>
          <w:u w:val="single"/>
        </w:rPr>
        <w:t>Konkrétne opatrenia</w:t>
      </w:r>
      <w:r w:rsidRPr="00C44F2B" w:rsidR="005C1636">
        <w:rPr>
          <w:rFonts w:ascii="Times New Roman" w:hAnsi="Times New Roman"/>
          <w:u w:val="single"/>
        </w:rPr>
        <w:t xml:space="preserve"> realizované</w:t>
      </w:r>
      <w:r w:rsidRPr="00C44F2B" w:rsidR="00B41DF9">
        <w:rPr>
          <w:rFonts w:ascii="Times New Roman" w:hAnsi="Times New Roman"/>
          <w:u w:val="single"/>
        </w:rPr>
        <w:t xml:space="preserve"> alebo spustené</w:t>
      </w:r>
      <w:r w:rsidRPr="00C44F2B" w:rsidR="005C1636">
        <w:rPr>
          <w:rFonts w:ascii="Times New Roman" w:hAnsi="Times New Roman"/>
          <w:u w:val="single"/>
        </w:rPr>
        <w:t xml:space="preserve"> od 1.6.2016</w:t>
      </w:r>
      <w:r w:rsidRPr="00C44F2B">
        <w:rPr>
          <w:rFonts w:ascii="Times New Roman" w:hAnsi="Times New Roman"/>
          <w:u w:val="single"/>
        </w:rPr>
        <w:t>:</w:t>
      </w:r>
    </w:p>
    <w:p w:rsidR="00013319">
      <w:pPr>
        <w:pStyle w:val="Obyajn"/>
        <w:numPr>
          <w:numId w:val="7"/>
        </w:numPr>
        <w:bidi w:val="0"/>
        <w:rPr>
          <w:rFonts w:ascii="Times New Roman" w:hAnsi="Times New Roman"/>
        </w:rPr>
      </w:pPr>
      <w:r w:rsidRPr="00774A6E">
        <w:rPr>
          <w:rFonts w:ascii="Times New Roman" w:hAnsi="Times New Roman"/>
        </w:rPr>
        <w:t>zriadenie Úradu pre riadenie podriadených organizácií</w:t>
      </w:r>
      <w:r w:rsidR="00E10C15">
        <w:rPr>
          <w:rFonts w:ascii="Times New Roman" w:hAnsi="Times New Roman"/>
        </w:rPr>
        <w:t xml:space="preserve"> a nadviazaných organizačných zmien (Rada riaditeľov a </w:t>
      </w:r>
      <w:r w:rsidRPr="00774A6E" w:rsidR="00804DAF">
        <w:rPr>
          <w:rFonts w:ascii="Times New Roman" w:hAnsi="Times New Roman"/>
        </w:rPr>
        <w:t>zavedenie dozorných orgánov nemocniciach, ktoré majú právnu formu štátnej príspevkovej organizácie</w:t>
      </w:r>
      <w:r w:rsidR="00804DAF">
        <w:rPr>
          <w:rFonts w:ascii="Times New Roman" w:hAnsi="Times New Roman"/>
        </w:rPr>
        <w:t xml:space="preserve">; </w:t>
      </w:r>
      <w:r w:rsidR="00E10C15">
        <w:rPr>
          <w:rFonts w:ascii="Times New Roman" w:hAnsi="Times New Roman"/>
        </w:rPr>
        <w:t>viď kapitolu 2</w:t>
      </w:r>
      <w:r w:rsidR="00804DAF">
        <w:rPr>
          <w:rFonts w:ascii="Times New Roman" w:hAnsi="Times New Roman"/>
        </w:rPr>
        <w:t>.</w:t>
      </w:r>
      <w:r w:rsidR="00E10C15">
        <w:rPr>
          <w:rFonts w:ascii="Times New Roman" w:hAnsi="Times New Roman"/>
        </w:rPr>
        <w:t>3)</w:t>
      </w:r>
    </w:p>
    <w:p w:rsidR="00804DAF" w:rsidRPr="00774A6E" w:rsidP="00804DAF">
      <w:pPr>
        <w:pStyle w:val="Obyajn"/>
        <w:numPr>
          <w:numId w:val="7"/>
        </w:numPr>
        <w:bidi w:val="0"/>
        <w:rPr>
          <w:rFonts w:ascii="Times New Roman" w:hAnsi="Times New Roman"/>
        </w:rPr>
      </w:pPr>
      <w:r w:rsidRPr="00774A6E">
        <w:rPr>
          <w:rFonts w:ascii="Times New Roman" w:hAnsi="Times New Roman"/>
        </w:rPr>
        <w:t>benchmarking hospodárenia primariátov, kedy v rámci porovnateľných nemocníc (napr. fakultné, univerzitné, detské) sa na úrovni primariátov porovnávajú medicínske a ekonomické ukazovatele, čím sa identifikujú rezervy v hospodárení a možnosti optimalizácie</w:t>
      </w:r>
    </w:p>
    <w:p w:rsidR="00013319" w:rsidRPr="00774A6E" w:rsidP="00CF2104">
      <w:pPr>
        <w:pStyle w:val="Obyajn"/>
        <w:numPr>
          <w:numId w:val="7"/>
        </w:numPr>
        <w:bidi w:val="0"/>
        <w:rPr>
          <w:rFonts w:ascii="Times New Roman" w:hAnsi="Times New Roman"/>
        </w:rPr>
      </w:pPr>
      <w:r w:rsidRPr="00774A6E">
        <w:rPr>
          <w:rFonts w:ascii="Times New Roman" w:hAnsi="Times New Roman"/>
        </w:rPr>
        <w:t>benchmarking nákladových zmlúv s cieľom zamedziť uzatváraniu nevýhodných zmlúv a stanov</w:t>
      </w:r>
      <w:r w:rsidR="00804DAF">
        <w:rPr>
          <w:rFonts w:ascii="Times New Roman" w:hAnsi="Times New Roman"/>
        </w:rPr>
        <w:t>enie</w:t>
      </w:r>
      <w:r w:rsidRPr="00774A6E">
        <w:rPr>
          <w:rFonts w:ascii="Times New Roman" w:hAnsi="Times New Roman"/>
        </w:rPr>
        <w:t xml:space="preserve"> maximálne prípustn</w:t>
      </w:r>
      <w:r w:rsidR="00804DAF">
        <w:rPr>
          <w:rFonts w:ascii="Times New Roman" w:hAnsi="Times New Roman"/>
        </w:rPr>
        <w:t xml:space="preserve">ých </w:t>
      </w:r>
      <w:r w:rsidRPr="00774A6E">
        <w:rPr>
          <w:rFonts w:ascii="Times New Roman" w:hAnsi="Times New Roman"/>
        </w:rPr>
        <w:t>ho</w:t>
      </w:r>
      <w:r w:rsidR="00804DAF">
        <w:rPr>
          <w:rFonts w:ascii="Times New Roman" w:hAnsi="Times New Roman"/>
        </w:rPr>
        <w:t>dnôt</w:t>
      </w:r>
      <w:r w:rsidRPr="00774A6E">
        <w:rPr>
          <w:rFonts w:ascii="Times New Roman" w:hAnsi="Times New Roman"/>
        </w:rPr>
        <w:t xml:space="preserve"> parametrov týchto zmlúv (upratovanie, SBS, pranie, stravovanie, právne služby, plyn, elektrina, informačné systémy, servis výťahov, likvidácia nebezpečného odpadu, telekomunikačné služby)</w:t>
      </w:r>
      <w:r w:rsidR="00804DAF">
        <w:rPr>
          <w:rFonts w:ascii="Times New Roman" w:hAnsi="Times New Roman"/>
        </w:rPr>
        <w:t>, čo</w:t>
      </w:r>
      <w:r w:rsidRPr="00774A6E">
        <w:rPr>
          <w:rFonts w:ascii="Times New Roman" w:hAnsi="Times New Roman"/>
        </w:rPr>
        <w:t xml:space="preserve"> prinesie úsporu v prevádzkových nákladoch na úrovni 5 mil. EUR ročne</w:t>
      </w:r>
    </w:p>
    <w:p w:rsidR="00013319" w:rsidRPr="00774A6E" w:rsidP="00CF2104">
      <w:pPr>
        <w:pStyle w:val="Obyajn"/>
        <w:numPr>
          <w:numId w:val="7"/>
        </w:numPr>
        <w:bidi w:val="0"/>
        <w:rPr>
          <w:rFonts w:ascii="Times New Roman" w:hAnsi="Times New Roman"/>
        </w:rPr>
      </w:pPr>
      <w:r w:rsidRPr="00774A6E">
        <w:rPr>
          <w:rFonts w:ascii="Times New Roman" w:hAnsi="Times New Roman"/>
        </w:rPr>
        <w:t>benchmarking výnosových zmlúv (parkovanie, prenájom priestorov, prenájom reklamných plôch)</w:t>
      </w:r>
    </w:p>
    <w:p w:rsidR="00013319" w:rsidRPr="00774A6E" w:rsidP="00CF2104">
      <w:pPr>
        <w:pStyle w:val="Obyajn"/>
        <w:numPr>
          <w:numId w:val="7"/>
        </w:numPr>
        <w:bidi w:val="0"/>
        <w:rPr>
          <w:rFonts w:ascii="Times New Roman" w:hAnsi="Times New Roman"/>
        </w:rPr>
      </w:pPr>
      <w:r w:rsidRPr="00774A6E">
        <w:rPr>
          <w:rFonts w:ascii="Times New Roman" w:hAnsi="Times New Roman"/>
        </w:rPr>
        <w:t>implementácia Expertného informačného systému (IT nástroj, ktorý pristupuje k účtovníctvu univerzitných a fakultných nemocníc a umožňuje vykonávať kontroling a benchmarking týchto nemocníc resp. ich kliník/oddelení/primariátov v reálnom čase)</w:t>
      </w:r>
    </w:p>
    <w:p w:rsidR="00013319" w:rsidRPr="00774A6E" w:rsidP="00CF2104">
      <w:pPr>
        <w:pStyle w:val="Obyajn"/>
        <w:numPr>
          <w:numId w:val="7"/>
        </w:numPr>
        <w:bidi w:val="0"/>
        <w:rPr>
          <w:rFonts w:ascii="Times New Roman" w:hAnsi="Times New Roman"/>
        </w:rPr>
      </w:pPr>
      <w:r w:rsidRPr="00774A6E">
        <w:rPr>
          <w:rFonts w:ascii="Times New Roman" w:hAnsi="Times New Roman"/>
        </w:rPr>
        <w:t xml:space="preserve">zriadenie verejných lekární </w:t>
      </w:r>
    </w:p>
    <w:p w:rsidR="00013319" w:rsidRPr="00774A6E" w:rsidP="00CF2104">
      <w:pPr>
        <w:pStyle w:val="Obyajn"/>
        <w:numPr>
          <w:numId w:val="7"/>
        </w:numPr>
        <w:bidi w:val="0"/>
        <w:rPr>
          <w:rFonts w:ascii="Times New Roman" w:hAnsi="Times New Roman"/>
        </w:rPr>
      </w:pPr>
      <w:r w:rsidRPr="00774A6E">
        <w:rPr>
          <w:rFonts w:ascii="Times New Roman" w:hAnsi="Times New Roman"/>
        </w:rPr>
        <w:t>analýza ekonomicko-prevádzkových výsledkov nemocníc na mesačnej báze</w:t>
      </w:r>
    </w:p>
    <w:p w:rsidR="00013319" w:rsidRPr="00774A6E" w:rsidP="00CF2104">
      <w:pPr>
        <w:pStyle w:val="Obyajn"/>
        <w:numPr>
          <w:numId w:val="7"/>
        </w:numPr>
        <w:bidi w:val="0"/>
        <w:rPr>
          <w:rFonts w:ascii="Times New Roman" w:hAnsi="Times New Roman"/>
        </w:rPr>
      </w:pPr>
      <w:r w:rsidRPr="00774A6E">
        <w:rPr>
          <w:rFonts w:ascii="Times New Roman" w:hAnsi="Times New Roman"/>
        </w:rPr>
        <w:t xml:space="preserve">dôsledné dodržiavanie systému sledovania spotreby liekov s prihliadnutím na efektivitu liečby </w:t>
      </w:r>
    </w:p>
    <w:p w:rsidR="00013319" w:rsidRPr="00774A6E" w:rsidP="00CF2104">
      <w:pPr>
        <w:pStyle w:val="Obyajn"/>
        <w:numPr>
          <w:numId w:val="7"/>
        </w:numPr>
        <w:bidi w:val="0"/>
        <w:rPr>
          <w:rFonts w:ascii="Times New Roman" w:hAnsi="Times New Roman"/>
        </w:rPr>
      </w:pPr>
      <w:r w:rsidRPr="00774A6E">
        <w:rPr>
          <w:rFonts w:ascii="Times New Roman" w:hAnsi="Times New Roman"/>
        </w:rPr>
        <w:t>zavedenie systému kolektívneho riadenia prostredníctvom kolektívneho štatutárneho orgánu</w:t>
      </w:r>
    </w:p>
    <w:p w:rsidR="00013319" w:rsidRPr="00774A6E" w:rsidP="00CF2104">
      <w:pPr>
        <w:pStyle w:val="Obyajn"/>
        <w:numPr>
          <w:numId w:val="7"/>
        </w:numPr>
        <w:bidi w:val="0"/>
        <w:rPr>
          <w:rFonts w:ascii="Times New Roman" w:hAnsi="Times New Roman"/>
        </w:rPr>
      </w:pPr>
      <w:r w:rsidRPr="00774A6E">
        <w:rPr>
          <w:rFonts w:ascii="Times New Roman" w:hAnsi="Times New Roman"/>
        </w:rPr>
        <w:t>nastavenie systému odmeňovania riadiacich pracovníkov v nadväznosti na dosahovanie ekonomických výsledkov</w:t>
      </w:r>
    </w:p>
    <w:p w:rsidR="00013319" w:rsidRPr="00774A6E" w:rsidP="00EF537B">
      <w:pPr>
        <w:pStyle w:val="Obyajn"/>
        <w:bidi w:val="0"/>
        <w:rPr>
          <w:rFonts w:ascii="Times New Roman" w:hAnsi="Times New Roman"/>
        </w:rPr>
      </w:pPr>
    </w:p>
    <w:p w:rsidR="00013319" w:rsidRPr="00774A6E" w:rsidP="00EF537B">
      <w:pPr>
        <w:bidi w:val="0"/>
        <w:rPr>
          <w:rFonts w:ascii="Times New Roman" w:hAnsi="Times New Roman"/>
          <w:lang w:eastAsia="en-GB"/>
        </w:rPr>
      </w:pPr>
    </w:p>
    <w:p w:rsidR="00013319" w:rsidRPr="00774A6E" w:rsidP="00C65A9C">
      <w:pPr>
        <w:pStyle w:val="Heading2"/>
        <w:bidi w:val="0"/>
        <w:rPr>
          <w:rFonts w:hint="default"/>
        </w:rPr>
      </w:pPr>
      <w:r w:rsidRPr="00774A6E">
        <w:rPr>
          <w:rFonts w:hint="default"/>
        </w:rPr>
        <w:t>Vý</w:t>
      </w:r>
      <w:r w:rsidRPr="00774A6E">
        <w:rPr>
          <w:rFonts w:hint="default"/>
        </w:rPr>
        <w:t>sledky hospodá</w:t>
      </w:r>
      <w:r w:rsidRPr="00774A6E">
        <w:rPr>
          <w:rFonts w:hint="default"/>
        </w:rPr>
        <w:t>renia univerzitný</w:t>
      </w:r>
      <w:r w:rsidRPr="00774A6E">
        <w:rPr>
          <w:rFonts w:hint="default"/>
        </w:rPr>
        <w:t>ch a fakultný</w:t>
      </w:r>
      <w:r w:rsidRPr="00774A6E">
        <w:rPr>
          <w:rFonts w:hint="default"/>
        </w:rPr>
        <w:t>ch nemocní</w:t>
      </w:r>
      <w:r w:rsidRPr="00774A6E">
        <w:rPr>
          <w:rFonts w:hint="default"/>
        </w:rPr>
        <w:t>c za rok 2016 a plá</w:t>
      </w:r>
      <w:r w:rsidRPr="00774A6E">
        <w:rPr>
          <w:rFonts w:hint="default"/>
        </w:rPr>
        <w:t xml:space="preserve">ny </w:t>
      </w:r>
      <w:r w:rsidRPr="00774A6E">
        <w:rPr>
          <w:rFonts w:hint="default"/>
        </w:rPr>
        <w:t>zlepš</w:t>
      </w:r>
      <w:r w:rsidRPr="00774A6E">
        <w:rPr>
          <w:rFonts w:hint="default"/>
        </w:rPr>
        <w:t>enia hospodá</w:t>
      </w:r>
      <w:r w:rsidRPr="00774A6E">
        <w:rPr>
          <w:rFonts w:hint="default"/>
        </w:rPr>
        <w:t xml:space="preserve">renia na rok 2017 </w:t>
      </w:r>
    </w:p>
    <w:p w:rsidR="005C1636" w:rsidRPr="00774A6E" w:rsidP="00EF537B">
      <w:pPr>
        <w:pStyle w:val="Obyajn"/>
        <w:bidi w:val="0"/>
        <w:rPr>
          <w:rFonts w:ascii="Times New Roman" w:hAnsi="Times New Roman"/>
        </w:rPr>
      </w:pPr>
    </w:p>
    <w:p w:rsidR="00013319" w:rsidP="00EF537B">
      <w:pPr>
        <w:pStyle w:val="Obyajn"/>
        <w:bidi w:val="0"/>
        <w:rPr>
          <w:rFonts w:ascii="Times New Roman" w:hAnsi="Times New Roman"/>
        </w:rPr>
      </w:pPr>
      <w:r w:rsidRPr="00774A6E">
        <w:rPr>
          <w:rFonts w:ascii="Times New Roman" w:hAnsi="Times New Roman"/>
        </w:rPr>
        <w:t>V minulosti bola kumulovaná EBITDA</w:t>
      </w:r>
      <w:r>
        <w:rPr>
          <w:rStyle w:val="FootnoteReference"/>
          <w:rFonts w:ascii="Times New Roman" w:hAnsi="Times New Roman"/>
          <w:rtl w:val="0"/>
        </w:rPr>
        <w:footnoteReference w:id="6"/>
      </w:r>
      <w:r w:rsidRPr="00774A6E">
        <w:rPr>
          <w:rFonts w:ascii="Times New Roman" w:hAnsi="Times New Roman"/>
        </w:rPr>
        <w:t xml:space="preserve"> a záväzky po lehote splatnosti fakultných a univerzitných nemocníc v pôsobnosti MZ SR na nasledovnej úrovni:</w:t>
      </w:r>
    </w:p>
    <w:p w:rsidR="00A17CAA" w:rsidRPr="00774A6E" w:rsidP="00EF537B">
      <w:pPr>
        <w:pStyle w:val="Obyajn"/>
        <w:bidi w:val="0"/>
        <w:rPr>
          <w:rFonts w:ascii="Times New Roman" w:hAnsi="Times New Roman"/>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
        <w:gridCol w:w="1797"/>
        <w:gridCol w:w="2303"/>
        <w:gridCol w:w="2170"/>
        <w:gridCol w:w="2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8"/>
        </w:trPr>
        <w:tc>
          <w:tcPr>
            <w:tcW w:w="743"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5C1636">
            <w:pPr>
              <w:pStyle w:val="Obyajn"/>
              <w:bidi w:val="0"/>
              <w:ind w:left="-994"/>
              <w:jc w:val="center"/>
              <w:rPr>
                <w:rFonts w:ascii="Times New Roman" w:hAnsi="Times New Roman"/>
              </w:rPr>
            </w:pPr>
            <w:r w:rsidRPr="00774A6E">
              <w:rPr>
                <w:rFonts w:ascii="Times New Roman" w:hAnsi="Times New Roman"/>
              </w:rPr>
              <w:t>Rok</w:t>
            </w:r>
          </w:p>
        </w:tc>
        <w:tc>
          <w:tcPr>
            <w:tcW w:w="1797"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060DE2">
            <w:pPr>
              <w:pStyle w:val="Obyajn"/>
              <w:bidi w:val="0"/>
              <w:ind w:firstLine="99"/>
              <w:jc w:val="center"/>
              <w:rPr>
                <w:rFonts w:ascii="Times New Roman" w:hAnsi="Times New Roman"/>
              </w:rPr>
            </w:pPr>
            <w:r w:rsidRPr="00774A6E">
              <w:rPr>
                <w:rFonts w:ascii="Times New Roman" w:hAnsi="Times New Roman"/>
              </w:rPr>
              <w:t>EBITDA (mil. EUR)</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060DE2">
            <w:pPr>
              <w:pStyle w:val="Obyajn"/>
              <w:bidi w:val="0"/>
              <w:ind w:firstLine="0"/>
              <w:jc w:val="center"/>
              <w:rPr>
                <w:rFonts w:ascii="Times New Roman" w:hAnsi="Times New Roman"/>
              </w:rPr>
            </w:pPr>
            <w:r w:rsidRPr="00774A6E">
              <w:rPr>
                <w:rFonts w:ascii="Times New Roman" w:hAnsi="Times New Roman"/>
              </w:rPr>
              <w:t>Medziročná zmena EBITDA (mil. EUR)</w:t>
            </w:r>
          </w:p>
        </w:tc>
        <w:tc>
          <w:tcPr>
            <w:tcW w:w="2170"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060DE2">
            <w:pPr>
              <w:pStyle w:val="Obyajn"/>
              <w:bidi w:val="0"/>
              <w:ind w:firstLine="0"/>
              <w:jc w:val="center"/>
              <w:rPr>
                <w:rFonts w:ascii="Times New Roman" w:hAnsi="Times New Roman"/>
              </w:rPr>
            </w:pPr>
            <w:r w:rsidRPr="00774A6E">
              <w:rPr>
                <w:rFonts w:ascii="Times New Roman" w:hAnsi="Times New Roman"/>
              </w:rPr>
              <w:t>Záväzky po lehote splatnosti (mil. EUR)</w:t>
            </w:r>
          </w:p>
        </w:tc>
        <w:tc>
          <w:tcPr>
            <w:tcW w:w="2212" w:type="dxa"/>
            <w:tcBorders>
              <w:top w:val="single" w:sz="4" w:space="0" w:color="auto"/>
              <w:left w:val="single" w:sz="4" w:space="0" w:color="auto"/>
              <w:bottom w:val="single" w:sz="4" w:space="0" w:color="auto"/>
              <w:right w:val="single" w:sz="4" w:space="0" w:color="auto"/>
            </w:tcBorders>
            <w:textDirection w:val="lrTb"/>
            <w:vAlign w:val="center"/>
          </w:tcPr>
          <w:p w:rsidR="005C1636" w:rsidRPr="00774A6E" w:rsidP="00060DE2">
            <w:pPr>
              <w:pStyle w:val="Obyajn"/>
              <w:bidi w:val="0"/>
              <w:ind w:firstLine="2"/>
              <w:jc w:val="center"/>
              <w:rPr>
                <w:rFonts w:ascii="Times New Roman" w:hAnsi="Times New Roman"/>
              </w:rPr>
            </w:pPr>
            <w:r w:rsidRPr="00774A6E" w:rsidR="00013319">
              <w:rPr>
                <w:rFonts w:ascii="Times New Roman" w:hAnsi="Times New Roman"/>
              </w:rPr>
              <w:t>Medziročná zmena záväzkov po lehote splatnosti (mil. EUR)</w:t>
            </w:r>
          </w:p>
        </w:tc>
      </w:tr>
      <w:tr>
        <w:tblPrEx>
          <w:tblW w:w="0" w:type="auto"/>
          <w:tblLook w:val="04A0"/>
        </w:tblPrEx>
        <w:trPr>
          <w:trHeight w:val="152"/>
        </w:trPr>
        <w:tc>
          <w:tcPr>
            <w:tcW w:w="743" w:type="dxa"/>
            <w:tcBorders>
              <w:top w:val="single" w:sz="4" w:space="0" w:color="auto"/>
              <w:left w:val="single" w:sz="4" w:space="0" w:color="auto"/>
              <w:bottom w:val="single" w:sz="4" w:space="0" w:color="auto"/>
              <w:right w:val="single" w:sz="4" w:space="0" w:color="auto"/>
            </w:tcBorders>
            <w:textDirection w:val="lrTb"/>
            <w:vAlign w:val="top"/>
          </w:tcPr>
          <w:p w:rsidR="00013319" w:rsidRPr="00774A6E" w:rsidP="005C1636">
            <w:pPr>
              <w:pStyle w:val="Obyajn"/>
              <w:bidi w:val="0"/>
              <w:ind w:left="-994"/>
              <w:jc w:val="center"/>
              <w:rPr>
                <w:rFonts w:ascii="Times New Roman" w:hAnsi="Times New Roman"/>
              </w:rPr>
            </w:pPr>
            <w:r w:rsidRPr="00774A6E">
              <w:rPr>
                <w:rFonts w:ascii="Times New Roman" w:hAnsi="Times New Roman"/>
              </w:rPr>
              <w:t>2014</w:t>
            </w:r>
          </w:p>
        </w:tc>
        <w:tc>
          <w:tcPr>
            <w:tcW w:w="1797"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pStyle w:val="Obyajn"/>
              <w:bidi w:val="0"/>
              <w:ind w:firstLine="0"/>
              <w:jc w:val="center"/>
              <w:rPr>
                <w:rFonts w:ascii="Times New Roman" w:hAnsi="Times New Roman"/>
              </w:rPr>
            </w:pPr>
            <w:r w:rsidRPr="00774A6E">
              <w:rPr>
                <w:rFonts w:ascii="Times New Roman" w:hAnsi="Times New Roman"/>
              </w:rPr>
              <w:t>-40,96</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pStyle w:val="Obyajn"/>
              <w:bidi w:val="0"/>
              <w:ind w:firstLine="0"/>
              <w:jc w:val="center"/>
              <w:rPr>
                <w:rFonts w:ascii="Times New Roman" w:hAnsi="Times New Roman"/>
              </w:rPr>
            </w:pPr>
            <w:r w:rsidRPr="00774A6E">
              <w:rPr>
                <w:rFonts w:ascii="Times New Roman" w:hAnsi="Times New Roman"/>
              </w:rPr>
              <w:t>-21,27</w:t>
            </w:r>
          </w:p>
        </w:tc>
        <w:tc>
          <w:tcPr>
            <w:tcW w:w="2170"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bidi w:val="0"/>
              <w:spacing w:after="0"/>
              <w:ind w:firstLine="0"/>
              <w:jc w:val="center"/>
              <w:rPr>
                <w:rFonts w:ascii="Times New Roman" w:hAnsi="Times New Roman"/>
                <w:lang w:eastAsia="sk-SK"/>
              </w:rPr>
            </w:pPr>
            <w:r w:rsidRPr="00774A6E">
              <w:rPr>
                <w:rFonts w:ascii="Times New Roman" w:hAnsi="Times New Roman"/>
              </w:rPr>
              <w:t>317,86</w:t>
            </w:r>
          </w:p>
        </w:tc>
        <w:tc>
          <w:tcPr>
            <w:tcW w:w="2212"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pStyle w:val="Obyajn"/>
              <w:bidi w:val="0"/>
              <w:ind w:firstLine="0"/>
              <w:jc w:val="center"/>
              <w:rPr>
                <w:rFonts w:ascii="Times New Roman" w:hAnsi="Times New Roman"/>
              </w:rPr>
            </w:pPr>
            <w:r w:rsidRPr="00774A6E">
              <w:rPr>
                <w:rFonts w:ascii="Times New Roman" w:hAnsi="Times New Roman"/>
              </w:rPr>
              <w:t>81,03</w:t>
            </w:r>
          </w:p>
        </w:tc>
      </w:tr>
      <w:tr>
        <w:tblPrEx>
          <w:tblW w:w="0" w:type="auto"/>
          <w:tblLook w:val="04A0"/>
        </w:tblPrEx>
        <w:trPr>
          <w:trHeight w:val="152"/>
        </w:trPr>
        <w:tc>
          <w:tcPr>
            <w:tcW w:w="743" w:type="dxa"/>
            <w:tcBorders>
              <w:top w:val="single" w:sz="4" w:space="0" w:color="auto"/>
              <w:left w:val="single" w:sz="4" w:space="0" w:color="auto"/>
              <w:bottom w:val="single" w:sz="4" w:space="0" w:color="auto"/>
              <w:right w:val="single" w:sz="4" w:space="0" w:color="auto"/>
            </w:tcBorders>
            <w:textDirection w:val="lrTb"/>
            <w:vAlign w:val="top"/>
          </w:tcPr>
          <w:p w:rsidR="00013319" w:rsidRPr="00774A6E" w:rsidP="005C1636">
            <w:pPr>
              <w:pStyle w:val="Obyajn"/>
              <w:bidi w:val="0"/>
              <w:ind w:left="-994"/>
              <w:jc w:val="center"/>
              <w:rPr>
                <w:rFonts w:ascii="Times New Roman" w:hAnsi="Times New Roman"/>
              </w:rPr>
            </w:pPr>
            <w:r w:rsidRPr="00774A6E">
              <w:rPr>
                <w:rFonts w:ascii="Times New Roman" w:hAnsi="Times New Roman"/>
              </w:rPr>
              <w:t>2015</w:t>
            </w:r>
          </w:p>
        </w:tc>
        <w:tc>
          <w:tcPr>
            <w:tcW w:w="1797"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pStyle w:val="Obyajn"/>
              <w:bidi w:val="0"/>
              <w:ind w:firstLine="0"/>
              <w:jc w:val="center"/>
              <w:rPr>
                <w:rFonts w:ascii="Times New Roman" w:hAnsi="Times New Roman"/>
              </w:rPr>
            </w:pPr>
            <w:r w:rsidRPr="00774A6E">
              <w:rPr>
                <w:rFonts w:ascii="Times New Roman" w:hAnsi="Times New Roman"/>
              </w:rPr>
              <w:t>-63,94</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pStyle w:val="Obyajn"/>
              <w:bidi w:val="0"/>
              <w:ind w:firstLine="0"/>
              <w:jc w:val="center"/>
              <w:rPr>
                <w:rFonts w:ascii="Times New Roman" w:hAnsi="Times New Roman"/>
              </w:rPr>
            </w:pPr>
            <w:r w:rsidRPr="00774A6E">
              <w:rPr>
                <w:rFonts w:ascii="Times New Roman" w:hAnsi="Times New Roman"/>
              </w:rPr>
              <w:t>-22,98</w:t>
            </w:r>
          </w:p>
        </w:tc>
        <w:tc>
          <w:tcPr>
            <w:tcW w:w="2170"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bidi w:val="0"/>
              <w:spacing w:after="0"/>
              <w:ind w:firstLine="0"/>
              <w:jc w:val="center"/>
              <w:rPr>
                <w:rFonts w:ascii="Times New Roman" w:hAnsi="Times New Roman"/>
                <w:lang w:eastAsia="sk-SK"/>
              </w:rPr>
            </w:pPr>
            <w:r w:rsidRPr="00774A6E">
              <w:rPr>
                <w:rFonts w:ascii="Times New Roman" w:hAnsi="Times New Roman"/>
              </w:rPr>
              <w:t>426,92</w:t>
            </w:r>
          </w:p>
        </w:tc>
        <w:tc>
          <w:tcPr>
            <w:tcW w:w="2212"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pStyle w:val="Obyajn"/>
              <w:bidi w:val="0"/>
              <w:ind w:firstLine="0"/>
              <w:jc w:val="center"/>
              <w:rPr>
                <w:rFonts w:ascii="Times New Roman" w:hAnsi="Times New Roman"/>
              </w:rPr>
            </w:pPr>
            <w:r w:rsidRPr="00774A6E">
              <w:rPr>
                <w:rFonts w:ascii="Times New Roman" w:hAnsi="Times New Roman"/>
              </w:rPr>
              <w:t>109,06</w:t>
            </w:r>
          </w:p>
        </w:tc>
      </w:tr>
      <w:tr>
        <w:tblPrEx>
          <w:tblW w:w="0" w:type="auto"/>
          <w:tblLook w:val="04A0"/>
        </w:tblPrEx>
        <w:trPr>
          <w:trHeight w:val="152"/>
        </w:trPr>
        <w:tc>
          <w:tcPr>
            <w:tcW w:w="743" w:type="dxa"/>
            <w:tcBorders>
              <w:top w:val="single" w:sz="4" w:space="0" w:color="auto"/>
              <w:left w:val="single" w:sz="4" w:space="0" w:color="auto"/>
              <w:bottom w:val="single" w:sz="4" w:space="0" w:color="auto"/>
              <w:right w:val="single" w:sz="4" w:space="0" w:color="auto"/>
            </w:tcBorders>
            <w:textDirection w:val="lrTb"/>
            <w:vAlign w:val="top"/>
          </w:tcPr>
          <w:p w:rsidR="00013319" w:rsidRPr="00774A6E" w:rsidP="005C1636">
            <w:pPr>
              <w:pStyle w:val="Obyajn"/>
              <w:bidi w:val="0"/>
              <w:ind w:left="-994"/>
              <w:jc w:val="center"/>
              <w:rPr>
                <w:rFonts w:ascii="Times New Roman" w:hAnsi="Times New Roman"/>
              </w:rPr>
            </w:pPr>
            <w:r w:rsidRPr="00774A6E">
              <w:rPr>
                <w:rFonts w:ascii="Times New Roman" w:hAnsi="Times New Roman"/>
              </w:rPr>
              <w:t>2016</w:t>
            </w:r>
          </w:p>
        </w:tc>
        <w:tc>
          <w:tcPr>
            <w:tcW w:w="1797"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pStyle w:val="Obyajn"/>
              <w:bidi w:val="0"/>
              <w:ind w:firstLine="0"/>
              <w:jc w:val="center"/>
              <w:rPr>
                <w:rFonts w:ascii="Times New Roman" w:hAnsi="Times New Roman"/>
              </w:rPr>
            </w:pPr>
            <w:r w:rsidRPr="00774A6E">
              <w:rPr>
                <w:rFonts w:ascii="Times New Roman" w:hAnsi="Times New Roman"/>
              </w:rPr>
              <w:t>-80,93</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pStyle w:val="Obyajn"/>
              <w:bidi w:val="0"/>
              <w:ind w:firstLine="0"/>
              <w:jc w:val="center"/>
              <w:rPr>
                <w:rFonts w:ascii="Times New Roman" w:hAnsi="Times New Roman"/>
              </w:rPr>
            </w:pPr>
            <w:r w:rsidRPr="00774A6E">
              <w:rPr>
                <w:rFonts w:ascii="Times New Roman" w:hAnsi="Times New Roman"/>
              </w:rPr>
              <w:t>-16,99</w:t>
            </w:r>
          </w:p>
        </w:tc>
        <w:tc>
          <w:tcPr>
            <w:tcW w:w="2170"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bidi w:val="0"/>
              <w:spacing w:after="0"/>
              <w:ind w:firstLine="0"/>
              <w:jc w:val="center"/>
              <w:rPr>
                <w:rFonts w:ascii="Times New Roman" w:hAnsi="Times New Roman"/>
                <w:lang w:eastAsia="sk-SK"/>
              </w:rPr>
            </w:pPr>
            <w:r w:rsidRPr="00774A6E">
              <w:rPr>
                <w:rFonts w:ascii="Times New Roman" w:hAnsi="Times New Roman"/>
              </w:rPr>
              <w:t>527,16</w:t>
            </w:r>
          </w:p>
        </w:tc>
        <w:tc>
          <w:tcPr>
            <w:tcW w:w="2212" w:type="dxa"/>
            <w:tcBorders>
              <w:top w:val="single" w:sz="4" w:space="0" w:color="auto"/>
              <w:left w:val="single" w:sz="4" w:space="0" w:color="auto"/>
              <w:bottom w:val="single" w:sz="4" w:space="0" w:color="auto"/>
              <w:right w:val="single" w:sz="4" w:space="0" w:color="auto"/>
            </w:tcBorders>
            <w:textDirection w:val="lrTb"/>
            <w:vAlign w:val="center"/>
          </w:tcPr>
          <w:p w:rsidR="00013319" w:rsidRPr="00774A6E" w:rsidP="00154367">
            <w:pPr>
              <w:pStyle w:val="Obyajn"/>
              <w:bidi w:val="0"/>
              <w:ind w:firstLine="0"/>
              <w:jc w:val="center"/>
              <w:rPr>
                <w:rFonts w:ascii="Times New Roman" w:hAnsi="Times New Roman"/>
              </w:rPr>
            </w:pPr>
            <w:r w:rsidRPr="00774A6E">
              <w:rPr>
                <w:rFonts w:ascii="Times New Roman" w:hAnsi="Times New Roman"/>
              </w:rPr>
              <w:t>100,24</w:t>
            </w:r>
          </w:p>
        </w:tc>
      </w:tr>
    </w:tbl>
    <w:p w:rsidR="00E10C15" w:rsidP="005E2001">
      <w:pPr>
        <w:pStyle w:val="Obyajn"/>
        <w:bidi w:val="0"/>
        <w:rPr>
          <w:rFonts w:ascii="Times New Roman" w:hAnsi="Times New Roman"/>
        </w:rPr>
      </w:pPr>
    </w:p>
    <w:p w:rsidR="005E2001" w:rsidRPr="00774A6E" w:rsidP="005E2001">
      <w:pPr>
        <w:pStyle w:val="Obyajn"/>
        <w:bidi w:val="0"/>
        <w:rPr>
          <w:rFonts w:ascii="Times New Roman" w:hAnsi="Times New Roman"/>
        </w:rPr>
      </w:pPr>
      <w:r w:rsidRPr="00774A6E" w:rsidR="00013319">
        <w:rPr>
          <w:rFonts w:ascii="Times New Roman" w:hAnsi="Times New Roman"/>
        </w:rPr>
        <w:t>Na základe vyššie uvedených krokov v uplynulom roku došlo k:</w:t>
      </w:r>
    </w:p>
    <w:p w:rsidR="00013319" w:rsidRPr="00774A6E" w:rsidP="00CF2104">
      <w:pPr>
        <w:pStyle w:val="Obyajn"/>
        <w:numPr>
          <w:numId w:val="8"/>
        </w:numPr>
        <w:bidi w:val="0"/>
        <w:rPr>
          <w:rFonts w:ascii="Times New Roman" w:hAnsi="Times New Roman"/>
        </w:rPr>
      </w:pPr>
      <w:r w:rsidRPr="00774A6E">
        <w:rPr>
          <w:rFonts w:ascii="Times New Roman" w:hAnsi="Times New Roman"/>
        </w:rPr>
        <w:t>spomaleniu tempa zhoršovania hospodárenia medziročne o 6 mil. EUR</w:t>
      </w:r>
    </w:p>
    <w:p w:rsidR="00013319" w:rsidRPr="00774A6E" w:rsidP="00CF2104">
      <w:pPr>
        <w:pStyle w:val="Obyajn"/>
        <w:numPr>
          <w:numId w:val="8"/>
        </w:numPr>
        <w:bidi w:val="0"/>
        <w:rPr>
          <w:rFonts w:ascii="Times New Roman" w:hAnsi="Times New Roman"/>
        </w:rPr>
      </w:pPr>
      <w:r w:rsidRPr="00774A6E">
        <w:rPr>
          <w:rFonts w:ascii="Times New Roman" w:hAnsi="Times New Roman"/>
        </w:rPr>
        <w:t>spomaleniu tempa rastu záväzkov medziročne o 8,8 mil. EUR</w:t>
      </w:r>
    </w:p>
    <w:p w:rsidR="00013319" w:rsidRPr="00774A6E" w:rsidP="00EF537B">
      <w:pPr>
        <w:pStyle w:val="Obyajn"/>
        <w:bidi w:val="0"/>
        <w:rPr>
          <w:rFonts w:ascii="Times New Roman" w:hAnsi="Times New Roman"/>
        </w:rPr>
      </w:pPr>
      <w:r w:rsidRPr="00774A6E">
        <w:rPr>
          <w:rFonts w:ascii="Times New Roman" w:hAnsi="Times New Roman"/>
        </w:rPr>
        <w:t>Úspora medzi rokmi 2015 a 2016 je tak na úrovni 6-8,8 mil. EUR</w:t>
      </w:r>
    </w:p>
    <w:p w:rsidR="00443245" w:rsidRPr="00774A6E" w:rsidP="00EF537B">
      <w:pPr>
        <w:pStyle w:val="Obyajn"/>
        <w:bidi w:val="0"/>
        <w:rPr>
          <w:rFonts w:ascii="Times New Roman" w:hAnsi="Times New Roman"/>
        </w:rPr>
      </w:pPr>
    </w:p>
    <w:p w:rsidR="00013319" w:rsidP="00EF537B">
      <w:pPr>
        <w:pStyle w:val="Obyajn"/>
        <w:bidi w:val="0"/>
        <w:rPr>
          <w:rFonts w:ascii="Times New Roman" w:hAnsi="Times New Roman"/>
        </w:rPr>
      </w:pPr>
      <w:r w:rsidRPr="00774A6E">
        <w:rPr>
          <w:rFonts w:ascii="Times New Roman" w:hAnsi="Times New Roman"/>
        </w:rPr>
        <w:t>Na základe vyššie popísaných opatrení uskutočňovaných MZ SR, ako aj na základe vyčíslenia možnej úspory projektom Hodnota za peniaze boli pre univerzitné a fakultné nemocnice v zriaďovateľskej pôsobnosti MZ SR stanovené reálne plány hospodárenia na rok 2017. Na ich základe dôjde v roku 2017 k úspore 28,36 mil. EUR medziročne (na úrovni EBITDA), čo bude korešpondovať aj so spomalením tempa rastu záväzkov po lehote splatnosti.</w:t>
      </w:r>
    </w:p>
    <w:p w:rsidR="00E10C15" w:rsidRPr="00774A6E" w:rsidP="00EF537B">
      <w:pPr>
        <w:pStyle w:val="Obyajn"/>
        <w:bidi w:val="0"/>
        <w:rPr>
          <w:rFonts w:ascii="Times New Roman" w:hAnsi="Times New Roman"/>
        </w:rPr>
      </w:pPr>
    </w:p>
    <w:tbl>
      <w:tblPr>
        <w:tblStyle w:val="TableNormal"/>
        <w:tblW w:w="9310" w:type="dxa"/>
        <w:tblInd w:w="108" w:type="dxa"/>
        <w:tblLook w:val="0420"/>
      </w:tblPr>
      <w:tblGrid>
        <w:gridCol w:w="1330"/>
        <w:gridCol w:w="1330"/>
        <w:gridCol w:w="1330"/>
        <w:gridCol w:w="1330"/>
        <w:gridCol w:w="1330"/>
        <w:gridCol w:w="1330"/>
        <w:gridCol w:w="1330"/>
      </w:tblGrid>
      <w:tr>
        <w:tblPrEx>
          <w:tblW w:w="9310" w:type="dxa"/>
          <w:tblInd w:w="108" w:type="dxa"/>
          <w:tblLook w:val="0420"/>
        </w:tblPrEx>
        <w:trPr>
          <w:trHeight w:val="993"/>
        </w:trPr>
        <w:tc>
          <w:tcPr>
            <w:tcW w:w="1330" w:type="dxa"/>
            <w:tcBorders>
              <w:top w:val="single" w:sz="8" w:space="0" w:color="auto"/>
              <w:left w:val="single" w:sz="8" w:space="0" w:color="auto"/>
              <w:bottom w:val="single" w:sz="8" w:space="0" w:color="000000"/>
              <w:right w:val="single" w:sz="8" w:space="0" w:color="auto"/>
            </w:tcBorders>
            <w:textDirection w:val="lrTb"/>
            <w:vAlign w:val="center"/>
            <w:hideMark/>
          </w:tcPr>
          <w:p w:rsidR="00774A6E" w:rsidRPr="00154367" w:rsidP="00774A6E">
            <w:pPr>
              <w:bidi w:val="0"/>
              <w:spacing w:after="0" w:line="240" w:lineRule="auto"/>
              <w:ind w:firstLine="0"/>
              <w:jc w:val="center"/>
              <w:rPr>
                <w:rFonts w:ascii="Times New Roman" w:eastAsia="Times New Roman" w:hAnsi="Times New Roman"/>
                <w:b/>
                <w:bCs/>
                <w:iCs w:val="0"/>
                <w:color w:val="000000"/>
                <w:sz w:val="20"/>
                <w:szCs w:val="22"/>
                <w:lang w:val="en-GB" w:eastAsia="en-GB"/>
              </w:rPr>
            </w:pPr>
            <w:r w:rsidRPr="00154367">
              <w:rPr>
                <w:rFonts w:ascii="Times New Roman" w:eastAsia="Times New Roman" w:hAnsi="Times New Roman"/>
                <w:b/>
                <w:bCs/>
                <w:iCs w:val="0"/>
                <w:color w:val="000000"/>
                <w:sz w:val="20"/>
                <w:szCs w:val="22"/>
                <w:lang w:eastAsia="en-GB"/>
              </w:rPr>
              <w:t>EBITDA (</w:t>
            </w:r>
            <w:r w:rsidRPr="00154367">
              <w:rPr>
                <w:rFonts w:ascii="Times New Roman" w:eastAsia="Times New Roman" w:hAnsi="Times New Roman"/>
                <w:iCs w:val="0"/>
                <w:color w:val="000000"/>
                <w:sz w:val="20"/>
                <w:szCs w:val="22"/>
                <w:lang w:eastAsia="en-GB"/>
              </w:rPr>
              <w:t>v tis. EUR)</w:t>
            </w:r>
          </w:p>
        </w:tc>
        <w:tc>
          <w:tcPr>
            <w:tcW w:w="1330" w:type="dxa"/>
            <w:tcBorders>
              <w:top w:val="single" w:sz="8" w:space="0" w:color="auto"/>
              <w:left w:val="single" w:sz="8" w:space="0" w:color="auto"/>
              <w:bottom w:val="single" w:sz="8" w:space="0" w:color="000000"/>
              <w:right w:val="single" w:sz="8" w:space="0" w:color="auto"/>
            </w:tcBorders>
            <w:textDirection w:val="lrTb"/>
            <w:vAlign w:val="center"/>
            <w:hideMark/>
          </w:tcPr>
          <w:p w:rsidR="00774A6E" w:rsidRPr="00154367" w:rsidP="00774A6E">
            <w:pPr>
              <w:bidi w:val="0"/>
              <w:spacing w:after="0" w:line="240" w:lineRule="auto"/>
              <w:ind w:firstLine="0"/>
              <w:jc w:val="center"/>
              <w:rPr>
                <w:rFonts w:ascii="Times New Roman" w:eastAsia="Times New Roman" w:hAnsi="Times New Roman"/>
                <w:b/>
                <w:bCs/>
                <w:iCs w:val="0"/>
                <w:color w:val="000000"/>
                <w:sz w:val="20"/>
                <w:szCs w:val="22"/>
                <w:lang w:val="en-GB" w:eastAsia="en-GB"/>
              </w:rPr>
            </w:pPr>
            <w:r w:rsidRPr="00154367">
              <w:rPr>
                <w:rFonts w:ascii="Times New Roman" w:eastAsia="Times New Roman" w:hAnsi="Times New Roman"/>
                <w:b/>
                <w:bCs/>
                <w:iCs w:val="0"/>
                <w:color w:val="000000"/>
                <w:sz w:val="20"/>
                <w:szCs w:val="22"/>
                <w:lang w:eastAsia="en-GB"/>
              </w:rPr>
              <w:t>2013</w:t>
            </w:r>
          </w:p>
        </w:tc>
        <w:tc>
          <w:tcPr>
            <w:tcW w:w="1330" w:type="dxa"/>
            <w:tcBorders>
              <w:top w:val="single" w:sz="8" w:space="0" w:color="auto"/>
              <w:left w:val="single" w:sz="8" w:space="0" w:color="auto"/>
              <w:bottom w:val="single" w:sz="8" w:space="0" w:color="000000"/>
              <w:right w:val="single" w:sz="8" w:space="0" w:color="auto"/>
            </w:tcBorders>
            <w:textDirection w:val="lrTb"/>
            <w:vAlign w:val="center"/>
            <w:hideMark/>
          </w:tcPr>
          <w:p w:rsidR="00774A6E" w:rsidRPr="00154367" w:rsidP="00774A6E">
            <w:pPr>
              <w:bidi w:val="0"/>
              <w:spacing w:after="0" w:line="240" w:lineRule="auto"/>
              <w:ind w:firstLine="0"/>
              <w:jc w:val="center"/>
              <w:rPr>
                <w:rFonts w:ascii="Times New Roman" w:eastAsia="Times New Roman" w:hAnsi="Times New Roman"/>
                <w:b/>
                <w:bCs/>
                <w:iCs w:val="0"/>
                <w:color w:val="000000"/>
                <w:sz w:val="20"/>
                <w:szCs w:val="22"/>
                <w:lang w:val="en-GB" w:eastAsia="en-GB"/>
              </w:rPr>
            </w:pPr>
            <w:r w:rsidRPr="00154367">
              <w:rPr>
                <w:rFonts w:ascii="Times New Roman" w:eastAsia="Times New Roman" w:hAnsi="Times New Roman"/>
                <w:b/>
                <w:bCs/>
                <w:iCs w:val="0"/>
                <w:color w:val="000000"/>
                <w:sz w:val="20"/>
                <w:szCs w:val="22"/>
                <w:lang w:eastAsia="en-GB"/>
              </w:rPr>
              <w:t>2014</w:t>
            </w:r>
          </w:p>
        </w:tc>
        <w:tc>
          <w:tcPr>
            <w:tcW w:w="1330" w:type="dxa"/>
            <w:tcBorders>
              <w:top w:val="single" w:sz="8" w:space="0" w:color="auto"/>
              <w:left w:val="single" w:sz="8" w:space="0" w:color="auto"/>
              <w:bottom w:val="single" w:sz="8" w:space="0" w:color="000000"/>
              <w:right w:val="single" w:sz="8" w:space="0" w:color="auto"/>
            </w:tcBorders>
            <w:textDirection w:val="lrTb"/>
            <w:vAlign w:val="center"/>
            <w:hideMark/>
          </w:tcPr>
          <w:p w:rsidR="00774A6E" w:rsidRPr="00154367" w:rsidP="00774A6E">
            <w:pPr>
              <w:bidi w:val="0"/>
              <w:spacing w:after="0" w:line="240" w:lineRule="auto"/>
              <w:ind w:firstLine="0"/>
              <w:jc w:val="center"/>
              <w:rPr>
                <w:rFonts w:ascii="Times New Roman" w:eastAsia="Times New Roman" w:hAnsi="Times New Roman"/>
                <w:b/>
                <w:bCs/>
                <w:iCs w:val="0"/>
                <w:color w:val="000000"/>
                <w:sz w:val="20"/>
                <w:szCs w:val="22"/>
                <w:lang w:val="en-GB" w:eastAsia="en-GB"/>
              </w:rPr>
            </w:pPr>
            <w:r w:rsidRPr="00154367">
              <w:rPr>
                <w:rFonts w:ascii="Times New Roman" w:eastAsia="Times New Roman" w:hAnsi="Times New Roman"/>
                <w:b/>
                <w:bCs/>
                <w:iCs w:val="0"/>
                <w:color w:val="000000"/>
                <w:sz w:val="20"/>
                <w:szCs w:val="22"/>
                <w:lang w:eastAsia="en-GB"/>
              </w:rPr>
              <w:t>2015</w:t>
            </w:r>
          </w:p>
        </w:tc>
        <w:tc>
          <w:tcPr>
            <w:tcW w:w="1330" w:type="dxa"/>
            <w:tcBorders>
              <w:top w:val="single" w:sz="8" w:space="0" w:color="auto"/>
              <w:left w:val="single" w:sz="8" w:space="0" w:color="auto"/>
              <w:bottom w:val="single" w:sz="8" w:space="0" w:color="000000"/>
              <w:right w:val="single" w:sz="8" w:space="0" w:color="auto"/>
            </w:tcBorders>
            <w:textDirection w:val="lrTb"/>
            <w:vAlign w:val="center"/>
            <w:hideMark/>
          </w:tcPr>
          <w:p w:rsidR="00774A6E" w:rsidRPr="00154367" w:rsidP="00774A6E">
            <w:pPr>
              <w:bidi w:val="0"/>
              <w:spacing w:after="0" w:line="240" w:lineRule="auto"/>
              <w:ind w:firstLine="0"/>
              <w:jc w:val="center"/>
              <w:rPr>
                <w:rFonts w:ascii="Times New Roman" w:eastAsia="Times New Roman" w:hAnsi="Times New Roman"/>
                <w:b/>
                <w:bCs/>
                <w:iCs w:val="0"/>
                <w:color w:val="000000"/>
                <w:sz w:val="20"/>
                <w:szCs w:val="22"/>
                <w:lang w:val="en-GB" w:eastAsia="en-GB"/>
              </w:rPr>
            </w:pPr>
            <w:r w:rsidRPr="00154367">
              <w:rPr>
                <w:rFonts w:ascii="Times New Roman" w:eastAsia="Times New Roman" w:hAnsi="Times New Roman"/>
                <w:b/>
                <w:bCs/>
                <w:iCs w:val="0"/>
                <w:color w:val="000000"/>
                <w:sz w:val="20"/>
                <w:szCs w:val="22"/>
                <w:lang w:eastAsia="en-GB"/>
              </w:rPr>
              <w:t>2016</w:t>
            </w:r>
          </w:p>
        </w:tc>
        <w:tc>
          <w:tcPr>
            <w:tcW w:w="1330" w:type="dxa"/>
            <w:tcBorders>
              <w:top w:val="single" w:sz="8" w:space="0" w:color="auto"/>
              <w:left w:val="single" w:sz="8" w:space="0" w:color="auto"/>
              <w:bottom w:val="single" w:sz="8" w:space="0" w:color="000000"/>
              <w:right w:val="single" w:sz="8" w:space="0" w:color="auto"/>
            </w:tcBorders>
            <w:textDirection w:val="lrTb"/>
            <w:vAlign w:val="center"/>
            <w:hideMark/>
          </w:tcPr>
          <w:p w:rsidR="00774A6E" w:rsidRPr="00154367" w:rsidP="00774A6E">
            <w:pPr>
              <w:bidi w:val="0"/>
              <w:spacing w:after="0" w:line="240" w:lineRule="auto"/>
              <w:ind w:firstLine="0"/>
              <w:jc w:val="center"/>
              <w:rPr>
                <w:rFonts w:ascii="Times New Roman" w:eastAsia="Times New Roman" w:hAnsi="Times New Roman"/>
                <w:b/>
                <w:bCs/>
                <w:iCs w:val="0"/>
                <w:color w:val="000000"/>
                <w:sz w:val="20"/>
                <w:szCs w:val="22"/>
                <w:lang w:val="en-GB" w:eastAsia="en-GB"/>
              </w:rPr>
            </w:pPr>
            <w:r w:rsidRPr="00154367">
              <w:rPr>
                <w:rFonts w:ascii="Times New Roman" w:eastAsia="Times New Roman" w:hAnsi="Times New Roman"/>
                <w:b/>
                <w:bCs/>
                <w:iCs w:val="0"/>
                <w:color w:val="000000"/>
                <w:sz w:val="20"/>
                <w:szCs w:val="22"/>
                <w:lang w:eastAsia="en-GB"/>
              </w:rPr>
              <w:t>plán 2017</w:t>
            </w:r>
          </w:p>
        </w:tc>
        <w:tc>
          <w:tcPr>
            <w:tcW w:w="1330" w:type="dxa"/>
            <w:tcBorders>
              <w:top w:val="single" w:sz="8" w:space="0" w:color="auto"/>
              <w:left w:val="nil"/>
              <w:bottom w:val="single" w:sz="4" w:space="0" w:color="auto"/>
              <w:right w:val="single" w:sz="8" w:space="0" w:color="auto"/>
            </w:tcBorders>
            <w:textDirection w:val="lrTb"/>
            <w:vAlign w:val="center"/>
            <w:hideMark/>
          </w:tcPr>
          <w:p w:rsidR="00774A6E" w:rsidRPr="00154367" w:rsidP="00774A6E">
            <w:pPr>
              <w:bidi w:val="0"/>
              <w:spacing w:after="0" w:line="240" w:lineRule="auto"/>
              <w:ind w:firstLine="0"/>
              <w:jc w:val="center"/>
              <w:rPr>
                <w:rFonts w:ascii="Times New Roman" w:eastAsia="Times New Roman" w:hAnsi="Times New Roman"/>
                <w:b/>
                <w:bCs/>
                <w:iCs w:val="0"/>
                <w:color w:val="000000"/>
                <w:sz w:val="20"/>
                <w:szCs w:val="22"/>
                <w:lang w:val="en-GB" w:eastAsia="en-GB"/>
              </w:rPr>
            </w:pPr>
            <w:r w:rsidRPr="00154367">
              <w:rPr>
                <w:rFonts w:ascii="Times New Roman" w:eastAsia="Times New Roman" w:hAnsi="Times New Roman"/>
                <w:b/>
                <w:bCs/>
                <w:iCs w:val="0"/>
                <w:color w:val="000000"/>
                <w:sz w:val="20"/>
                <w:szCs w:val="22"/>
                <w:lang w:eastAsia="en-GB"/>
              </w:rPr>
              <w:t>plánované zlepšenie</w:t>
            </w:r>
          </w:p>
          <w:p w:rsidR="00774A6E" w:rsidRPr="00154367" w:rsidP="00774A6E">
            <w:pPr>
              <w:bidi w:val="0"/>
              <w:spacing w:after="0" w:line="240" w:lineRule="auto"/>
              <w:ind w:firstLine="0"/>
              <w:jc w:val="center"/>
              <w:rPr>
                <w:rFonts w:ascii="Times New Roman" w:eastAsia="Times New Roman" w:hAnsi="Times New Roman"/>
                <w:b/>
                <w:bCs/>
                <w:iCs w:val="0"/>
                <w:color w:val="000000"/>
                <w:sz w:val="20"/>
                <w:szCs w:val="22"/>
                <w:lang w:val="en-GB" w:eastAsia="en-GB"/>
              </w:rPr>
            </w:pPr>
            <w:r w:rsidRPr="00154367">
              <w:rPr>
                <w:rFonts w:ascii="Times New Roman" w:eastAsia="Times New Roman" w:hAnsi="Times New Roman"/>
                <w:b/>
                <w:bCs/>
                <w:iCs w:val="0"/>
                <w:color w:val="000000"/>
                <w:sz w:val="20"/>
                <w:szCs w:val="22"/>
                <w:lang w:eastAsia="en-GB"/>
              </w:rPr>
              <w:t>(2017 - 2016)</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UN BA</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-15 547</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-30 533</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-36 147</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-42 036</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-28 980</w:t>
            </w:r>
          </w:p>
        </w:tc>
        <w:tc>
          <w:tcPr>
            <w:tcW w:w="1330" w:type="dxa"/>
            <w:tcBorders>
              <w:top w:val="single" w:sz="4" w:space="0" w:color="auto"/>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13 056</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DFNsP BB</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1 031</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898</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489</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527</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84</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-443</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DFNsP BA</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-4 451</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-2 174</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-3 563</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-4 524</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-4 142</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382</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DFN KE</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995</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1 043</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453</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-213</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277</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490</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FNsP BB</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-739</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-2 469</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-1 182</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-2 376</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-2 256</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120</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FN NR</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5 733</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5 971</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5 028</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4 741</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4 500</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-241</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FNsP NZ</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-757</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-884</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-468</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-38</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403</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441</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FNsP PO</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-4 328</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-5 707</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-11 569</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-10 899</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-9 420</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1 479</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FN TN</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-48</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-864</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-2 520</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-2 791</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-695</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2 096</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FN TT</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4 302</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1 286</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-1 369</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-1 429</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250</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1 679</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FNsP ZA</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1 419</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462</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-2 986</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-4 634</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-1 500</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3 134</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UN KE</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-3 766</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-3 392</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-5 506</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-11 497</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-8 505</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2 992</w:t>
            </w:r>
          </w:p>
        </w:tc>
      </w:tr>
      <w:tr>
        <w:tblPrEx>
          <w:tblW w:w="9310" w:type="dxa"/>
          <w:tblInd w:w="108" w:type="dxa"/>
          <w:tblLook w:val="0420"/>
        </w:tblPrEx>
        <w:trPr>
          <w:trHeight w:val="283"/>
        </w:trPr>
        <w:tc>
          <w:tcPr>
            <w:tcW w:w="1330" w:type="dxa"/>
            <w:tcBorders>
              <w:top w:val="nil"/>
              <w:left w:val="single" w:sz="8" w:space="0" w:color="auto"/>
              <w:bottom w:val="double" w:sz="6"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Cs/>
                <w:iCs w:val="0"/>
                <w:color w:val="000000"/>
                <w:sz w:val="20"/>
                <w:szCs w:val="22"/>
                <w:lang w:val="en-GB" w:eastAsia="en-GB"/>
              </w:rPr>
            </w:pPr>
            <w:r w:rsidRPr="00154367">
              <w:rPr>
                <w:rFonts w:ascii="Times New Roman" w:eastAsia="Times New Roman" w:hAnsi="Times New Roman"/>
                <w:bCs/>
                <w:iCs w:val="0"/>
                <w:color w:val="000000"/>
                <w:sz w:val="20"/>
                <w:szCs w:val="22"/>
                <w:lang w:eastAsia="en-GB"/>
              </w:rPr>
              <w:t>UN MT</w:t>
            </w:r>
          </w:p>
        </w:tc>
        <w:tc>
          <w:tcPr>
            <w:tcW w:w="1330" w:type="dxa"/>
            <w:tcBorders>
              <w:top w:val="nil"/>
              <w:left w:val="nil"/>
              <w:bottom w:val="double" w:sz="6"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-3 530</w:t>
            </w:r>
          </w:p>
        </w:tc>
        <w:tc>
          <w:tcPr>
            <w:tcW w:w="1330" w:type="dxa"/>
            <w:tcBorders>
              <w:top w:val="nil"/>
              <w:left w:val="nil"/>
              <w:bottom w:val="double" w:sz="6"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-4 597</w:t>
            </w:r>
          </w:p>
        </w:tc>
        <w:tc>
          <w:tcPr>
            <w:tcW w:w="1330" w:type="dxa"/>
            <w:tcBorders>
              <w:top w:val="nil"/>
              <w:left w:val="nil"/>
              <w:bottom w:val="double" w:sz="6"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-4 604</w:t>
            </w:r>
          </w:p>
        </w:tc>
        <w:tc>
          <w:tcPr>
            <w:tcW w:w="1330" w:type="dxa"/>
            <w:tcBorders>
              <w:top w:val="nil"/>
              <w:left w:val="nil"/>
              <w:bottom w:val="double" w:sz="6"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-5 765</w:t>
            </w:r>
          </w:p>
        </w:tc>
        <w:tc>
          <w:tcPr>
            <w:tcW w:w="1330" w:type="dxa"/>
            <w:tcBorders>
              <w:top w:val="nil"/>
              <w:left w:val="nil"/>
              <w:bottom w:val="double" w:sz="6"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FF0000"/>
                <w:sz w:val="20"/>
                <w:szCs w:val="22"/>
                <w:lang w:val="en-GB" w:eastAsia="en-GB"/>
              </w:rPr>
            </w:pPr>
            <w:r w:rsidRPr="00154367">
              <w:rPr>
                <w:rFonts w:ascii="Times New Roman" w:eastAsia="Times New Roman" w:hAnsi="Times New Roman"/>
                <w:iCs w:val="0"/>
                <w:color w:val="FF0000"/>
                <w:sz w:val="20"/>
                <w:szCs w:val="22"/>
                <w:lang w:eastAsia="en-GB"/>
              </w:rPr>
              <w:t>-2 590</w:t>
            </w:r>
          </w:p>
        </w:tc>
        <w:tc>
          <w:tcPr>
            <w:tcW w:w="1330" w:type="dxa"/>
            <w:tcBorders>
              <w:top w:val="nil"/>
              <w:left w:val="nil"/>
              <w:bottom w:val="double" w:sz="6"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iCs w:val="0"/>
                <w:color w:val="000000"/>
                <w:sz w:val="20"/>
                <w:szCs w:val="22"/>
                <w:lang w:val="en-GB" w:eastAsia="en-GB"/>
              </w:rPr>
            </w:pPr>
            <w:r w:rsidRPr="00154367">
              <w:rPr>
                <w:rFonts w:ascii="Times New Roman" w:eastAsia="Times New Roman" w:hAnsi="Times New Roman"/>
                <w:iCs w:val="0"/>
                <w:color w:val="000000"/>
                <w:sz w:val="20"/>
                <w:szCs w:val="22"/>
                <w:lang w:eastAsia="en-GB"/>
              </w:rPr>
              <w:t>3 175</w:t>
            </w:r>
          </w:p>
        </w:tc>
      </w:tr>
      <w:tr>
        <w:tblPrEx>
          <w:tblW w:w="9310" w:type="dxa"/>
          <w:tblInd w:w="108" w:type="dxa"/>
          <w:tblLook w:val="0420"/>
        </w:tblPrEx>
        <w:trPr>
          <w:trHeight w:val="283"/>
        </w:trPr>
        <w:tc>
          <w:tcPr>
            <w:tcW w:w="1330" w:type="dxa"/>
            <w:tcBorders>
              <w:top w:val="nil"/>
              <w:left w:val="single" w:sz="8" w:space="0" w:color="auto"/>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rPr>
                <w:rFonts w:ascii="Times New Roman" w:eastAsia="Times New Roman" w:hAnsi="Times New Roman"/>
                <w:b/>
                <w:bCs/>
                <w:iCs w:val="0"/>
                <w:color w:val="000000"/>
                <w:sz w:val="20"/>
                <w:szCs w:val="22"/>
                <w:lang w:val="en-GB" w:eastAsia="en-GB"/>
              </w:rPr>
            </w:pPr>
            <w:r w:rsidRPr="00154367">
              <w:rPr>
                <w:rFonts w:ascii="Times New Roman" w:eastAsia="Times New Roman" w:hAnsi="Times New Roman"/>
                <w:b/>
                <w:bCs/>
                <w:iCs w:val="0"/>
                <w:color w:val="000000"/>
                <w:sz w:val="20"/>
                <w:szCs w:val="22"/>
                <w:lang w:eastAsia="en-GB"/>
              </w:rPr>
              <w:t>Spolu</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b/>
                <w:bCs/>
                <w:iCs w:val="0"/>
                <w:color w:val="FF0000"/>
                <w:sz w:val="20"/>
                <w:szCs w:val="22"/>
                <w:lang w:val="en-GB" w:eastAsia="en-GB"/>
              </w:rPr>
            </w:pPr>
            <w:r w:rsidRPr="00154367">
              <w:rPr>
                <w:rFonts w:ascii="Times New Roman" w:eastAsia="Times New Roman" w:hAnsi="Times New Roman"/>
                <w:b/>
                <w:bCs/>
                <w:iCs w:val="0"/>
                <w:color w:val="FF0000"/>
                <w:sz w:val="20"/>
                <w:szCs w:val="22"/>
                <w:lang w:eastAsia="en-GB"/>
              </w:rPr>
              <w:t>-19 686</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b/>
                <w:bCs/>
                <w:iCs w:val="0"/>
                <w:color w:val="FF0000"/>
                <w:sz w:val="20"/>
                <w:szCs w:val="22"/>
                <w:lang w:val="en-GB" w:eastAsia="en-GB"/>
              </w:rPr>
            </w:pPr>
            <w:r w:rsidRPr="00154367">
              <w:rPr>
                <w:rFonts w:ascii="Times New Roman" w:eastAsia="Times New Roman" w:hAnsi="Times New Roman"/>
                <w:b/>
                <w:bCs/>
                <w:iCs w:val="0"/>
                <w:color w:val="FF0000"/>
                <w:sz w:val="20"/>
                <w:szCs w:val="22"/>
                <w:lang w:eastAsia="en-GB"/>
              </w:rPr>
              <w:t>-40 961</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b/>
                <w:bCs/>
                <w:iCs w:val="0"/>
                <w:color w:val="FF0000"/>
                <w:sz w:val="20"/>
                <w:szCs w:val="22"/>
                <w:lang w:val="en-GB" w:eastAsia="en-GB"/>
              </w:rPr>
            </w:pPr>
            <w:r w:rsidRPr="00154367">
              <w:rPr>
                <w:rFonts w:ascii="Times New Roman" w:eastAsia="Times New Roman" w:hAnsi="Times New Roman"/>
                <w:b/>
                <w:bCs/>
                <w:iCs w:val="0"/>
                <w:color w:val="FF0000"/>
                <w:sz w:val="20"/>
                <w:szCs w:val="22"/>
                <w:lang w:eastAsia="en-GB"/>
              </w:rPr>
              <w:t>-63 944</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b/>
                <w:bCs/>
                <w:iCs w:val="0"/>
                <w:color w:val="FF0000"/>
                <w:sz w:val="20"/>
                <w:szCs w:val="22"/>
                <w:lang w:val="en-GB" w:eastAsia="en-GB"/>
              </w:rPr>
            </w:pPr>
            <w:r w:rsidRPr="00154367">
              <w:rPr>
                <w:rFonts w:ascii="Times New Roman" w:eastAsia="Times New Roman" w:hAnsi="Times New Roman"/>
                <w:b/>
                <w:bCs/>
                <w:iCs w:val="0"/>
                <w:color w:val="FF0000"/>
                <w:sz w:val="20"/>
                <w:szCs w:val="22"/>
                <w:lang w:eastAsia="en-GB"/>
              </w:rPr>
              <w:t>-80 934</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b/>
                <w:bCs/>
                <w:iCs w:val="0"/>
                <w:color w:val="FF0000"/>
                <w:sz w:val="20"/>
                <w:szCs w:val="22"/>
                <w:lang w:val="en-GB" w:eastAsia="en-GB"/>
              </w:rPr>
            </w:pPr>
            <w:r w:rsidRPr="00154367">
              <w:rPr>
                <w:rFonts w:ascii="Times New Roman" w:eastAsia="Times New Roman" w:hAnsi="Times New Roman"/>
                <w:b/>
                <w:bCs/>
                <w:iCs w:val="0"/>
                <w:color w:val="FF0000"/>
                <w:sz w:val="20"/>
                <w:szCs w:val="22"/>
                <w:lang w:eastAsia="en-GB"/>
              </w:rPr>
              <w:t>-52 574</w:t>
            </w:r>
          </w:p>
        </w:tc>
        <w:tc>
          <w:tcPr>
            <w:tcW w:w="1330" w:type="dxa"/>
            <w:tcBorders>
              <w:top w:val="nil"/>
              <w:left w:val="nil"/>
              <w:bottom w:val="single" w:sz="8" w:space="0" w:color="auto"/>
              <w:right w:val="single" w:sz="8" w:space="0" w:color="auto"/>
            </w:tcBorders>
            <w:textDirection w:val="lrTb"/>
            <w:vAlign w:val="center"/>
            <w:hideMark/>
          </w:tcPr>
          <w:p w:rsidR="00774A6E" w:rsidRPr="00154367" w:rsidP="00774A6E">
            <w:pPr>
              <w:bidi w:val="0"/>
              <w:spacing w:after="0" w:line="240" w:lineRule="auto"/>
              <w:ind w:firstLine="0"/>
              <w:jc w:val="right"/>
              <w:rPr>
                <w:rFonts w:ascii="Times New Roman" w:eastAsia="Times New Roman" w:hAnsi="Times New Roman"/>
                <w:b/>
                <w:bCs/>
                <w:iCs w:val="0"/>
                <w:color w:val="000000"/>
                <w:sz w:val="20"/>
                <w:szCs w:val="22"/>
                <w:lang w:val="en-GB" w:eastAsia="en-GB"/>
              </w:rPr>
            </w:pPr>
            <w:r w:rsidRPr="00154367">
              <w:rPr>
                <w:rFonts w:ascii="Times New Roman" w:eastAsia="Times New Roman" w:hAnsi="Times New Roman"/>
                <w:b/>
                <w:bCs/>
                <w:iCs w:val="0"/>
                <w:color w:val="000000"/>
                <w:sz w:val="20"/>
                <w:szCs w:val="22"/>
                <w:lang w:eastAsia="en-GB"/>
              </w:rPr>
              <w:t>28 360</w:t>
            </w:r>
          </w:p>
        </w:tc>
      </w:tr>
    </w:tbl>
    <w:p w:rsidR="00013319" w:rsidRPr="00774A6E" w:rsidP="00774A6E">
      <w:pPr>
        <w:pStyle w:val="Obyajn"/>
        <w:bidi w:val="0"/>
        <w:ind w:firstLine="0"/>
        <w:rPr>
          <w:rFonts w:ascii="Times New Roman" w:hAnsi="Times New Roman"/>
        </w:rPr>
      </w:pPr>
    </w:p>
    <w:p w:rsidR="00013319" w:rsidRPr="00774A6E" w:rsidP="00C44F2B">
      <w:pPr>
        <w:pStyle w:val="Obyajn"/>
        <w:bidi w:val="0"/>
        <w:rPr>
          <w:rFonts w:ascii="Times New Roman" w:hAnsi="Times New Roman"/>
          <w:b/>
        </w:rPr>
      </w:pPr>
      <w:r w:rsidRPr="00774A6E">
        <w:rPr>
          <w:rFonts w:ascii="Times New Roman" w:hAnsi="Times New Roman"/>
          <w:b/>
        </w:rPr>
        <w:t>Výsledky hospodárenia za prvý kvartál 2017</w:t>
      </w:r>
    </w:p>
    <w:p w:rsidR="00013319" w:rsidP="00443245">
      <w:pPr>
        <w:pStyle w:val="Obyajn"/>
        <w:bidi w:val="0"/>
        <w:rPr>
          <w:rFonts w:ascii="Times New Roman" w:hAnsi="Times New Roman"/>
        </w:rPr>
      </w:pPr>
      <w:r w:rsidR="00E10C15">
        <w:rPr>
          <w:rFonts w:ascii="Times New Roman" w:hAnsi="Times New Roman"/>
        </w:rPr>
        <w:t xml:space="preserve">Na základe výsledkov prvého kvartálu 2017 môžeme hodnotiť, že opatrenia opísané v bode 4.2 dokumentu sú efektívne. </w:t>
      </w:r>
      <w:r w:rsidR="00C44F2B">
        <w:rPr>
          <w:rFonts w:ascii="Times New Roman" w:hAnsi="Times New Roman"/>
        </w:rPr>
        <w:t>V</w:t>
      </w:r>
      <w:r w:rsidRPr="00774A6E" w:rsidR="00C44F2B">
        <w:rPr>
          <w:rFonts w:ascii="Times New Roman" w:hAnsi="Times New Roman"/>
        </w:rPr>
        <w:t>ýsledky nemocníc, ktoré majú právnu formu príspevkovej organizácie financovanej zo zdrojov ZP,</w:t>
      </w:r>
      <w:r w:rsidR="00C44F2B">
        <w:rPr>
          <w:rFonts w:ascii="Times New Roman" w:hAnsi="Times New Roman"/>
        </w:rPr>
        <w:t xml:space="preserve"> ktorých zriaďovateľom je MZ SR dosiahli zlepšenie hospodárenia </w:t>
      </w:r>
      <w:r w:rsidRPr="00774A6E" w:rsidR="00C44F2B">
        <w:rPr>
          <w:rFonts w:ascii="Times New Roman" w:hAnsi="Times New Roman"/>
        </w:rPr>
        <w:t>na úrovni 9,588 mil. EUR</w:t>
      </w:r>
      <w:r w:rsidR="00C44F2B">
        <w:rPr>
          <w:rFonts w:ascii="Times New Roman" w:hAnsi="Times New Roman"/>
        </w:rPr>
        <w:t xml:space="preserve"> oproti rovnakému sledovanému obdobiu minulého roka a oproti plánu sú lepšie takmer o 2 mil. EUR</w:t>
      </w:r>
      <w:r w:rsidRPr="00774A6E" w:rsidR="00C44F2B">
        <w:rPr>
          <w:rFonts w:ascii="Times New Roman" w:hAnsi="Times New Roman"/>
        </w:rPr>
        <w:t>.</w:t>
      </w:r>
    </w:p>
    <w:p w:rsidR="006B5CB4" w:rsidRPr="00774A6E" w:rsidP="00443245">
      <w:pPr>
        <w:pStyle w:val="Obyajn"/>
        <w:bidi w:val="0"/>
        <w:rPr>
          <w:rFonts w:ascii="Times New Roman" w:hAnsi="Times New Roman"/>
        </w:rPr>
      </w:pPr>
    </w:p>
    <w:tbl>
      <w:tblPr>
        <w:tblStyle w:val="TableNormal"/>
        <w:tblW w:w="9157" w:type="dxa"/>
        <w:tblLook w:val="0600"/>
      </w:tblPr>
      <w:tblGrid>
        <w:gridCol w:w="1967"/>
        <w:gridCol w:w="1438"/>
        <w:gridCol w:w="1438"/>
        <w:gridCol w:w="1438"/>
        <w:gridCol w:w="1438"/>
        <w:gridCol w:w="1438"/>
      </w:tblGrid>
      <w:tr>
        <w:tblPrEx>
          <w:tblW w:w="9157" w:type="dxa"/>
          <w:tblLook w:val="0600"/>
        </w:tblPrEx>
        <w:trPr>
          <w:trHeight w:val="1024"/>
        </w:trPr>
        <w:tc>
          <w:tcPr>
            <w:tcW w:w="1967" w:type="dxa"/>
            <w:tcBorders>
              <w:top w:val="single" w:sz="8" w:space="0" w:color="auto"/>
              <w:left w:val="single" w:sz="8" w:space="0" w:color="auto"/>
              <w:bottom w:val="nil"/>
              <w:right w:val="single" w:sz="8" w:space="0" w:color="000000"/>
            </w:tcBorders>
            <w:textDirection w:val="lrTb"/>
            <w:vAlign w:val="center"/>
            <w:hideMark/>
          </w:tcPr>
          <w:p w:rsidR="00443245" w:rsidRPr="00774A6E" w:rsidP="006B5CB4">
            <w:pPr>
              <w:bidi w:val="0"/>
              <w:spacing w:after="0" w:line="240" w:lineRule="auto"/>
              <w:ind w:firstLine="0"/>
              <w:jc w:val="left"/>
              <w:rPr>
                <w:rFonts w:ascii="Calibri" w:hAnsi="Calibri"/>
                <w:iCs w:val="0"/>
                <w:color w:val="000000"/>
                <w:szCs w:val="22"/>
                <w:lang w:eastAsia="en-GB"/>
              </w:rPr>
            </w:pPr>
            <w:r w:rsidRPr="00774A6E">
              <w:rPr>
                <w:rFonts w:ascii="Calibri" w:hAnsi="Calibri"/>
                <w:iCs w:val="0"/>
                <w:color w:val="000000"/>
                <w:szCs w:val="22"/>
                <w:lang w:eastAsia="en-GB"/>
              </w:rPr>
              <w:t> </w:t>
            </w:r>
          </w:p>
        </w:tc>
        <w:tc>
          <w:tcPr>
            <w:tcW w:w="1438" w:type="dxa"/>
            <w:tcBorders>
              <w:top w:val="single" w:sz="8" w:space="0" w:color="auto"/>
              <w:left w:val="nil"/>
              <w:bottom w:val="none" w:sz="0" w:space="0" w:color="auto"/>
              <w:right w:val="single" w:sz="4" w:space="0" w:color="auto"/>
            </w:tcBorders>
            <w:noWrap/>
            <w:textDirection w:val="lrTb"/>
            <w:vAlign w:val="center"/>
            <w:hideMark/>
          </w:tcPr>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EBITDA</w:t>
            </w:r>
          </w:p>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Q1 2017</w:t>
            </w:r>
          </w:p>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skutočnosť</w:t>
            </w:r>
          </w:p>
        </w:tc>
        <w:tc>
          <w:tcPr>
            <w:tcW w:w="1438" w:type="dxa"/>
            <w:tcBorders>
              <w:top w:val="single" w:sz="8" w:space="0" w:color="auto"/>
              <w:left w:val="single" w:sz="4" w:space="0" w:color="auto"/>
              <w:bottom w:val="none" w:sz="0" w:space="0" w:color="auto"/>
              <w:right w:val="single" w:sz="4" w:space="0" w:color="auto"/>
            </w:tcBorders>
            <w:noWrap/>
            <w:textDirection w:val="lrTb"/>
            <w:vAlign w:val="center"/>
            <w:hideMark/>
          </w:tcPr>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EBITDA</w:t>
            </w:r>
          </w:p>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Q1 2017</w:t>
            </w:r>
          </w:p>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plán</w:t>
            </w:r>
          </w:p>
        </w:tc>
        <w:tc>
          <w:tcPr>
            <w:tcW w:w="1438" w:type="dxa"/>
            <w:tcBorders>
              <w:top w:val="single" w:sz="8" w:space="0" w:color="auto"/>
              <w:left w:val="single" w:sz="4" w:space="0" w:color="auto"/>
              <w:bottom w:val="none" w:sz="0" w:space="0" w:color="auto"/>
              <w:right w:val="nil"/>
            </w:tcBorders>
            <w:noWrap/>
            <w:textDirection w:val="lrTb"/>
            <w:vAlign w:val="center"/>
            <w:hideMark/>
          </w:tcPr>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EBITDA</w:t>
            </w:r>
          </w:p>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Q1 2016</w:t>
            </w:r>
          </w:p>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skutočnosť</w:t>
            </w:r>
          </w:p>
        </w:tc>
        <w:tc>
          <w:tcPr>
            <w:tcW w:w="1438" w:type="dxa"/>
            <w:tcBorders>
              <w:top w:val="single" w:sz="8" w:space="0" w:color="auto"/>
              <w:left w:val="single" w:sz="8" w:space="0" w:color="000000"/>
              <w:bottom w:val="nil"/>
              <w:right w:val="single" w:sz="8" w:space="0" w:color="000000"/>
            </w:tcBorders>
            <w:textDirection w:val="lrTb"/>
            <w:vAlign w:val="center"/>
            <w:hideMark/>
          </w:tcPr>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rozdiel oproti plánu</w:t>
            </w:r>
          </w:p>
        </w:tc>
        <w:tc>
          <w:tcPr>
            <w:tcW w:w="1438" w:type="dxa"/>
            <w:tcBorders>
              <w:top w:val="single" w:sz="8" w:space="0" w:color="auto"/>
              <w:left w:val="single" w:sz="8" w:space="0" w:color="000000"/>
              <w:bottom w:val="nil"/>
              <w:right w:val="single" w:sz="8" w:space="0" w:color="auto"/>
            </w:tcBorders>
            <w:textDirection w:val="lrTb"/>
            <w:vAlign w:val="center"/>
            <w:hideMark/>
          </w:tcPr>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rozdiel oproti rovnakému obdobiu minulého roka</w:t>
            </w:r>
          </w:p>
        </w:tc>
      </w:tr>
      <w:tr>
        <w:tblPrEx>
          <w:tblW w:w="9157" w:type="dxa"/>
          <w:tblLook w:val="0600"/>
        </w:tblPrEx>
        <w:trPr>
          <w:trHeight w:val="283"/>
        </w:trPr>
        <w:tc>
          <w:tcPr>
            <w:tcW w:w="1967" w:type="dxa"/>
            <w:tcBorders>
              <w:top w:val="single" w:sz="8" w:space="0" w:color="auto"/>
              <w:left w:val="single" w:sz="8" w:space="0" w:color="auto"/>
              <w:bottom w:val="single" w:sz="8" w:space="0" w:color="auto"/>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 </w:t>
            </w:r>
          </w:p>
        </w:tc>
        <w:tc>
          <w:tcPr>
            <w:tcW w:w="1438" w:type="dxa"/>
            <w:tcBorders>
              <w:top w:val="single" w:sz="8" w:space="0" w:color="auto"/>
              <w:left w:val="single" w:sz="8" w:space="0" w:color="auto"/>
              <w:bottom w:val="single" w:sz="8" w:space="0" w:color="auto"/>
              <w:right w:val="single" w:sz="4" w:space="0" w:color="000000"/>
            </w:tcBorders>
            <w:textDirection w:val="lrTb"/>
            <w:vAlign w:val="center"/>
            <w:hideMark/>
          </w:tcPr>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A</w:t>
            </w:r>
          </w:p>
        </w:tc>
        <w:tc>
          <w:tcPr>
            <w:tcW w:w="1438" w:type="dxa"/>
            <w:tcBorders>
              <w:top w:val="single" w:sz="8" w:space="0" w:color="auto"/>
              <w:left w:val="nil"/>
              <w:bottom w:val="single" w:sz="8" w:space="0" w:color="auto"/>
              <w:right w:val="single" w:sz="4" w:space="0" w:color="000000"/>
            </w:tcBorders>
            <w:textDirection w:val="lrTb"/>
            <w:vAlign w:val="center"/>
            <w:hideMark/>
          </w:tcPr>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B</w:t>
            </w:r>
          </w:p>
        </w:tc>
        <w:tc>
          <w:tcPr>
            <w:tcW w:w="1438" w:type="dxa"/>
            <w:tcBorders>
              <w:top w:val="single" w:sz="8" w:space="0" w:color="auto"/>
              <w:left w:val="nil"/>
              <w:bottom w:val="single" w:sz="8" w:space="0" w:color="auto"/>
              <w:right w:val="single" w:sz="8" w:space="0" w:color="auto"/>
            </w:tcBorders>
            <w:textDirection w:val="lrTb"/>
            <w:vAlign w:val="center"/>
            <w:hideMark/>
          </w:tcPr>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C</w:t>
            </w:r>
          </w:p>
        </w:tc>
        <w:tc>
          <w:tcPr>
            <w:tcW w:w="1438" w:type="dxa"/>
            <w:tcBorders>
              <w:top w:val="single" w:sz="8" w:space="0" w:color="auto"/>
              <w:left w:val="nil"/>
              <w:bottom w:val="single" w:sz="8" w:space="0" w:color="auto"/>
              <w:right w:val="nil"/>
            </w:tcBorders>
            <w:textDirection w:val="lrTb"/>
            <w:vAlign w:val="center"/>
            <w:hideMark/>
          </w:tcPr>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A-B</w:t>
            </w:r>
          </w:p>
        </w:tc>
        <w:tc>
          <w:tcPr>
            <w:tcW w:w="1438" w:type="dxa"/>
            <w:tcBorders>
              <w:top w:val="single" w:sz="8" w:space="0" w:color="auto"/>
              <w:left w:val="single" w:sz="8" w:space="0" w:color="auto"/>
              <w:bottom w:val="single" w:sz="8" w:space="0" w:color="auto"/>
              <w:right w:val="single" w:sz="8" w:space="0" w:color="auto"/>
            </w:tcBorders>
            <w:textDirection w:val="lrTb"/>
            <w:vAlign w:val="center"/>
            <w:hideMark/>
          </w:tcPr>
          <w:p w:rsidR="00443245" w:rsidRPr="00774A6E" w:rsidP="006B5CB4">
            <w:pPr>
              <w:bidi w:val="0"/>
              <w:spacing w:after="0" w:line="240" w:lineRule="auto"/>
              <w:ind w:firstLine="0"/>
              <w:jc w:val="center"/>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A-C</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UN Bratislava *</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-8 639</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-7 322</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-12 221</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-1 317</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3 582</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837563">
            <w:pPr>
              <w:bidi w:val="0"/>
              <w:spacing w:after="0" w:line="240" w:lineRule="auto"/>
              <w:ind w:left="284"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Petržalka</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-1 593</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-2 050</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-3 374</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szCs w:val="22"/>
                <w:lang w:eastAsia="sk-SK"/>
              </w:rPr>
              <w:t>457</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1 781</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837563">
            <w:pPr>
              <w:bidi w:val="0"/>
              <w:spacing w:after="0" w:line="240" w:lineRule="auto"/>
              <w:ind w:left="284"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Staré Mesto</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-1 212</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-915</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-1 778</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-297</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566</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837563">
            <w:pPr>
              <w:bidi w:val="0"/>
              <w:spacing w:after="0" w:line="240" w:lineRule="auto"/>
              <w:ind w:left="284"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Ružinov</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-1 958</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-1 563</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-2 554</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-395</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596</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837563">
            <w:pPr>
              <w:bidi w:val="0"/>
              <w:spacing w:after="0" w:line="240" w:lineRule="auto"/>
              <w:ind w:left="284"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Kramáre</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-3 121</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-2 277</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-3 734</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-844</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613</w:t>
            </w:r>
          </w:p>
        </w:tc>
      </w:tr>
      <w:tr>
        <w:tblPrEx>
          <w:tblW w:w="9157" w:type="dxa"/>
          <w:tblLook w:val="0600"/>
        </w:tblPrEx>
        <w:trPr>
          <w:trHeight w:val="283"/>
        </w:trPr>
        <w:tc>
          <w:tcPr>
            <w:tcW w:w="1967" w:type="dxa"/>
            <w:tcBorders>
              <w:top w:val="nil"/>
              <w:left w:val="single" w:sz="8" w:space="0" w:color="auto"/>
              <w:bottom w:val="single" w:sz="12" w:space="0" w:color="000000"/>
              <w:right w:val="nil"/>
            </w:tcBorders>
            <w:textDirection w:val="lrTb"/>
            <w:vAlign w:val="center"/>
            <w:hideMark/>
          </w:tcPr>
          <w:p w:rsidR="00443245" w:rsidRPr="00774A6E" w:rsidP="00837563">
            <w:pPr>
              <w:bidi w:val="0"/>
              <w:spacing w:after="0" w:line="240" w:lineRule="auto"/>
              <w:ind w:left="284"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Podunajské Biskupice</w:t>
            </w:r>
          </w:p>
        </w:tc>
        <w:tc>
          <w:tcPr>
            <w:tcW w:w="1438" w:type="dxa"/>
            <w:tcBorders>
              <w:top w:val="nil"/>
              <w:left w:val="single" w:sz="8" w:space="0" w:color="auto"/>
              <w:bottom w:val="single" w:sz="12"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-755</w:t>
            </w:r>
          </w:p>
        </w:tc>
        <w:tc>
          <w:tcPr>
            <w:tcW w:w="1438" w:type="dxa"/>
            <w:tcBorders>
              <w:top w:val="nil"/>
              <w:left w:val="nil"/>
              <w:bottom w:val="single" w:sz="12"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-517</w:t>
            </w:r>
          </w:p>
        </w:tc>
        <w:tc>
          <w:tcPr>
            <w:tcW w:w="1438" w:type="dxa"/>
            <w:tcBorders>
              <w:top w:val="nil"/>
              <w:left w:val="nil"/>
              <w:bottom w:val="single" w:sz="12"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-781</w:t>
            </w:r>
          </w:p>
        </w:tc>
        <w:tc>
          <w:tcPr>
            <w:tcW w:w="1438" w:type="dxa"/>
            <w:tcBorders>
              <w:top w:val="nil"/>
              <w:left w:val="nil"/>
              <w:bottom w:val="single" w:sz="12"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-238</w:t>
            </w:r>
          </w:p>
        </w:tc>
        <w:tc>
          <w:tcPr>
            <w:tcW w:w="1438" w:type="dxa"/>
            <w:tcBorders>
              <w:top w:val="nil"/>
              <w:left w:val="single" w:sz="8" w:space="0" w:color="auto"/>
              <w:bottom w:val="single" w:sz="12"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26</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UN Martin</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-1 064</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-795</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-927</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-269</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-137</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UN Košice</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-3 319</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-3 970</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-4 622</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szCs w:val="22"/>
                <w:lang w:eastAsia="sk-SK"/>
              </w:rPr>
              <w:t>651</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1 303</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FNsP Nové zámky</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107</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272</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-135</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-165</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242</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FN Trenčín</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-97</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-681</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-1 307</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szCs w:val="22"/>
                <w:lang w:eastAsia="sk-SK"/>
              </w:rPr>
              <w:t>584</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1 210</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 xml:space="preserve">FNsP </w:t>
            </w:r>
            <w:r w:rsidR="00E10C15">
              <w:rPr>
                <w:rFonts w:ascii="Times New Roman" w:eastAsia="Times New Roman" w:hAnsi="Times New Roman"/>
                <w:iCs w:val="0"/>
                <w:color w:val="000000"/>
                <w:szCs w:val="22"/>
                <w:lang w:eastAsia="sk-SK"/>
              </w:rPr>
              <w:t>BB</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-421</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-562</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-1 059</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141</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638</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FNsP Žilina</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-827</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-914</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-1 462</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87</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635</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FNsP Prešov</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-1 815</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-1 980</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-2 660</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165</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845</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FN Nitra</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1 044</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1 343</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1 397</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-299</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837563">
              <w:rPr>
                <w:rFonts w:ascii="Times New Roman" w:eastAsia="Times New Roman" w:hAnsi="Times New Roman"/>
                <w:iCs w:val="0"/>
                <w:color w:val="FF0000"/>
                <w:szCs w:val="22"/>
                <w:lang w:eastAsia="sk-SK"/>
              </w:rPr>
              <w:t>-353</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FN Trnava</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-425</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-658</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-564</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szCs w:val="22"/>
                <w:lang w:eastAsia="sk-SK"/>
              </w:rPr>
              <w:t>233</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139</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DF Košice</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11</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18</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224</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-7</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-213</w:t>
            </w:r>
          </w:p>
        </w:tc>
      </w:tr>
      <w:tr>
        <w:tblPrEx>
          <w:tblW w:w="9157" w:type="dxa"/>
          <w:tblLook w:val="0600"/>
        </w:tblPrEx>
        <w:trPr>
          <w:trHeight w:val="283"/>
        </w:trPr>
        <w:tc>
          <w:tcPr>
            <w:tcW w:w="1967" w:type="dxa"/>
            <w:tcBorders>
              <w:top w:val="nil"/>
              <w:left w:val="single" w:sz="8" w:space="0" w:color="auto"/>
              <w:bottom w:val="single" w:sz="8" w:space="0" w:color="000000"/>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 xml:space="preserve">DFsP </w:t>
            </w:r>
            <w:r w:rsidR="00E10C15">
              <w:rPr>
                <w:rFonts w:ascii="Times New Roman" w:eastAsia="Times New Roman" w:hAnsi="Times New Roman"/>
                <w:iCs w:val="0"/>
                <w:color w:val="000000"/>
                <w:szCs w:val="22"/>
                <w:lang w:eastAsia="sk-SK"/>
              </w:rPr>
              <w:t>BB</w:t>
            </w:r>
          </w:p>
        </w:tc>
        <w:tc>
          <w:tcPr>
            <w:tcW w:w="1438" w:type="dxa"/>
            <w:tcBorders>
              <w:top w:val="nil"/>
              <w:left w:val="single" w:sz="8" w:space="0" w:color="auto"/>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-91</w:t>
            </w:r>
          </w:p>
        </w:tc>
        <w:tc>
          <w:tcPr>
            <w:tcW w:w="1438" w:type="dxa"/>
            <w:tcBorders>
              <w:top w:val="nil"/>
              <w:left w:val="nil"/>
              <w:bottom w:val="single" w:sz="8" w:space="0" w:color="000000"/>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37</w:t>
            </w:r>
          </w:p>
        </w:tc>
        <w:tc>
          <w:tcPr>
            <w:tcW w:w="1438" w:type="dxa"/>
            <w:tcBorders>
              <w:top w:val="nil"/>
              <w:left w:val="nil"/>
              <w:bottom w:val="single" w:sz="8" w:space="0" w:color="000000"/>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sk-SK"/>
              </w:rPr>
              <w:t>162</w:t>
            </w:r>
          </w:p>
        </w:tc>
        <w:tc>
          <w:tcPr>
            <w:tcW w:w="1438" w:type="dxa"/>
            <w:tcBorders>
              <w:top w:val="nil"/>
              <w:left w:val="nil"/>
              <w:bottom w:val="single" w:sz="8" w:space="0" w:color="000000"/>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-128</w:t>
            </w:r>
          </w:p>
        </w:tc>
        <w:tc>
          <w:tcPr>
            <w:tcW w:w="1438" w:type="dxa"/>
            <w:tcBorders>
              <w:top w:val="nil"/>
              <w:left w:val="single" w:sz="8" w:space="0" w:color="auto"/>
              <w:bottom w:val="single" w:sz="8" w:space="0" w:color="000000"/>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-253</w:t>
            </w:r>
          </w:p>
        </w:tc>
      </w:tr>
      <w:tr>
        <w:tblPrEx>
          <w:tblW w:w="9157" w:type="dxa"/>
          <w:tblLook w:val="0600"/>
        </w:tblPrEx>
        <w:trPr>
          <w:trHeight w:val="283"/>
        </w:trPr>
        <w:tc>
          <w:tcPr>
            <w:tcW w:w="1967" w:type="dxa"/>
            <w:tcBorders>
              <w:top w:val="nil"/>
              <w:left w:val="single" w:sz="8" w:space="0" w:color="auto"/>
              <w:bottom w:val="double" w:sz="6" w:space="0" w:color="auto"/>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DFsP Bratislava</w:t>
            </w:r>
          </w:p>
        </w:tc>
        <w:tc>
          <w:tcPr>
            <w:tcW w:w="1438" w:type="dxa"/>
            <w:tcBorders>
              <w:top w:val="nil"/>
              <w:left w:val="single" w:sz="8" w:space="0" w:color="auto"/>
              <w:bottom w:val="double" w:sz="6" w:space="0" w:color="auto"/>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-1 625</w:t>
            </w:r>
          </w:p>
        </w:tc>
        <w:tc>
          <w:tcPr>
            <w:tcW w:w="1438" w:type="dxa"/>
            <w:tcBorders>
              <w:top w:val="nil"/>
              <w:left w:val="nil"/>
              <w:bottom w:val="double" w:sz="6" w:space="0" w:color="auto"/>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-1 589</w:t>
            </w:r>
          </w:p>
        </w:tc>
        <w:tc>
          <w:tcPr>
            <w:tcW w:w="1438" w:type="dxa"/>
            <w:tcBorders>
              <w:top w:val="nil"/>
              <w:left w:val="nil"/>
              <w:bottom w:val="double" w:sz="6" w:space="0" w:color="auto"/>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-1 308</w:t>
            </w:r>
          </w:p>
        </w:tc>
        <w:tc>
          <w:tcPr>
            <w:tcW w:w="1438" w:type="dxa"/>
            <w:tcBorders>
              <w:top w:val="nil"/>
              <w:left w:val="nil"/>
              <w:bottom w:val="double" w:sz="6" w:space="0" w:color="auto"/>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-36</w:t>
            </w:r>
          </w:p>
        </w:tc>
        <w:tc>
          <w:tcPr>
            <w:tcW w:w="1438" w:type="dxa"/>
            <w:tcBorders>
              <w:top w:val="nil"/>
              <w:left w:val="single" w:sz="8" w:space="0" w:color="auto"/>
              <w:bottom w:val="double" w:sz="6" w:space="0" w:color="auto"/>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-317</w:t>
            </w:r>
          </w:p>
        </w:tc>
      </w:tr>
      <w:tr>
        <w:tblPrEx>
          <w:tblW w:w="9157" w:type="dxa"/>
          <w:tblLook w:val="0600"/>
        </w:tblPrEx>
        <w:trPr>
          <w:trHeight w:val="283"/>
        </w:trPr>
        <w:tc>
          <w:tcPr>
            <w:tcW w:w="1967" w:type="dxa"/>
            <w:tcBorders>
              <w:top w:val="nil"/>
              <w:left w:val="single" w:sz="8" w:space="0" w:color="auto"/>
              <w:bottom w:val="single" w:sz="8" w:space="0" w:color="auto"/>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Spolu</w:t>
            </w:r>
          </w:p>
        </w:tc>
        <w:tc>
          <w:tcPr>
            <w:tcW w:w="1438" w:type="dxa"/>
            <w:tcBorders>
              <w:top w:val="nil"/>
              <w:left w:val="single" w:sz="8" w:space="0" w:color="auto"/>
              <w:bottom w:val="single" w:sz="8" w:space="0" w:color="auto"/>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-17 161</w:t>
            </w:r>
          </w:p>
        </w:tc>
        <w:tc>
          <w:tcPr>
            <w:tcW w:w="1438" w:type="dxa"/>
            <w:tcBorders>
              <w:top w:val="nil"/>
              <w:left w:val="nil"/>
              <w:bottom w:val="single" w:sz="8" w:space="0" w:color="auto"/>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-16 801</w:t>
            </w:r>
          </w:p>
        </w:tc>
        <w:tc>
          <w:tcPr>
            <w:tcW w:w="1438" w:type="dxa"/>
            <w:tcBorders>
              <w:top w:val="nil"/>
              <w:left w:val="nil"/>
              <w:bottom w:val="single" w:sz="8" w:space="0" w:color="auto"/>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-24 482</w:t>
            </w:r>
          </w:p>
        </w:tc>
        <w:tc>
          <w:tcPr>
            <w:tcW w:w="1438" w:type="dxa"/>
            <w:tcBorders>
              <w:top w:val="nil"/>
              <w:left w:val="nil"/>
              <w:bottom w:val="single" w:sz="8" w:space="0" w:color="auto"/>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sk-SK"/>
              </w:rPr>
              <w:t>-360</w:t>
            </w:r>
          </w:p>
        </w:tc>
        <w:tc>
          <w:tcPr>
            <w:tcW w:w="1438" w:type="dxa"/>
            <w:tcBorders>
              <w:top w:val="nil"/>
              <w:left w:val="single" w:sz="8" w:space="0" w:color="auto"/>
              <w:bottom w:val="single" w:sz="8" w:space="0" w:color="auto"/>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7 321</w:t>
            </w:r>
          </w:p>
        </w:tc>
      </w:tr>
      <w:tr>
        <w:tblPrEx>
          <w:tblW w:w="9157" w:type="dxa"/>
          <w:tblLook w:val="0600"/>
        </w:tblPrEx>
        <w:trPr>
          <w:trHeight w:val="283"/>
        </w:trPr>
        <w:tc>
          <w:tcPr>
            <w:tcW w:w="1967" w:type="dxa"/>
            <w:tcBorders>
              <w:top w:val="nil"/>
              <w:left w:val="single" w:sz="8" w:space="0" w:color="auto"/>
              <w:bottom w:val="double" w:sz="6" w:space="0" w:color="auto"/>
              <w:right w:val="nil"/>
            </w:tcBorders>
            <w:textDirection w:val="lrTb"/>
            <w:vAlign w:val="center"/>
            <w:hideMark/>
          </w:tcPr>
          <w:p w:rsidR="00443245" w:rsidRPr="00774A6E" w:rsidP="00C44F2B">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Ostatné</w:t>
            </w:r>
            <w:r w:rsidR="00C44F2B">
              <w:rPr>
                <w:rFonts w:ascii="Times New Roman" w:eastAsia="Times New Roman" w:hAnsi="Times New Roman"/>
                <w:iCs w:val="0"/>
                <w:color w:val="000000"/>
                <w:szCs w:val="22"/>
                <w:lang w:eastAsia="sk-SK"/>
              </w:rPr>
              <w:t xml:space="preserve"> nemocnice MZ SR (p.o.)</w:t>
            </w:r>
          </w:p>
        </w:tc>
        <w:tc>
          <w:tcPr>
            <w:tcW w:w="1438" w:type="dxa"/>
            <w:tcBorders>
              <w:top w:val="nil"/>
              <w:left w:val="single" w:sz="8" w:space="0" w:color="auto"/>
              <w:bottom w:val="double" w:sz="6" w:space="0" w:color="auto"/>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en-GB"/>
              </w:rPr>
              <w:t>4 396</w:t>
            </w:r>
          </w:p>
        </w:tc>
        <w:tc>
          <w:tcPr>
            <w:tcW w:w="1438" w:type="dxa"/>
            <w:tcBorders>
              <w:top w:val="nil"/>
              <w:left w:val="nil"/>
              <w:bottom w:val="double" w:sz="6" w:space="0" w:color="auto"/>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en-GB"/>
              </w:rPr>
              <w:t>2 065</w:t>
            </w:r>
          </w:p>
        </w:tc>
        <w:tc>
          <w:tcPr>
            <w:tcW w:w="1438" w:type="dxa"/>
            <w:tcBorders>
              <w:top w:val="nil"/>
              <w:left w:val="nil"/>
              <w:bottom w:val="double" w:sz="6" w:space="0" w:color="auto"/>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en-GB"/>
              </w:rPr>
              <w:t>2 129</w:t>
            </w:r>
          </w:p>
        </w:tc>
        <w:tc>
          <w:tcPr>
            <w:tcW w:w="1438" w:type="dxa"/>
            <w:tcBorders>
              <w:top w:val="nil"/>
              <w:left w:val="nil"/>
              <w:bottom w:val="double" w:sz="6" w:space="0" w:color="auto"/>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szCs w:val="22"/>
                <w:lang w:eastAsia="en-GB"/>
              </w:rPr>
            </w:pPr>
            <w:r w:rsidRPr="00837563">
              <w:rPr>
                <w:rFonts w:ascii="Times New Roman" w:eastAsia="Times New Roman" w:hAnsi="Times New Roman"/>
                <w:iCs w:val="0"/>
                <w:szCs w:val="22"/>
                <w:lang w:eastAsia="en-GB"/>
              </w:rPr>
              <w:t>2 331</w:t>
            </w:r>
          </w:p>
        </w:tc>
        <w:tc>
          <w:tcPr>
            <w:tcW w:w="1438" w:type="dxa"/>
            <w:tcBorders>
              <w:top w:val="nil"/>
              <w:left w:val="single" w:sz="8" w:space="0" w:color="auto"/>
              <w:bottom w:val="double" w:sz="6" w:space="0" w:color="auto"/>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en-GB"/>
              </w:rPr>
              <w:t>2 267</w:t>
            </w:r>
          </w:p>
        </w:tc>
      </w:tr>
      <w:tr>
        <w:tblPrEx>
          <w:tblW w:w="9157" w:type="dxa"/>
          <w:tblLook w:val="0600"/>
        </w:tblPrEx>
        <w:trPr>
          <w:trHeight w:val="283"/>
        </w:trPr>
        <w:tc>
          <w:tcPr>
            <w:tcW w:w="1967" w:type="dxa"/>
            <w:tcBorders>
              <w:top w:val="nil"/>
              <w:left w:val="single" w:sz="8" w:space="0" w:color="auto"/>
              <w:bottom w:val="single" w:sz="8" w:space="0" w:color="auto"/>
              <w:right w:val="nil"/>
            </w:tcBorders>
            <w:textDirection w:val="lrTb"/>
            <w:vAlign w:val="center"/>
            <w:hideMark/>
          </w:tcPr>
          <w:p w:rsidR="00443245" w:rsidRPr="00774A6E" w:rsidP="006B5CB4">
            <w:pPr>
              <w:bidi w:val="0"/>
              <w:spacing w:after="0" w:line="240" w:lineRule="auto"/>
              <w:ind w:firstLine="0"/>
              <w:jc w:val="lef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sk-SK"/>
              </w:rPr>
              <w:t>Celkom</w:t>
            </w:r>
          </w:p>
        </w:tc>
        <w:tc>
          <w:tcPr>
            <w:tcW w:w="1438" w:type="dxa"/>
            <w:tcBorders>
              <w:top w:val="single" w:sz="8" w:space="0" w:color="auto"/>
              <w:left w:val="single" w:sz="8" w:space="0" w:color="auto"/>
              <w:bottom w:val="single" w:sz="8" w:space="0" w:color="auto"/>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en-GB"/>
              </w:rPr>
              <w:t>-12 765</w:t>
            </w:r>
          </w:p>
        </w:tc>
        <w:tc>
          <w:tcPr>
            <w:tcW w:w="1438" w:type="dxa"/>
            <w:tcBorders>
              <w:top w:val="single" w:sz="8" w:space="0" w:color="auto"/>
              <w:left w:val="nil"/>
              <w:bottom w:val="single" w:sz="8" w:space="0" w:color="auto"/>
              <w:right w:val="single" w:sz="4" w:space="0" w:color="000000"/>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en-GB"/>
              </w:rPr>
              <w:t>-14 736</w:t>
            </w:r>
          </w:p>
        </w:tc>
        <w:tc>
          <w:tcPr>
            <w:tcW w:w="1438" w:type="dxa"/>
            <w:tcBorders>
              <w:top w:val="single" w:sz="8" w:space="0" w:color="auto"/>
              <w:left w:val="nil"/>
              <w:bottom w:val="single" w:sz="8" w:space="0" w:color="auto"/>
              <w:right w:val="single" w:sz="8" w:space="0" w:color="auto"/>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color w:val="FF0000"/>
                <w:szCs w:val="22"/>
                <w:lang w:eastAsia="en-GB"/>
              </w:rPr>
              <w:t>-22 353</w:t>
            </w:r>
          </w:p>
        </w:tc>
        <w:tc>
          <w:tcPr>
            <w:tcW w:w="1438" w:type="dxa"/>
            <w:tcBorders>
              <w:top w:val="nil"/>
              <w:left w:val="nil"/>
              <w:bottom w:val="single" w:sz="8" w:space="0" w:color="auto"/>
              <w:right w:val="nil"/>
            </w:tcBorders>
            <w:textDirection w:val="lrTb"/>
            <w:vAlign w:val="center"/>
            <w:hideMark/>
          </w:tcPr>
          <w:p w:rsidR="00443245" w:rsidRPr="00837563" w:rsidP="006B5CB4">
            <w:pPr>
              <w:bidi w:val="0"/>
              <w:spacing w:after="0" w:line="240" w:lineRule="auto"/>
              <w:ind w:firstLine="220" w:firstLineChars="100"/>
              <w:jc w:val="right"/>
              <w:rPr>
                <w:rFonts w:ascii="Times New Roman" w:eastAsia="Times New Roman" w:hAnsi="Times New Roman"/>
                <w:iCs w:val="0"/>
                <w:color w:val="FF0000"/>
                <w:szCs w:val="22"/>
                <w:lang w:eastAsia="en-GB"/>
              </w:rPr>
            </w:pPr>
            <w:r w:rsidRPr="00837563">
              <w:rPr>
                <w:rFonts w:ascii="Times New Roman" w:eastAsia="Times New Roman" w:hAnsi="Times New Roman"/>
                <w:iCs w:val="0"/>
                <w:szCs w:val="22"/>
                <w:lang w:eastAsia="en-GB"/>
              </w:rPr>
              <w:t>1 971</w:t>
            </w:r>
          </w:p>
        </w:tc>
        <w:tc>
          <w:tcPr>
            <w:tcW w:w="1438" w:type="dxa"/>
            <w:tcBorders>
              <w:top w:val="nil"/>
              <w:left w:val="single" w:sz="8" w:space="0" w:color="auto"/>
              <w:bottom w:val="single" w:sz="8" w:space="0" w:color="auto"/>
              <w:right w:val="single" w:sz="8" w:space="0" w:color="auto"/>
            </w:tcBorders>
            <w:textDirection w:val="lrTb"/>
            <w:vAlign w:val="center"/>
            <w:hideMark/>
          </w:tcPr>
          <w:p w:rsidR="00443245" w:rsidRPr="00774A6E" w:rsidP="006B5CB4">
            <w:pPr>
              <w:bidi w:val="0"/>
              <w:spacing w:after="0" w:line="240" w:lineRule="auto"/>
              <w:ind w:firstLine="220" w:firstLineChars="100"/>
              <w:jc w:val="right"/>
              <w:rPr>
                <w:rFonts w:ascii="Times New Roman" w:eastAsia="Times New Roman" w:hAnsi="Times New Roman"/>
                <w:iCs w:val="0"/>
                <w:color w:val="000000"/>
                <w:szCs w:val="22"/>
                <w:lang w:eastAsia="en-GB"/>
              </w:rPr>
            </w:pPr>
            <w:r w:rsidRPr="00774A6E">
              <w:rPr>
                <w:rFonts w:ascii="Times New Roman" w:eastAsia="Times New Roman" w:hAnsi="Times New Roman"/>
                <w:iCs w:val="0"/>
                <w:color w:val="000000"/>
                <w:szCs w:val="22"/>
                <w:lang w:eastAsia="en-GB"/>
              </w:rPr>
              <w:t>9 588</w:t>
            </w:r>
          </w:p>
        </w:tc>
      </w:tr>
    </w:tbl>
    <w:p w:rsidR="00443245" w:rsidRPr="00774A6E" w:rsidP="00443245">
      <w:pPr>
        <w:pStyle w:val="Obyajn"/>
        <w:bidi w:val="0"/>
        <w:ind w:firstLine="0"/>
        <w:rPr>
          <w:rFonts w:ascii="Times New Roman" w:hAnsi="Times New Roman"/>
        </w:rPr>
      </w:pPr>
    </w:p>
    <w:p w:rsidR="00013319" w:rsidRPr="00774A6E">
      <w:pPr>
        <w:pStyle w:val="Obyajn"/>
        <w:bidi w:val="0"/>
        <w:rPr>
          <w:rFonts w:ascii="Times New Roman" w:hAnsi="Times New Roman"/>
        </w:rPr>
      </w:pPr>
      <w:r w:rsidRPr="00774A6E">
        <w:rPr>
          <w:rFonts w:ascii="Times New Roman" w:hAnsi="Times New Roman"/>
        </w:rPr>
        <w:t>Toto zlepšenie hospodárenia je spôsobené najmä:</w:t>
      </w:r>
    </w:p>
    <w:p w:rsidR="00013319" w:rsidRPr="00C44F2B" w:rsidP="00154367">
      <w:pPr>
        <w:pStyle w:val="Obyajn"/>
        <w:numPr>
          <w:numId w:val="29"/>
        </w:numPr>
        <w:bidi w:val="0"/>
        <w:rPr>
          <w:rFonts w:ascii="Times New Roman" w:hAnsi="Times New Roman"/>
          <w:u w:val="single"/>
        </w:rPr>
      </w:pPr>
      <w:r w:rsidR="00E10C15">
        <w:rPr>
          <w:rFonts w:ascii="Times New Roman" w:hAnsi="Times New Roman"/>
          <w:u w:val="single"/>
        </w:rPr>
        <w:t>Zefektívnením nákladovej stránky nemocníc:</w:t>
      </w:r>
    </w:p>
    <w:p w:rsidR="00013319" w:rsidRPr="00774A6E" w:rsidP="00CF2104">
      <w:pPr>
        <w:pStyle w:val="Obyajn"/>
        <w:numPr>
          <w:numId w:val="9"/>
        </w:numPr>
        <w:bidi w:val="0"/>
        <w:rPr>
          <w:rFonts w:ascii="Times New Roman" w:hAnsi="Times New Roman"/>
        </w:rPr>
      </w:pPr>
      <w:r w:rsidRPr="00774A6E">
        <w:rPr>
          <w:rFonts w:ascii="Times New Roman" w:hAnsi="Times New Roman"/>
        </w:rPr>
        <w:t>Zastavenie tempa nárastu osobných nákladov z 11,3 mil. EUR (2015/16) na 4,1 mil. EUR (2016/17)</w:t>
      </w:r>
    </w:p>
    <w:p w:rsidR="00013319" w:rsidRPr="00774A6E" w:rsidP="00CF2104">
      <w:pPr>
        <w:pStyle w:val="Obyajn"/>
        <w:numPr>
          <w:numId w:val="9"/>
        </w:numPr>
        <w:bidi w:val="0"/>
        <w:rPr>
          <w:rFonts w:ascii="Times New Roman" w:hAnsi="Times New Roman"/>
        </w:rPr>
      </w:pPr>
      <w:r w:rsidRPr="00774A6E">
        <w:rPr>
          <w:rFonts w:ascii="Times New Roman" w:hAnsi="Times New Roman"/>
        </w:rPr>
        <w:t>Zastavenie tempa nárastu nákladov na lieky z 5,3 mil. EUR (2015/16) na 3,3 mil. EUR (2016/17)</w:t>
      </w:r>
    </w:p>
    <w:p w:rsidR="00013319" w:rsidRPr="00774A6E" w:rsidP="00CF2104">
      <w:pPr>
        <w:pStyle w:val="Obyajn"/>
        <w:numPr>
          <w:numId w:val="9"/>
        </w:numPr>
        <w:bidi w:val="0"/>
        <w:rPr>
          <w:rFonts w:ascii="Times New Roman" w:hAnsi="Times New Roman"/>
        </w:rPr>
      </w:pPr>
      <w:r w:rsidRPr="00774A6E">
        <w:rPr>
          <w:rFonts w:ascii="Times New Roman" w:hAnsi="Times New Roman"/>
        </w:rPr>
        <w:t>Zastavenie rastu nákladov na ŠZM, došlo dokonca k poklesu o 1,1 mil. EUR (2016/17)</w:t>
      </w:r>
    </w:p>
    <w:p w:rsidR="00013319" w:rsidRPr="00774A6E" w:rsidP="00CF2104">
      <w:pPr>
        <w:pStyle w:val="Obyajn"/>
        <w:numPr>
          <w:numId w:val="9"/>
        </w:numPr>
        <w:bidi w:val="0"/>
        <w:rPr>
          <w:rFonts w:ascii="Times New Roman" w:hAnsi="Times New Roman"/>
        </w:rPr>
      </w:pPr>
      <w:r w:rsidRPr="00774A6E">
        <w:rPr>
          <w:rFonts w:ascii="Times New Roman" w:hAnsi="Times New Roman"/>
        </w:rPr>
        <w:t>Zastavenie rastu nákladov na opravy a údržbu, došlo dokonca k poklesu o 3,7 mil. EUR (2016/17)</w:t>
      </w:r>
    </w:p>
    <w:p w:rsidR="00013319" w:rsidRPr="00774A6E" w:rsidP="00CF2104">
      <w:pPr>
        <w:pStyle w:val="Obyajn"/>
        <w:numPr>
          <w:numId w:val="9"/>
        </w:numPr>
        <w:bidi w:val="0"/>
        <w:rPr>
          <w:rFonts w:ascii="Times New Roman" w:hAnsi="Times New Roman"/>
        </w:rPr>
      </w:pPr>
      <w:r w:rsidRPr="00774A6E">
        <w:rPr>
          <w:rFonts w:ascii="Times New Roman" w:hAnsi="Times New Roman"/>
        </w:rPr>
        <w:t>Zrýchlenie tempa poklesu nákladov na energie z 0,3 mil. EUR (2015/2016) na 0,7 mil. EUR (2016/17)</w:t>
      </w:r>
    </w:p>
    <w:p w:rsidR="00013319" w:rsidRPr="00774A6E" w:rsidP="00CF2104">
      <w:pPr>
        <w:pStyle w:val="Obyajn"/>
        <w:numPr>
          <w:numId w:val="9"/>
        </w:numPr>
        <w:bidi w:val="0"/>
        <w:rPr>
          <w:rFonts w:ascii="Times New Roman" w:hAnsi="Times New Roman"/>
        </w:rPr>
      </w:pPr>
      <w:r w:rsidRPr="00774A6E">
        <w:rPr>
          <w:rFonts w:ascii="Times New Roman" w:hAnsi="Times New Roman"/>
        </w:rPr>
        <w:t>Celkovo sa náklady zvýšili z 258,4 mil. EUR na 258,7 mil. EUR</w:t>
      </w:r>
    </w:p>
    <w:p w:rsidR="00013319" w:rsidRPr="00774A6E" w:rsidP="00CF2104">
      <w:pPr>
        <w:pStyle w:val="Obyajn"/>
        <w:numPr>
          <w:numId w:val="9"/>
        </w:numPr>
        <w:bidi w:val="0"/>
        <w:rPr>
          <w:rFonts w:ascii="Times New Roman" w:hAnsi="Times New Roman"/>
        </w:rPr>
      </w:pPr>
      <w:r w:rsidRPr="00774A6E">
        <w:rPr>
          <w:rFonts w:ascii="Times New Roman" w:hAnsi="Times New Roman"/>
        </w:rPr>
        <w:t>Celkovo sa teda poradilo zastaviť rast nákladov, kedy sa tempo rastu spomalilo z 23 mil. EUR (2015/2016) na 0,3 mil. EUR (2016/17)</w:t>
      </w:r>
    </w:p>
    <w:p w:rsidR="00013319" w:rsidRPr="00774A6E" w:rsidP="00EF537B">
      <w:pPr>
        <w:pStyle w:val="Obyajn"/>
        <w:bidi w:val="0"/>
        <w:rPr>
          <w:rFonts w:ascii="Times New Roman" w:hAnsi="Times New Roman"/>
        </w:rPr>
      </w:pPr>
    </w:p>
    <w:p w:rsidR="00013319" w:rsidRPr="00C44F2B" w:rsidP="00154367">
      <w:pPr>
        <w:pStyle w:val="Obyajn"/>
        <w:numPr>
          <w:numId w:val="29"/>
        </w:numPr>
        <w:bidi w:val="0"/>
        <w:rPr>
          <w:rFonts w:ascii="Times New Roman" w:hAnsi="Times New Roman"/>
          <w:u w:val="single"/>
        </w:rPr>
      </w:pPr>
      <w:r w:rsidR="00E10C15">
        <w:rPr>
          <w:rFonts w:ascii="Times New Roman" w:hAnsi="Times New Roman"/>
          <w:u w:val="single"/>
        </w:rPr>
        <w:t xml:space="preserve">Optimalizáciou výnosov: </w:t>
      </w:r>
    </w:p>
    <w:p w:rsidR="00013319" w:rsidRPr="00774A6E" w:rsidP="00CF2104">
      <w:pPr>
        <w:pStyle w:val="Obyajn"/>
        <w:numPr>
          <w:numId w:val="10"/>
        </w:numPr>
        <w:bidi w:val="0"/>
        <w:rPr>
          <w:rFonts w:ascii="Times New Roman" w:hAnsi="Times New Roman"/>
        </w:rPr>
      </w:pPr>
      <w:r w:rsidRPr="00774A6E">
        <w:rPr>
          <w:rFonts w:ascii="Times New Roman" w:hAnsi="Times New Roman"/>
        </w:rPr>
        <w:t>Výsledky sa podarilo dosiahnuť napriek spomaleniu tempa rastu výnosov zo ZP z 13,9 mil. EUR (2015/2016) na 7 mil. EUR (2016/17)</w:t>
      </w:r>
    </w:p>
    <w:p w:rsidR="005E46CD" w:rsidRPr="00774A6E" w:rsidP="00CF2104">
      <w:pPr>
        <w:pStyle w:val="Obyajn"/>
        <w:numPr>
          <w:numId w:val="10"/>
        </w:numPr>
        <w:bidi w:val="0"/>
        <w:rPr>
          <w:rFonts w:ascii="Times New Roman" w:hAnsi="Times New Roman"/>
        </w:rPr>
      </w:pPr>
      <w:r w:rsidRPr="00774A6E" w:rsidR="00013319">
        <w:rPr>
          <w:rFonts w:ascii="Times New Roman" w:hAnsi="Times New Roman"/>
        </w:rPr>
        <w:t>Celkovo sa výnosy zvýšili z 235,5 mil. EUR na 245,4 mil. EUR, teda o 9,9 mil. EUR</w:t>
      </w:r>
    </w:p>
    <w:p w:rsidR="00251D02" w:rsidP="003A6347">
      <w:pPr>
        <w:bidi w:val="0"/>
        <w:ind w:firstLine="0"/>
        <w:rPr>
          <w:rFonts w:ascii="Times New Roman" w:hAnsi="Times New Roman"/>
        </w:rPr>
      </w:pPr>
    </w:p>
    <w:p w:rsidR="00BE10E3" w:rsidP="003A6347">
      <w:pPr>
        <w:bidi w:val="0"/>
        <w:ind w:firstLine="0"/>
        <w:rPr>
          <w:rFonts w:ascii="Times New Roman" w:hAnsi="Times New Roman"/>
        </w:rPr>
      </w:pPr>
    </w:p>
    <w:p w:rsidR="00BE10E3" w:rsidP="003A6347">
      <w:pPr>
        <w:bidi w:val="0"/>
        <w:ind w:firstLine="0"/>
        <w:rPr>
          <w:rFonts w:ascii="Times New Roman" w:hAnsi="Times New Roman"/>
        </w:rPr>
      </w:pPr>
      <w:r w:rsidR="00921DFA">
        <w:rPr>
          <w:rFonts w:ascii="Times New Roman" w:hAnsi="Times New Roman"/>
        </w:rPr>
        <w:t>Na základe plnenia vyššie uvedených opatrení a so zreteľom odhadovaného vývoja financovania sektora očakávame, že čistá negatívna EBITDA fakultných a univerzitných nemocníc poklesne na nulu na prelome rokov 2020 / 2021, ako ilustruje nasledovný diagram</w:t>
      </w:r>
      <w:r>
        <w:rPr>
          <w:rStyle w:val="FootnoteReference"/>
          <w:rFonts w:ascii="Times New Roman" w:hAnsi="Times New Roman"/>
          <w:rtl w:val="0"/>
        </w:rPr>
        <w:footnoteReference w:id="7"/>
      </w:r>
      <w:r w:rsidR="00921DFA">
        <w:rPr>
          <w:rFonts w:ascii="Times New Roman" w:hAnsi="Times New Roman"/>
        </w:rPr>
        <w:t>:</w:t>
      </w:r>
    </w:p>
    <w:p w:rsidR="00BE10E3" w:rsidP="003A6347">
      <w:pPr>
        <w:bidi w:val="0"/>
        <w:ind w:firstLine="0"/>
        <w:rPr>
          <w:rFonts w:ascii="Times New Roman" w:hAnsi="Times New Roman"/>
        </w:rPr>
      </w:pPr>
    </w:p>
    <w:p w:rsidR="00BE10E3" w:rsidP="006F6E8E">
      <w:pPr>
        <w:bidi w:val="0"/>
        <w:ind w:firstLine="0"/>
        <w:jc w:val="center"/>
        <w:rPr>
          <w:rFonts w:ascii="Times New Roman" w:hAnsi="Times New Roman"/>
        </w:rPr>
      </w:pPr>
      <w:r>
        <w:rPr>
          <w:rFonts w:ascii="Times New Roman" w:hAnsi="Times New Roman"/>
          <w:noProof/>
          <w:rtl w:val="0"/>
          <w:lang w:val="en-US"/>
        </w:rPr>
        <w:pict>
          <v:shape id="Graf 1" o:spid="_x0000_i1027" type="#_x0000_t75" style="width:440.85pt;height:252pt;visibility:visible" stroked="f">
            <v:imagedata r:id="rId11" o:title="" cropright="-22f"/>
            <o:lock v:ext="edit" aspectratio="f"/>
          </v:shape>
        </w:pict>
      </w:r>
    </w:p>
    <w:p w:rsidR="006F6E8E" w:rsidP="006F6E8E">
      <w:pPr>
        <w:bidi w:val="0"/>
        <w:ind w:firstLine="0"/>
        <w:jc w:val="center"/>
        <w:rPr>
          <w:rFonts w:ascii="Times New Roman" w:hAnsi="Times New Roman"/>
        </w:rPr>
      </w:pPr>
    </w:p>
    <w:p w:rsidR="00BE10E3" w:rsidP="003A6347">
      <w:pPr>
        <w:bidi w:val="0"/>
        <w:ind w:firstLine="0"/>
        <w:rPr>
          <w:rFonts w:ascii="Times New Roman" w:hAnsi="Times New Roman"/>
        </w:rPr>
      </w:pPr>
    </w:p>
    <w:p w:rsidR="003A6347" w:rsidP="003A6347">
      <w:pPr>
        <w:pStyle w:val="Heading2"/>
        <w:bidi w:val="0"/>
        <w:rPr>
          <w:rFonts w:hint="default"/>
        </w:rPr>
      </w:pPr>
      <w:r>
        <w:rPr>
          <w:rFonts w:hint="default"/>
        </w:rPr>
        <w:t>Finanč</w:t>
      </w:r>
      <w:r>
        <w:rPr>
          <w:rFonts w:hint="default"/>
        </w:rPr>
        <w:t>ná</w:t>
      </w:r>
      <w:r>
        <w:rPr>
          <w:rFonts w:hint="default"/>
        </w:rPr>
        <w:t xml:space="preserve"> podpora systé</w:t>
      </w:r>
      <w:r>
        <w:rPr>
          <w:rFonts w:hint="default"/>
        </w:rPr>
        <w:t>mový</w:t>
      </w:r>
      <w:r>
        <w:rPr>
          <w:rFonts w:hint="default"/>
        </w:rPr>
        <w:t>ch opatrení</w:t>
      </w:r>
      <w:r>
        <w:rPr>
          <w:rFonts w:hint="default"/>
        </w:rPr>
        <w:t xml:space="preserve"> realizovaný</w:t>
      </w:r>
      <w:r>
        <w:rPr>
          <w:rFonts w:hint="default"/>
        </w:rPr>
        <w:t xml:space="preserve">ch v nemocniciach </w:t>
      </w:r>
    </w:p>
    <w:p w:rsidR="003A6347" w:rsidP="003A6347">
      <w:pPr>
        <w:bidi w:val="0"/>
        <w:rPr>
          <w:rFonts w:ascii="Times New Roman" w:hAnsi="Times New Roman"/>
        </w:rPr>
      </w:pPr>
    </w:p>
    <w:p w:rsidR="003A6347" w:rsidP="006F6E8E">
      <w:pPr>
        <w:bidi w:val="0"/>
        <w:rPr>
          <w:rFonts w:ascii="Times New Roman" w:hAnsi="Times New Roman"/>
        </w:rPr>
      </w:pPr>
      <w:r>
        <w:rPr>
          <w:rFonts w:ascii="Times New Roman" w:hAnsi="Times New Roman"/>
        </w:rPr>
        <w:t xml:space="preserve">Riešenie situácie v oblasti finančnej stabilizácie nemocníc spočíva v realizovaní úsporných opatrení, zvýšením ich efektivity, ako aj ich dofinancovania. Nemocnice však v súčasnosti nie sú schopné ani pri zlepšovaní svojho hospodárenia vygenerovať dostatočné zdroje na úhradu svojich polehotných záväzkov. </w:t>
      </w:r>
    </w:p>
    <w:p w:rsidR="003A6347" w:rsidP="003A6347">
      <w:pPr>
        <w:bidi w:val="0"/>
        <w:rPr>
          <w:rFonts w:ascii="Times New Roman" w:hAnsi="Times New Roman"/>
        </w:rPr>
      </w:pPr>
      <w:r>
        <w:rPr>
          <w:rFonts w:ascii="Times New Roman" w:hAnsi="Times New Roman"/>
        </w:rPr>
        <w:t xml:space="preserve">Ministerstvo zdravotníctva spolu s Ministerstvom financií vytvorilo v tejto súvislosti finančný mechanizmus, v rámci ktorého budú mať veritelia možnosť uspokojiť svoje pohľadávky voči </w:t>
      </w:r>
      <w:r w:rsidRPr="00E02A2B">
        <w:rPr>
          <w:rFonts w:ascii="Times New Roman" w:hAnsi="Times New Roman"/>
          <w:i/>
        </w:rPr>
        <w:t>nemocniciam*</w:t>
      </w:r>
      <w:r>
        <w:rPr>
          <w:rFonts w:ascii="Times New Roman" w:hAnsi="Times New Roman"/>
        </w:rPr>
        <w:t xml:space="preserve"> za podmienok uvedených v tomto dokumente. Tento mechanizmus je vytvorený transparentne a na princípe prístupu za rovnakých podmienok pre všetkých. </w:t>
      </w:r>
      <w:r w:rsidRPr="00154367">
        <w:rPr>
          <w:rFonts w:ascii="Times New Roman" w:hAnsi="Times New Roman"/>
          <w:b/>
        </w:rPr>
        <w:t>Zapojenie veriteľov</w:t>
      </w:r>
      <w:r>
        <w:rPr>
          <w:rFonts w:ascii="Times New Roman" w:hAnsi="Times New Roman"/>
        </w:rPr>
        <w:t xml:space="preserve"> do tohto systému </w:t>
      </w:r>
      <w:r w:rsidRPr="00154367">
        <w:rPr>
          <w:rFonts w:ascii="Times New Roman" w:hAnsi="Times New Roman"/>
          <w:b/>
        </w:rPr>
        <w:t>je dobrovoľné a právne nenárokovateľné</w:t>
      </w:r>
      <w:r>
        <w:rPr>
          <w:rFonts w:ascii="Times New Roman" w:hAnsi="Times New Roman"/>
        </w:rPr>
        <w:t xml:space="preserve">.  Možnosť zapojiť sa do uvedeného mechanizmu za podmienok definovaných v tomto materiály budú mať všetky </w:t>
      </w:r>
      <w:r w:rsidRPr="003A6347">
        <w:rPr>
          <w:rFonts w:ascii="Times New Roman" w:hAnsi="Times New Roman"/>
          <w:i/>
        </w:rPr>
        <w:t>nemocnice*</w:t>
      </w:r>
      <w:r>
        <w:rPr>
          <w:rFonts w:ascii="Times New Roman" w:hAnsi="Times New Roman"/>
        </w:rPr>
        <w:t xml:space="preserve"> pôsobiace v Slovenskej republike bez ohľadu na ich právnu formu či vlastníctvo. </w:t>
      </w:r>
    </w:p>
    <w:p w:rsidR="003A6347" w:rsidP="003A6347">
      <w:pPr>
        <w:bidi w:val="0"/>
        <w:rPr>
          <w:rFonts w:ascii="Times New Roman" w:hAnsi="Times New Roman"/>
        </w:rPr>
      </w:pPr>
    </w:p>
    <w:p w:rsidR="003A6347" w:rsidP="003A6347">
      <w:pPr>
        <w:bidi w:val="0"/>
        <w:rPr>
          <w:rFonts w:ascii="Times New Roman" w:hAnsi="Times New Roman"/>
        </w:rPr>
      </w:pPr>
      <w:r>
        <w:rPr>
          <w:rFonts w:ascii="Times New Roman" w:hAnsi="Times New Roman"/>
        </w:rPr>
        <w:t xml:space="preserve">V prípade, že prihlásená pohľadávka veriteľa nebude v tomto mechanizme uspokojená, práva veriteľa z titulu vlastníctva pohľadávky voči nemocnici nezanikajú a ostávajú nezmenené aj so všetkými právnymi nárokmi. To isté platí aj v prípade, že sa veriteľ do tohto mechanizmu nezapojí. </w:t>
      </w:r>
    </w:p>
    <w:p w:rsidR="003A6347" w:rsidP="003A6347">
      <w:pPr>
        <w:bidi w:val="0"/>
        <w:rPr>
          <w:rFonts w:ascii="Times New Roman" w:hAnsi="Times New Roman"/>
        </w:rPr>
      </w:pPr>
    </w:p>
    <w:p w:rsidR="003A6347" w:rsidP="003A6347">
      <w:pPr>
        <w:bidi w:val="0"/>
        <w:rPr>
          <w:rFonts w:ascii="Times New Roman" w:hAnsi="Times New Roman"/>
        </w:rPr>
      </w:pPr>
      <w:r>
        <w:rPr>
          <w:rFonts w:ascii="Times New Roman" w:hAnsi="Times New Roman"/>
        </w:rPr>
        <w:t xml:space="preserve">Oddlžovanie bude realizované vo viacerých etapách. Popis a objemy zdrojov uvoľnených pre jednotlivé etapy je popísaný v ďalšej časti dokumentu.   </w:t>
      </w:r>
    </w:p>
    <w:p w:rsidR="003A6347" w:rsidP="003A6347">
      <w:pPr>
        <w:bidi w:val="0"/>
        <w:rPr>
          <w:rFonts w:ascii="Times New Roman" w:hAnsi="Times New Roman"/>
        </w:rPr>
      </w:pPr>
    </w:p>
    <w:p w:rsidR="003A6347" w:rsidP="003A6347">
      <w:pPr>
        <w:bidi w:val="0"/>
        <w:rPr>
          <w:rFonts w:ascii="Times New Roman" w:hAnsi="Times New Roman"/>
        </w:rPr>
      </w:pPr>
      <w:r w:rsidRPr="003A6347">
        <w:rPr>
          <w:rFonts w:ascii="Times New Roman" w:hAnsi="Times New Roman"/>
          <w:i/>
        </w:rPr>
        <w:t>*Nemocnicami</w:t>
      </w:r>
      <w:r>
        <w:rPr>
          <w:rFonts w:ascii="Times New Roman" w:hAnsi="Times New Roman"/>
        </w:rPr>
        <w:t xml:space="preserve"> sa pre tento účel rozumejú </w:t>
      </w:r>
    </w:p>
    <w:p w:rsidR="003A6347" w:rsidP="00CF2104">
      <w:pPr>
        <w:pStyle w:val="Obyajn"/>
        <w:numPr>
          <w:numId w:val="12"/>
        </w:numPr>
        <w:bidi w:val="0"/>
        <w:rPr>
          <w:rFonts w:ascii="Times New Roman" w:hAnsi="Times New Roman"/>
        </w:rPr>
      </w:pPr>
      <w:r>
        <w:rPr>
          <w:rFonts w:ascii="Times New Roman" w:hAnsi="Times New Roman"/>
        </w:rPr>
        <w:t>všeobecné nemocnice, ktorým podľa § 11 zákona č. 578/2004 Z. z. o poskytovateľoch zdravotnej starostlivosti (ďalej len „zákon“) vydal povolenie na prevádzkovanie samosprávny kraj v rámci preneseného výkonu štátnej správy alebo</w:t>
      </w:r>
    </w:p>
    <w:p w:rsidR="003A6347" w:rsidP="00CF2104">
      <w:pPr>
        <w:pStyle w:val="Obyajn"/>
        <w:numPr>
          <w:numId w:val="12"/>
        </w:numPr>
        <w:bidi w:val="0"/>
        <w:rPr>
          <w:rFonts w:ascii="Times New Roman" w:hAnsi="Times New Roman"/>
        </w:rPr>
      </w:pPr>
      <w:r>
        <w:rPr>
          <w:rFonts w:ascii="Times New Roman" w:hAnsi="Times New Roman"/>
        </w:rPr>
        <w:t xml:space="preserve">špecializované nemocnice, ktorým podľa zákona vydalo povolenie na prevádzkovanie </w:t>
      </w:r>
      <w:r w:rsidR="00E52F16">
        <w:rPr>
          <w:rFonts w:ascii="Times New Roman" w:hAnsi="Times New Roman"/>
        </w:rPr>
        <w:t>MZ SR</w:t>
      </w:r>
      <w:r>
        <w:rPr>
          <w:rFonts w:ascii="Times New Roman" w:hAnsi="Times New Roman"/>
        </w:rPr>
        <w:t>.</w:t>
      </w:r>
    </w:p>
    <w:p w:rsidR="003A6347" w:rsidP="003A6347">
      <w:pPr>
        <w:bidi w:val="0"/>
        <w:ind w:left="1134" w:hanging="426"/>
        <w:rPr>
          <w:rFonts w:ascii="Times New Roman" w:hAnsi="Times New Roman"/>
        </w:rPr>
      </w:pPr>
    </w:p>
    <w:p w:rsidR="003A6347" w:rsidP="003A6347">
      <w:pPr>
        <w:bidi w:val="0"/>
        <w:rPr>
          <w:rFonts w:ascii="Times New Roman" w:hAnsi="Times New Roman"/>
        </w:rPr>
      </w:pPr>
      <w:r>
        <w:rPr>
          <w:rFonts w:ascii="Times New Roman" w:hAnsi="Times New Roman"/>
        </w:rPr>
        <w:t>Podľa vyhlášky Ministerstva zdravotníctva č. 84/2016 Z. z., ktorou sa ustanovujú určujúce znaky jednotlivých druhov zdravotníckych zariadení sa pod pojmom nemocnica rozumie zdravotnícke zariadenie ústavnej zdravotnej starostlivosti určené na poskytovanie zdravotnej starostlivosti osobe, ktorej zdravotný stav vyžaduje nepretržité poskytovanie zdravotnej starostlivosti spojené s predpokladaným pobytom na lôžku v zdravotníckom zariadení presahujúcim 24 hodín. V nemocnici sa spravidla prevádzkuje aj ambulantné zdravotnícke zariadenie a nemocničná lekáreň.</w:t>
      </w:r>
    </w:p>
    <w:p w:rsidR="003A6347" w:rsidP="003A6347">
      <w:pPr>
        <w:bidi w:val="0"/>
        <w:rPr>
          <w:rFonts w:ascii="Times New Roman" w:hAnsi="Times New Roman"/>
        </w:rPr>
      </w:pPr>
      <w:r>
        <w:rPr>
          <w:rFonts w:ascii="Times New Roman" w:hAnsi="Times New Roman"/>
        </w:rPr>
        <w:t>Všeobecná nemocnica je určená na poskytovanie ústavnej zdravotnej starostlivosti v rôznych špecializačných odboroch.</w:t>
      </w:r>
    </w:p>
    <w:p w:rsidR="003A6347" w:rsidP="003A6347">
      <w:pPr>
        <w:bidi w:val="0"/>
        <w:rPr>
          <w:rFonts w:ascii="Times New Roman" w:hAnsi="Times New Roman"/>
        </w:rPr>
      </w:pPr>
      <w:r>
        <w:rPr>
          <w:rFonts w:ascii="Times New Roman" w:hAnsi="Times New Roman"/>
        </w:rPr>
        <w:t>Špecializovaná nemocnica je určená na poskytovanie ústavnej zdravotnej starostlivosti prevažne v jednom špecializačnom odbore alebo aj v špecializačných odboroch s ním súvisiacich.</w:t>
      </w:r>
    </w:p>
    <w:p w:rsidR="003A6347" w:rsidP="003A6347">
      <w:pPr>
        <w:bidi w:val="0"/>
        <w:rPr>
          <w:rFonts w:ascii="Times New Roman" w:hAnsi="Times New Roman"/>
        </w:rPr>
      </w:pPr>
      <w:r>
        <w:rPr>
          <w:rFonts w:ascii="Times New Roman" w:hAnsi="Times New Roman"/>
        </w:rPr>
        <w:t>Špecializovaná nemocnica, ktorou je centrum pre liečbu drogových závislostí, je určená na poskytovanie dlhodobo programovanej špecializovanej zdravotnej starostlivosti osobe, ktorá je závislá od psychoaktívnej látky, zameranej na zlepšenie jej zdravotného stavu, kvality života a na jej integráciu do spoločnosti.</w:t>
      </w:r>
    </w:p>
    <w:p w:rsidR="003A6347" w:rsidP="003A6347">
      <w:pPr>
        <w:bidi w:val="0"/>
        <w:rPr>
          <w:rFonts w:ascii="Times New Roman" w:hAnsi="Times New Roman"/>
        </w:rPr>
      </w:pPr>
      <w:r>
        <w:rPr>
          <w:rFonts w:ascii="Times New Roman" w:hAnsi="Times New Roman"/>
        </w:rPr>
        <w:t>Špecializovaná nemocnica Ministerstva spravodlivosti Slovenskej republiky je určená na poskytovanie ústavnej zdravotnej starostlivosti osobe, ktorá je vo väzbe alebo vo výkone trestu odňatia slobody.</w:t>
      </w:r>
    </w:p>
    <w:p w:rsidR="00251D02" w:rsidRPr="00774A6E" w:rsidP="00837563">
      <w:pPr>
        <w:bidi w:val="0"/>
        <w:ind w:firstLine="0"/>
        <w:rPr>
          <w:rFonts w:ascii="Times New Roman" w:hAnsi="Times New Roman"/>
        </w:rPr>
      </w:pPr>
    </w:p>
    <w:p w:rsidR="00251D02" w:rsidRPr="00774A6E" w:rsidP="003A6347">
      <w:pPr>
        <w:pStyle w:val="Heading2"/>
        <w:bidi w:val="0"/>
        <w:rPr>
          <w:rFonts w:hint="default"/>
        </w:rPr>
      </w:pPr>
      <w:r w:rsidRPr="00774A6E">
        <w:rPr>
          <w:rFonts w:hint="default"/>
        </w:rPr>
        <w:t>Postup a podmienky oddlž</w:t>
      </w:r>
      <w:r w:rsidRPr="00774A6E">
        <w:rPr>
          <w:rFonts w:hint="default"/>
        </w:rPr>
        <w:t>ovania</w:t>
      </w:r>
    </w:p>
    <w:p w:rsidR="00251D02" w:rsidRPr="00774A6E" w:rsidP="00EF537B">
      <w:pPr>
        <w:bidi w:val="0"/>
        <w:rPr>
          <w:rFonts w:ascii="Times New Roman" w:hAnsi="Times New Roman"/>
        </w:rPr>
      </w:pPr>
    </w:p>
    <w:p w:rsidR="00251D02" w:rsidRPr="00774A6E" w:rsidP="0059034D">
      <w:pPr>
        <w:bidi w:val="0"/>
        <w:rPr>
          <w:rFonts w:ascii="Times New Roman" w:hAnsi="Times New Roman"/>
        </w:rPr>
      </w:pPr>
      <w:r w:rsidR="00E52F16">
        <w:rPr>
          <w:rFonts w:ascii="Times New Roman" w:hAnsi="Times New Roman"/>
        </w:rPr>
        <w:t>MZ SR</w:t>
      </w:r>
      <w:r w:rsidRPr="00774A6E">
        <w:rPr>
          <w:rFonts w:ascii="Times New Roman" w:hAnsi="Times New Roman"/>
        </w:rPr>
        <w:t xml:space="preserve"> na svojej webovej stránke zverejní všetky procesné detaily, usmernenia, ako aj všetky  právne dokumenty súvisiace s procesom oddlžovania. Stránka bude pravidelne aktualizovaná. </w:t>
      </w:r>
    </w:p>
    <w:p w:rsidR="00251D02" w:rsidRPr="00774A6E" w:rsidP="00EF537B">
      <w:pPr>
        <w:bidi w:val="0"/>
        <w:rPr>
          <w:rFonts w:ascii="Times New Roman" w:hAnsi="Times New Roman"/>
        </w:rPr>
      </w:pPr>
      <w:r w:rsidRPr="00774A6E">
        <w:rPr>
          <w:rFonts w:ascii="Times New Roman" w:hAnsi="Times New Roman"/>
        </w:rPr>
        <w:t xml:space="preserve">Pohľadávky veriteľov ktoré možno uplatniť v rámci tohto finančného mechanizmu sú pohľadávky voči nemocniciam, ktoré boli po lehote ich splatnosti k dátumu 31.12.2016 a neboli v celej výške uhradené ku dňu, ku ktorému bude možné prihlasovať pohľadávky do procesu oddlžovania.  </w:t>
      </w:r>
    </w:p>
    <w:p w:rsidR="00251D02" w:rsidRPr="00774A6E" w:rsidP="00EF537B">
      <w:pPr>
        <w:bidi w:val="0"/>
        <w:rPr>
          <w:rFonts w:ascii="Times New Roman" w:hAnsi="Times New Roman"/>
        </w:rPr>
      </w:pPr>
      <w:r w:rsidRPr="00774A6E">
        <w:rPr>
          <w:rFonts w:ascii="Times New Roman" w:hAnsi="Times New Roman"/>
        </w:rPr>
        <w:t xml:space="preserve">Pohľadávky prihlásené do tohto mechanizmu musia spĺňať zákonné náležitosti, najmä zákona o účtovníctve č. 431/2002 Z.z. Veriteľ zároveň vstupom do mechanizmu dáva bezvýhradný súhlas MZ SR oboznámiť sa s daňovým tajomstvom. Veriteľ zároveň akceptuje právo MZ SR vylúčiť z tohto mechanizmu bez uvedenia dôvodu ktorúkoľvek pohľadávku. </w:t>
      </w:r>
    </w:p>
    <w:p w:rsidR="00251D02" w:rsidRPr="00774A6E" w:rsidP="00EF537B">
      <w:pPr>
        <w:bidi w:val="0"/>
        <w:rPr>
          <w:rFonts w:ascii="Times New Roman" w:hAnsi="Times New Roman"/>
        </w:rPr>
      </w:pPr>
    </w:p>
    <w:p w:rsidR="00251D02" w:rsidP="00EF537B">
      <w:pPr>
        <w:bidi w:val="0"/>
        <w:rPr>
          <w:rFonts w:ascii="Times New Roman" w:hAnsi="Times New Roman"/>
        </w:rPr>
      </w:pPr>
      <w:r w:rsidRPr="00774A6E">
        <w:rPr>
          <w:rFonts w:ascii="Times New Roman" w:hAnsi="Times New Roman"/>
        </w:rPr>
        <w:t>Predpokladom zapojenia nemocníc do finančného mechanizmu je aj splnenie nasledujúcich podmienok zo strany konkrétnej nemocnice:</w:t>
      </w:r>
    </w:p>
    <w:p w:rsidR="00FB4D20" w:rsidRPr="00774A6E" w:rsidP="00EF537B">
      <w:pPr>
        <w:bidi w:val="0"/>
        <w:rPr>
          <w:rFonts w:ascii="Times New Roman" w:hAnsi="Times New Roman"/>
        </w:rPr>
      </w:pPr>
    </w:p>
    <w:p w:rsidR="00251D02" w:rsidRPr="00774A6E" w:rsidP="00CF2104">
      <w:pPr>
        <w:pStyle w:val="Obyajn"/>
        <w:numPr>
          <w:numId w:val="13"/>
        </w:numPr>
        <w:bidi w:val="0"/>
        <w:ind w:left="993"/>
        <w:rPr>
          <w:rFonts w:ascii="Times New Roman" w:hAnsi="Times New Roman"/>
        </w:rPr>
      </w:pPr>
      <w:r w:rsidRPr="00774A6E">
        <w:rPr>
          <w:rFonts w:ascii="Times New Roman" w:hAnsi="Times New Roman"/>
        </w:rPr>
        <w:t>existencia neuhradených záväzkov po lehote ich splatnosti k 31.12.2016 evidovaných v účtovníctve nemocnice ktoré spĺňajú náležitosti vyplývajúce z platnej legislatívy (napr. Zákon o účtovníctve č. 431/2002 Z.z a pod.)</w:t>
      </w:r>
    </w:p>
    <w:p w:rsidR="00251D02" w:rsidRPr="00774A6E" w:rsidP="00CF2104">
      <w:pPr>
        <w:pStyle w:val="Obyajn"/>
        <w:numPr>
          <w:numId w:val="13"/>
        </w:numPr>
        <w:bidi w:val="0"/>
        <w:ind w:left="993"/>
        <w:rPr>
          <w:rFonts w:ascii="Times New Roman" w:hAnsi="Times New Roman"/>
        </w:rPr>
      </w:pPr>
      <w:r w:rsidRPr="00774A6E">
        <w:rPr>
          <w:rFonts w:ascii="Times New Roman" w:hAnsi="Times New Roman"/>
        </w:rPr>
        <w:t>prejavenie vôle nemocnice zúčastniť sa tohto finančného mechanizmu a akceptovať jeho podmienky</w:t>
      </w:r>
    </w:p>
    <w:p w:rsidR="00251D02" w:rsidRPr="00774A6E" w:rsidP="00CF2104">
      <w:pPr>
        <w:pStyle w:val="Obyajn"/>
        <w:numPr>
          <w:numId w:val="13"/>
        </w:numPr>
        <w:bidi w:val="0"/>
        <w:ind w:left="993"/>
        <w:rPr>
          <w:rFonts w:ascii="Times New Roman" w:hAnsi="Times New Roman"/>
        </w:rPr>
      </w:pPr>
      <w:r w:rsidRPr="00774A6E">
        <w:rPr>
          <w:rFonts w:ascii="Times New Roman" w:hAnsi="Times New Roman"/>
        </w:rPr>
        <w:t xml:space="preserve">subjektom (nemocnicou) ktorej veritelia môžu byť týmto mechanizmom </w:t>
      </w:r>
      <w:r w:rsidRPr="00774A6E" w:rsidR="007B0BC6">
        <w:rPr>
          <w:rFonts w:ascii="Times New Roman" w:hAnsi="Times New Roman"/>
        </w:rPr>
        <w:t>oddlžení</w:t>
      </w:r>
      <w:r w:rsidRPr="00774A6E">
        <w:rPr>
          <w:rFonts w:ascii="Times New Roman" w:hAnsi="Times New Roman"/>
        </w:rPr>
        <w:t xml:space="preserve"> môžu byť aj nemocnice ktoré aktuálne nevykazujú záporný ukazovateľ EBITDA, avšak súčasne evidujú k 31.12.2016 záväzky po lehote ich splatnosti. Nemocnica sa v takomto prípade zaviaže, že jej ukazovateľ EBITDA nedosiahne v priebehu nasledujúcich 3 rokoch zápornú hodnotu a zároveň jej v rovnakom období nevzniknú záväzky po lehote splatnosti. </w:t>
      </w:r>
    </w:p>
    <w:p w:rsidR="00251D02" w:rsidRPr="00774A6E" w:rsidP="00CF2104">
      <w:pPr>
        <w:pStyle w:val="Obyajn"/>
        <w:numPr>
          <w:numId w:val="13"/>
        </w:numPr>
        <w:bidi w:val="0"/>
        <w:ind w:left="993"/>
        <w:rPr>
          <w:rFonts w:ascii="Times New Roman" w:hAnsi="Times New Roman"/>
        </w:rPr>
      </w:pPr>
      <w:r w:rsidRPr="00774A6E">
        <w:rPr>
          <w:rFonts w:ascii="Times New Roman" w:hAnsi="Times New Roman"/>
        </w:rPr>
        <w:t>záväzok realizácie ozdravného plánu na úrovni konkrétnej nemocnice</w:t>
      </w:r>
    </w:p>
    <w:p w:rsidR="00251D02" w:rsidRPr="00774A6E" w:rsidP="00CF2104">
      <w:pPr>
        <w:pStyle w:val="Obyajn"/>
        <w:numPr>
          <w:numId w:val="13"/>
        </w:numPr>
        <w:bidi w:val="0"/>
        <w:ind w:left="993"/>
        <w:rPr>
          <w:rFonts w:ascii="Times New Roman" w:hAnsi="Times New Roman"/>
        </w:rPr>
      </w:pPr>
      <w:r w:rsidRPr="00774A6E">
        <w:rPr>
          <w:rFonts w:ascii="Times New Roman" w:hAnsi="Times New Roman"/>
        </w:rPr>
        <w:t xml:space="preserve">vytvorením dozorných orgánov s presne určeným minimálnym štatútom, kde predsedom dozorného orgánu bude zástupca nominovaný MZ SR. Dozorný orgán musí mať možnosť účinnej a efektívnej kontroly hospodárenia a nákupov nemocnice, jej verejných obstarávaní a plnenia ozdravného plánu. Predseda dozorného orgánu bude mať bezpodmienečnú právomoc samostatne rozhodnúť o odvolaní a vymenovaní štatutára nemocnice v prípade neplnenia ozdravného plánu. </w:t>
      </w:r>
    </w:p>
    <w:p w:rsidR="00251D02" w:rsidRPr="00774A6E" w:rsidP="00EF537B">
      <w:pPr>
        <w:bidi w:val="0"/>
        <w:rPr>
          <w:rFonts w:ascii="Times New Roman" w:hAnsi="Times New Roman"/>
        </w:rPr>
      </w:pPr>
    </w:p>
    <w:p w:rsidR="00251D02" w:rsidRPr="00774A6E" w:rsidP="00EF537B">
      <w:pPr>
        <w:bidi w:val="0"/>
        <w:rPr>
          <w:rFonts w:ascii="Times New Roman" w:hAnsi="Times New Roman"/>
        </w:rPr>
      </w:pPr>
      <w:r w:rsidRPr="00154367">
        <w:rPr>
          <w:rFonts w:ascii="Times New Roman" w:hAnsi="Times New Roman"/>
          <w:b/>
        </w:rPr>
        <w:t>V prípade neplnenia ozdravného plánu</w:t>
      </w:r>
      <w:r w:rsidRPr="00774A6E">
        <w:rPr>
          <w:rFonts w:ascii="Times New Roman" w:hAnsi="Times New Roman"/>
        </w:rPr>
        <w:t xml:space="preserve"> zo strany nemocnice si môže MZ SR uplatňovať voči nemocnici </w:t>
      </w:r>
      <w:r w:rsidRPr="00154367">
        <w:rPr>
          <w:rFonts w:ascii="Times New Roman" w:hAnsi="Times New Roman"/>
          <w:b/>
        </w:rPr>
        <w:t>finančnú pohľadávku vo výške sumy, ktorá bola nemocnici poskytnutá</w:t>
      </w:r>
      <w:r w:rsidRPr="00774A6E">
        <w:rPr>
          <w:rFonts w:ascii="Times New Roman" w:hAnsi="Times New Roman"/>
        </w:rPr>
        <w:t xml:space="preserve"> na základe tohto finančného mechanizmu na uspokojenie pohľadávok jej veriteľov. </w:t>
      </w:r>
    </w:p>
    <w:p w:rsidR="00251D02" w:rsidRPr="00774A6E" w:rsidP="00EF537B">
      <w:pPr>
        <w:bidi w:val="0"/>
        <w:rPr>
          <w:rFonts w:ascii="Times New Roman" w:hAnsi="Times New Roman"/>
        </w:rPr>
      </w:pPr>
      <w:r w:rsidRPr="00774A6E">
        <w:rPr>
          <w:rFonts w:ascii="Times New Roman" w:hAnsi="Times New Roman"/>
        </w:rPr>
        <w:t>V prípade, ak sa nemocnica zaviazala že jej ukazovateľ EBITDA</w:t>
      </w:r>
      <w:r w:rsidR="007B0BC6">
        <w:rPr>
          <w:rFonts w:ascii="Times New Roman" w:hAnsi="Times New Roman"/>
        </w:rPr>
        <w:t xml:space="preserve"> </w:t>
      </w:r>
      <w:r w:rsidRPr="00774A6E">
        <w:rPr>
          <w:rFonts w:ascii="Times New Roman" w:hAnsi="Times New Roman"/>
        </w:rPr>
        <w:t xml:space="preserve">nedosiahne v priebehu </w:t>
      </w:r>
      <w:r w:rsidRPr="006F6E8E">
        <w:rPr>
          <w:rFonts w:ascii="Times New Roman" w:hAnsi="Times New Roman"/>
        </w:rPr>
        <w:t xml:space="preserve">nasledujúcich </w:t>
      </w:r>
      <w:r w:rsidRPr="006F6E8E" w:rsidR="0024218E">
        <w:rPr>
          <w:rFonts w:ascii="Times New Roman" w:hAnsi="Times New Roman"/>
        </w:rPr>
        <w:t xml:space="preserve">2 </w:t>
      </w:r>
      <w:r w:rsidRPr="006F6E8E">
        <w:rPr>
          <w:rFonts w:ascii="Times New Roman" w:hAnsi="Times New Roman"/>
        </w:rPr>
        <w:t>rokoch zápornú hodnotu alebo</w:t>
      </w:r>
      <w:r w:rsidRPr="00774A6E">
        <w:rPr>
          <w:rFonts w:ascii="Times New Roman" w:hAnsi="Times New Roman"/>
        </w:rPr>
        <w:t xml:space="preserve"> že jej v</w:t>
      </w:r>
      <w:r w:rsidR="009F12DF">
        <w:rPr>
          <w:rFonts w:ascii="Times New Roman" w:hAnsi="Times New Roman"/>
        </w:rPr>
        <w:t> </w:t>
      </w:r>
      <w:r w:rsidRPr="00774A6E">
        <w:rPr>
          <w:rFonts w:ascii="Times New Roman" w:hAnsi="Times New Roman"/>
        </w:rPr>
        <w:t>rovnakom období nevzniknú záväzky po lehote splatnosti a</w:t>
      </w:r>
      <w:r w:rsidR="009F12DF">
        <w:rPr>
          <w:rFonts w:ascii="Times New Roman" w:hAnsi="Times New Roman"/>
        </w:rPr>
        <w:t> </w:t>
      </w:r>
      <w:r w:rsidRPr="00774A6E">
        <w:rPr>
          <w:rFonts w:ascii="Times New Roman" w:hAnsi="Times New Roman"/>
        </w:rPr>
        <w:t xml:space="preserve">túto podmienku nesplní, môže si MZ SR uplatňovať voči nemocnici finančnú pohľadávku </w:t>
      </w:r>
      <w:r w:rsidR="00EC59F2">
        <w:rPr>
          <w:rFonts w:ascii="Times New Roman" w:hAnsi="Times New Roman"/>
        </w:rPr>
        <w:t xml:space="preserve">až do </w:t>
      </w:r>
      <w:r w:rsidRPr="00774A6E">
        <w:rPr>
          <w:rFonts w:ascii="Times New Roman" w:hAnsi="Times New Roman"/>
        </w:rPr>
        <w:t>výšk</w:t>
      </w:r>
      <w:r w:rsidR="00EC59F2">
        <w:rPr>
          <w:rFonts w:ascii="Times New Roman" w:hAnsi="Times New Roman"/>
        </w:rPr>
        <w:t>y</w:t>
      </w:r>
      <w:r w:rsidRPr="00774A6E">
        <w:rPr>
          <w:rFonts w:ascii="Times New Roman" w:hAnsi="Times New Roman"/>
        </w:rPr>
        <w:t xml:space="preserve"> sumy, ktorá bola nemocnici poskytnutá na základe tohto finančného mechanizmu na uspokojenie pohľadávok jej veriteľov. </w:t>
      </w:r>
    </w:p>
    <w:p w:rsidR="00251D02" w:rsidP="00EC59F2">
      <w:pPr>
        <w:bidi w:val="0"/>
        <w:ind w:firstLine="0"/>
        <w:rPr>
          <w:rFonts w:ascii="Times New Roman" w:hAnsi="Times New Roman"/>
        </w:rPr>
      </w:pPr>
    </w:p>
    <w:p w:rsidR="007930F6" w:rsidRPr="00774A6E" w:rsidP="006F6E8E">
      <w:pPr>
        <w:pStyle w:val="Heading3"/>
        <w:bidi w:val="0"/>
      </w:pPr>
      <w:r>
        <w:rPr>
          <w:rFonts w:hint="default"/>
        </w:rPr>
        <w:t>Ozdravný</w:t>
      </w:r>
      <w:r>
        <w:rPr>
          <w:rFonts w:hint="default"/>
        </w:rPr>
        <w:t xml:space="preserve"> plá</w:t>
      </w:r>
      <w:r>
        <w:rPr>
          <w:rFonts w:hint="default"/>
        </w:rPr>
        <w:t>n</w:t>
      </w:r>
    </w:p>
    <w:p w:rsidR="007930F6" w:rsidRPr="00774A6E" w:rsidP="00EC59F2">
      <w:pPr>
        <w:bidi w:val="0"/>
        <w:ind w:firstLine="0"/>
        <w:rPr>
          <w:rFonts w:ascii="Times New Roman" w:hAnsi="Times New Roman"/>
        </w:rPr>
      </w:pPr>
    </w:p>
    <w:p w:rsidR="00251D02" w:rsidRPr="00774A6E" w:rsidP="00EF537B">
      <w:pPr>
        <w:bidi w:val="0"/>
        <w:rPr>
          <w:rFonts w:ascii="Times New Roman" w:hAnsi="Times New Roman"/>
        </w:rPr>
      </w:pPr>
      <w:r w:rsidRPr="00774A6E">
        <w:rPr>
          <w:rFonts w:ascii="Times New Roman" w:hAnsi="Times New Roman"/>
        </w:rPr>
        <w:t>Ozdravný plán je dokument ktorý vypracuje nemocnica</w:t>
      </w:r>
      <w:r w:rsidR="007930F6">
        <w:rPr>
          <w:rFonts w:ascii="Times New Roman" w:hAnsi="Times New Roman"/>
        </w:rPr>
        <w:t xml:space="preserve"> v</w:t>
      </w:r>
      <w:r w:rsidR="009F12DF">
        <w:rPr>
          <w:rFonts w:ascii="Times New Roman" w:hAnsi="Times New Roman"/>
        </w:rPr>
        <w:t> </w:t>
      </w:r>
      <w:r w:rsidRPr="00774A6E" w:rsidR="007930F6">
        <w:rPr>
          <w:rFonts w:ascii="Times New Roman" w:hAnsi="Times New Roman"/>
        </w:rPr>
        <w:t>štruktúrova</w:t>
      </w:r>
      <w:r w:rsidR="007930F6">
        <w:rPr>
          <w:rFonts w:ascii="Times New Roman" w:hAnsi="Times New Roman"/>
        </w:rPr>
        <w:t>nej podobe</w:t>
      </w:r>
      <w:r w:rsidRPr="00774A6E">
        <w:rPr>
          <w:rFonts w:ascii="Times New Roman" w:hAnsi="Times New Roman"/>
        </w:rPr>
        <w:t>, ktorý obsahuje informácie o</w:t>
      </w:r>
      <w:r w:rsidR="009F12DF">
        <w:rPr>
          <w:rFonts w:ascii="Times New Roman" w:hAnsi="Times New Roman"/>
        </w:rPr>
        <w:t> </w:t>
      </w:r>
      <w:r w:rsidRPr="00774A6E">
        <w:rPr>
          <w:rFonts w:ascii="Times New Roman" w:hAnsi="Times New Roman"/>
        </w:rPr>
        <w:t>opatreniach, v</w:t>
      </w:r>
      <w:r w:rsidR="009F12DF">
        <w:rPr>
          <w:rFonts w:ascii="Times New Roman" w:hAnsi="Times New Roman"/>
        </w:rPr>
        <w:t> </w:t>
      </w:r>
      <w:r w:rsidRPr="00774A6E">
        <w:rPr>
          <w:rFonts w:ascii="Times New Roman" w:hAnsi="Times New Roman"/>
        </w:rPr>
        <w:t>dôsledku ktorých bude nemocnica výhľadovo dosahovať hospodárenie na úrovni kladného ukazovateľa EBITDA</w:t>
      </w:r>
      <w:r w:rsidR="007930F6">
        <w:rPr>
          <w:rFonts w:ascii="Times New Roman" w:hAnsi="Times New Roman"/>
        </w:rPr>
        <w:t xml:space="preserve"> 2 po sebe nasledujúce roky </w:t>
      </w:r>
      <w:r w:rsidRPr="00774A6E">
        <w:rPr>
          <w:rFonts w:ascii="Times New Roman" w:hAnsi="Times New Roman"/>
        </w:rPr>
        <w:t xml:space="preserve"> a</w:t>
      </w:r>
      <w:r w:rsidR="009F12DF">
        <w:rPr>
          <w:rFonts w:ascii="Times New Roman" w:hAnsi="Times New Roman"/>
        </w:rPr>
        <w:t> </w:t>
      </w:r>
      <w:r w:rsidRPr="00774A6E">
        <w:rPr>
          <w:rFonts w:ascii="Times New Roman" w:hAnsi="Times New Roman"/>
        </w:rPr>
        <w:t>nebude generovať záväzky po lehote splatnosti. Súčasťou ozdravného plánu je projekcia hospodárenia na úrovni nákladov a</w:t>
      </w:r>
      <w:r w:rsidR="009F12DF">
        <w:rPr>
          <w:rFonts w:ascii="Times New Roman" w:hAnsi="Times New Roman"/>
        </w:rPr>
        <w:t> </w:t>
      </w:r>
      <w:r w:rsidRPr="00774A6E">
        <w:rPr>
          <w:rFonts w:ascii="Times New Roman" w:hAnsi="Times New Roman"/>
        </w:rPr>
        <w:t xml:space="preserve">výnosov na </w:t>
      </w:r>
      <w:r w:rsidRPr="00774A6E" w:rsidR="009F12DF">
        <w:rPr>
          <w:rFonts w:ascii="Times New Roman" w:hAnsi="Times New Roman"/>
        </w:rPr>
        <w:t>najbližš</w:t>
      </w:r>
      <w:r w:rsidR="009F12DF">
        <w:rPr>
          <w:rFonts w:ascii="Times New Roman" w:hAnsi="Times New Roman"/>
        </w:rPr>
        <w:t>ích päť rokov</w:t>
      </w:r>
      <w:r w:rsidRPr="00774A6E">
        <w:rPr>
          <w:rFonts w:ascii="Times New Roman" w:hAnsi="Times New Roman"/>
        </w:rPr>
        <w:t>.  Predpokladom akceptácie ozdravného plánu nemocnice a jej zapojenia do finančného mechanizmu je jeho schválenie na úrovni MZ SR. V prípade, že MZ SR vyhodnotí predložený ozdravný plán ako nerealizovateľný, má právo ho neakceptovať a </w:t>
      </w:r>
      <w:r w:rsidR="009F12DF">
        <w:rPr>
          <w:rFonts w:ascii="Times New Roman" w:hAnsi="Times New Roman"/>
        </w:rPr>
        <w:t>táto</w:t>
      </w:r>
      <w:r w:rsidRPr="00774A6E">
        <w:rPr>
          <w:rFonts w:ascii="Times New Roman" w:hAnsi="Times New Roman"/>
        </w:rPr>
        <w:t xml:space="preserve"> </w:t>
      </w:r>
      <w:r w:rsidRPr="00774A6E" w:rsidR="009F12DF">
        <w:rPr>
          <w:rFonts w:ascii="Times New Roman" w:hAnsi="Times New Roman"/>
        </w:rPr>
        <w:t>nemocnic</w:t>
      </w:r>
      <w:r w:rsidR="009F12DF">
        <w:rPr>
          <w:rFonts w:ascii="Times New Roman" w:hAnsi="Times New Roman"/>
        </w:rPr>
        <w:t>a</w:t>
      </w:r>
      <w:r w:rsidRPr="00774A6E" w:rsidR="009F12DF">
        <w:rPr>
          <w:rFonts w:ascii="Times New Roman" w:hAnsi="Times New Roman"/>
        </w:rPr>
        <w:t xml:space="preserve"> nebud</w:t>
      </w:r>
      <w:r w:rsidR="009F12DF">
        <w:rPr>
          <w:rFonts w:ascii="Times New Roman" w:hAnsi="Times New Roman"/>
        </w:rPr>
        <w:t>e</w:t>
      </w:r>
      <w:r w:rsidRPr="00774A6E" w:rsidR="009F12DF">
        <w:rPr>
          <w:rFonts w:ascii="Times New Roman" w:hAnsi="Times New Roman"/>
        </w:rPr>
        <w:t xml:space="preserve"> </w:t>
      </w:r>
      <w:r w:rsidRPr="00774A6E">
        <w:rPr>
          <w:rFonts w:ascii="Times New Roman" w:hAnsi="Times New Roman"/>
        </w:rPr>
        <w:t xml:space="preserve">môcť byť v tomto kole </w:t>
      </w:r>
      <w:r w:rsidRPr="00774A6E" w:rsidR="00BE10E3">
        <w:rPr>
          <w:rFonts w:ascii="Times New Roman" w:hAnsi="Times New Roman"/>
        </w:rPr>
        <w:t>oddlžen</w:t>
      </w:r>
      <w:r w:rsidR="009F12DF">
        <w:rPr>
          <w:rFonts w:ascii="Times New Roman" w:hAnsi="Times New Roman"/>
        </w:rPr>
        <w:t>á</w:t>
      </w:r>
      <w:r w:rsidRPr="00774A6E">
        <w:rPr>
          <w:rFonts w:ascii="Times New Roman" w:hAnsi="Times New Roman"/>
        </w:rPr>
        <w:t xml:space="preserve">.  Kľúčovými indikátormi pre schvaľovanie a hodnotenie plnenia ozdravného plánu budú vývoj ukazovateľa EBITDA a vývoj </w:t>
      </w:r>
      <w:r w:rsidRPr="00774A6E" w:rsidR="00BE10E3">
        <w:rPr>
          <w:rFonts w:ascii="Times New Roman" w:hAnsi="Times New Roman"/>
        </w:rPr>
        <w:t>zadlženosti</w:t>
      </w:r>
      <w:r w:rsidRPr="00774A6E">
        <w:rPr>
          <w:rFonts w:ascii="Times New Roman" w:hAnsi="Times New Roman"/>
        </w:rPr>
        <w:t>. Ďalšie parametre ako napríklad operovanosť, reoperácie, rehospitalizácie,  dekubity, úmrtnosť a podobne sa budú sledovať</w:t>
      </w:r>
      <w:r w:rsidR="006128AB">
        <w:rPr>
          <w:rFonts w:ascii="Times New Roman" w:hAnsi="Times New Roman"/>
        </w:rPr>
        <w:t xml:space="preserve"> s cieľom zabezpečiť, že finančné zlepšenie sa neuskutoční na úkor kvality. Tieto parametre sa budú</w:t>
      </w:r>
      <w:r w:rsidRPr="00774A6E">
        <w:rPr>
          <w:rFonts w:ascii="Times New Roman" w:hAnsi="Times New Roman"/>
        </w:rPr>
        <w:t xml:space="preserve"> porovnávať s inými nemocnicami, nebudú mať však vplyv na hodnotenie úspešnosti plnenia ozdravného plánu na úrovni nemocnice. </w:t>
      </w:r>
      <w:r w:rsidR="006128AB">
        <w:rPr>
          <w:rFonts w:ascii="Times New Roman" w:hAnsi="Times New Roman"/>
        </w:rPr>
        <w:t xml:space="preserve">Pozri Prílohu č. 2 pre zoznam týchto indikátorov. </w:t>
      </w:r>
    </w:p>
    <w:p w:rsidR="009F12DF" w:rsidRPr="006F6E8E" w:rsidP="006F6E8E">
      <w:pPr>
        <w:bidi w:val="0"/>
        <w:rPr>
          <w:rFonts w:ascii="Times New Roman" w:hAnsi="Times New Roman"/>
        </w:rPr>
      </w:pPr>
      <w:r w:rsidRPr="006F6E8E" w:rsidR="007930F6">
        <w:rPr>
          <w:rFonts w:ascii="Times New Roman" w:hAnsi="Times New Roman"/>
        </w:rPr>
        <w:t xml:space="preserve">Nedodržiavanie ozdravných plánov </w:t>
      </w:r>
      <w:r w:rsidRPr="006F6E8E">
        <w:rPr>
          <w:rFonts w:ascii="Times New Roman" w:hAnsi="Times New Roman"/>
        </w:rPr>
        <w:t xml:space="preserve">bude mať za následok aktiváciu </w:t>
      </w:r>
      <w:r w:rsidRPr="006F6E8E" w:rsidR="007930F6">
        <w:rPr>
          <w:rFonts w:ascii="Times New Roman" w:hAnsi="Times New Roman"/>
        </w:rPr>
        <w:t>sank</w:t>
      </w:r>
      <w:r w:rsidRPr="006F6E8E">
        <w:rPr>
          <w:rFonts w:ascii="Times New Roman" w:hAnsi="Times New Roman"/>
        </w:rPr>
        <w:t>čných mechanizmov v závislosti od rozsahu neplnenia ozdravného plánu</w:t>
      </w:r>
      <w:r w:rsidR="0076595D">
        <w:rPr>
          <w:rFonts w:ascii="Times New Roman" w:hAnsi="Times New Roman"/>
        </w:rPr>
        <w:t xml:space="preserve"> najmä</w:t>
      </w:r>
      <w:r w:rsidRPr="006F6E8E">
        <w:rPr>
          <w:rFonts w:ascii="Times New Roman" w:hAnsi="Times New Roman"/>
        </w:rPr>
        <w:t>:</w:t>
      </w:r>
    </w:p>
    <w:p w:rsidR="009F12DF" w:rsidRPr="006F6E8E" w:rsidP="009F12DF">
      <w:pPr>
        <w:pStyle w:val="ListParagraph"/>
        <w:numPr>
          <w:numId w:val="32"/>
        </w:numPr>
        <w:bidi w:val="0"/>
        <w:ind w:left="993" w:hanging="426"/>
        <w:rPr>
          <w:rFonts w:ascii="Times New Roman" w:hAnsi="Times New Roman"/>
        </w:rPr>
      </w:pPr>
      <w:r w:rsidRPr="006F6E8E" w:rsidR="007930F6">
        <w:rPr>
          <w:rFonts w:ascii="Times New Roman" w:hAnsi="Times New Roman"/>
        </w:rPr>
        <w:t>zmrazenie navyšovania miezd</w:t>
      </w:r>
      <w:r w:rsidRPr="00DC6296">
        <w:rPr>
          <w:rFonts w:ascii="Times New Roman" w:hAnsi="Times New Roman"/>
        </w:rPr>
        <w:t xml:space="preserve"> nad úroveň zákonom ustanoveného minima</w:t>
      </w:r>
      <w:r w:rsidRPr="006F6E8E" w:rsidR="007930F6">
        <w:rPr>
          <w:rFonts w:ascii="Times New Roman" w:hAnsi="Times New Roman"/>
        </w:rPr>
        <w:t xml:space="preserve">, </w:t>
      </w:r>
    </w:p>
    <w:p w:rsidR="007930F6" w:rsidRPr="006F6E8E" w:rsidP="009F12DF">
      <w:pPr>
        <w:pStyle w:val="ListParagraph"/>
        <w:numPr>
          <w:numId w:val="32"/>
        </w:numPr>
        <w:bidi w:val="0"/>
        <w:ind w:left="993" w:hanging="426"/>
        <w:rPr>
          <w:rFonts w:ascii="Times New Roman" w:hAnsi="Times New Roman"/>
        </w:rPr>
      </w:pPr>
      <w:r w:rsidRPr="006F6E8E">
        <w:rPr>
          <w:rFonts w:ascii="Times New Roman" w:hAnsi="Times New Roman"/>
        </w:rPr>
        <w:t xml:space="preserve">nemožnosť čerpania </w:t>
      </w:r>
      <w:r w:rsidRPr="006F6E8E" w:rsidR="009F12DF">
        <w:rPr>
          <w:rFonts w:ascii="Times New Roman" w:hAnsi="Times New Roman"/>
        </w:rPr>
        <w:t>ďalších finančných prostriedkov na oddlžovanie,</w:t>
      </w:r>
    </w:p>
    <w:p w:rsidR="009F12DF" w:rsidRPr="006F6E8E" w:rsidP="009F12DF">
      <w:pPr>
        <w:pStyle w:val="ListParagraph"/>
        <w:numPr>
          <w:numId w:val="32"/>
        </w:numPr>
        <w:bidi w:val="0"/>
        <w:ind w:left="993" w:hanging="426"/>
        <w:rPr>
          <w:rFonts w:ascii="Times New Roman" w:hAnsi="Times New Roman"/>
        </w:rPr>
      </w:pPr>
      <w:r w:rsidRPr="006F6E8E">
        <w:rPr>
          <w:rFonts w:ascii="Times New Roman" w:hAnsi="Times New Roman"/>
        </w:rPr>
        <w:t>iniciáci</w:t>
      </w:r>
      <w:r w:rsidR="0076595D">
        <w:rPr>
          <w:rFonts w:ascii="Times New Roman" w:hAnsi="Times New Roman"/>
        </w:rPr>
        <w:t>a</w:t>
      </w:r>
      <w:r w:rsidRPr="006F6E8E">
        <w:rPr>
          <w:rFonts w:ascii="Times New Roman" w:hAnsi="Times New Roman"/>
        </w:rPr>
        <w:t xml:space="preserve"> zmeny štatutárneho orgánu,</w:t>
      </w:r>
    </w:p>
    <w:p w:rsidR="009F12DF" w:rsidRPr="006F6E8E" w:rsidP="009F12DF">
      <w:pPr>
        <w:pStyle w:val="ListParagraph"/>
        <w:numPr>
          <w:numId w:val="32"/>
        </w:numPr>
        <w:bidi w:val="0"/>
        <w:ind w:left="993" w:hanging="426"/>
        <w:rPr>
          <w:rFonts w:ascii="Times New Roman" w:hAnsi="Times New Roman"/>
        </w:rPr>
      </w:pPr>
      <w:r w:rsidRPr="006F6E8E">
        <w:rPr>
          <w:rFonts w:ascii="Times New Roman" w:hAnsi="Times New Roman"/>
        </w:rPr>
        <w:t>pokuta za porušenie zmluvných povinností.</w:t>
      </w:r>
    </w:p>
    <w:p w:rsidR="007930F6" w:rsidP="007930F6">
      <w:pPr>
        <w:bidi w:val="0"/>
        <w:rPr>
          <w:rFonts w:ascii="Times New Roman" w:hAnsi="Times New Roman"/>
          <w:highlight w:val="yellow"/>
        </w:rPr>
      </w:pPr>
    </w:p>
    <w:p w:rsidR="00251D02" w:rsidRPr="00774A6E" w:rsidP="003D12CC">
      <w:pPr>
        <w:bidi w:val="0"/>
        <w:ind w:firstLine="0"/>
        <w:rPr>
          <w:rFonts w:ascii="Times New Roman" w:hAnsi="Times New Roman"/>
        </w:rPr>
      </w:pPr>
    </w:p>
    <w:p w:rsidR="00251D02" w:rsidP="00EC59F2">
      <w:pPr>
        <w:pStyle w:val="Heading2"/>
        <w:bidi w:val="0"/>
      </w:pPr>
      <w:r w:rsidRPr="00774A6E">
        <w:rPr>
          <w:rFonts w:hint="default"/>
        </w:rPr>
        <w:t>Formy oddlž</w:t>
      </w:r>
      <w:r w:rsidRPr="00774A6E">
        <w:rPr>
          <w:rFonts w:hint="default"/>
        </w:rPr>
        <w:t>ovania</w:t>
      </w:r>
    </w:p>
    <w:p w:rsidR="00EC59F2" w:rsidP="00EC59F2">
      <w:pPr>
        <w:bidi w:val="0"/>
        <w:rPr>
          <w:rFonts w:ascii="Times New Roman" w:hAnsi="Times New Roman"/>
        </w:rPr>
      </w:pPr>
    </w:p>
    <w:p w:rsidR="00FB4D20" w:rsidP="00EC59F2">
      <w:pPr>
        <w:bidi w:val="0"/>
        <w:rPr>
          <w:rFonts w:ascii="Times New Roman" w:hAnsi="Times New Roman"/>
        </w:rPr>
      </w:pPr>
      <w:r w:rsidR="00E52F16">
        <w:rPr>
          <w:rFonts w:ascii="Times New Roman" w:hAnsi="Times New Roman"/>
        </w:rPr>
        <w:t>MZ SR</w:t>
      </w:r>
      <w:r>
        <w:rPr>
          <w:rFonts w:ascii="Times New Roman" w:hAnsi="Times New Roman"/>
        </w:rPr>
        <w:t xml:space="preserve"> navrhuje nasledovné formy oddlžovania:</w:t>
      </w:r>
    </w:p>
    <w:p w:rsidR="00FB4D20" w:rsidRPr="00EC59F2" w:rsidP="00EC59F2">
      <w:pPr>
        <w:bidi w:val="0"/>
        <w:rPr>
          <w:rFonts w:ascii="Times New Roman" w:hAnsi="Times New Roman"/>
        </w:rPr>
      </w:pPr>
    </w:p>
    <w:p w:rsidR="00251D02" w:rsidRPr="00B85EAD" w:rsidP="00CF2104">
      <w:pPr>
        <w:pStyle w:val="Obyajn"/>
        <w:numPr>
          <w:numId w:val="14"/>
        </w:numPr>
        <w:bidi w:val="0"/>
        <w:rPr>
          <w:rFonts w:ascii="Times New Roman" w:hAnsi="Times New Roman"/>
          <w:b/>
        </w:rPr>
      </w:pPr>
      <w:r w:rsidRPr="00B85EAD">
        <w:rPr>
          <w:rFonts w:ascii="Times New Roman" w:hAnsi="Times New Roman"/>
          <w:b/>
        </w:rPr>
        <w:t>Elektronická aukcia</w:t>
      </w:r>
    </w:p>
    <w:p w:rsidR="00251D02" w:rsidP="00CF2104">
      <w:pPr>
        <w:pStyle w:val="Obyajn"/>
        <w:numPr>
          <w:numId w:val="14"/>
        </w:numPr>
        <w:bidi w:val="0"/>
        <w:rPr>
          <w:rFonts w:ascii="Times New Roman" w:hAnsi="Times New Roman"/>
          <w:b/>
        </w:rPr>
      </w:pPr>
      <w:r w:rsidRPr="00B85EAD">
        <w:rPr>
          <w:rFonts w:ascii="Times New Roman" w:hAnsi="Times New Roman"/>
          <w:b/>
        </w:rPr>
        <w:t>Fixný diskont</w:t>
      </w:r>
    </w:p>
    <w:p w:rsidR="005719B9" w:rsidRPr="00B85EAD" w:rsidP="005719B9">
      <w:pPr>
        <w:pStyle w:val="Obyajn"/>
        <w:bidi w:val="0"/>
        <w:ind w:left="1429" w:firstLine="0"/>
        <w:rPr>
          <w:rFonts w:ascii="Times New Roman" w:hAnsi="Times New Roman"/>
          <w:b/>
        </w:rPr>
      </w:pPr>
    </w:p>
    <w:p w:rsidR="00251D02" w:rsidP="00EF537B">
      <w:pPr>
        <w:bidi w:val="0"/>
        <w:rPr>
          <w:rFonts w:ascii="Times New Roman" w:hAnsi="Times New Roman"/>
        </w:rPr>
      </w:pPr>
      <w:r w:rsidR="00465573">
        <w:rPr>
          <w:rFonts w:ascii="Times New Roman" w:hAnsi="Times New Roman"/>
        </w:rPr>
        <w:t>Základným princípom oddlženia je:</w:t>
      </w:r>
    </w:p>
    <w:p w:rsidR="005719B9" w:rsidP="00EF537B">
      <w:pPr>
        <w:bidi w:val="0"/>
        <w:rPr>
          <w:rFonts w:ascii="Times New Roman" w:hAnsi="Times New Roman"/>
        </w:rPr>
      </w:pPr>
    </w:p>
    <w:p w:rsidR="002A6752" w:rsidRPr="002A6752" w:rsidP="00CF2104">
      <w:pPr>
        <w:pStyle w:val="ListParagraph"/>
        <w:numPr>
          <w:numId w:val="17"/>
        </w:numPr>
        <w:bidi w:val="0"/>
        <w:spacing w:line="360" w:lineRule="auto"/>
        <w:rPr>
          <w:rFonts w:ascii="Times New Roman" w:eastAsia="Times New Roman" w:hAnsi="Times New Roman"/>
          <w:b/>
          <w:szCs w:val="24"/>
          <w:lang w:eastAsia="sk-SK"/>
        </w:rPr>
      </w:pPr>
      <w:r w:rsidRPr="002A6752">
        <w:rPr>
          <w:rFonts w:ascii="Times New Roman" w:eastAsia="Times New Roman" w:hAnsi="Times New Roman"/>
          <w:b/>
          <w:szCs w:val="24"/>
          <w:lang w:eastAsia="sk-SK"/>
        </w:rPr>
        <w:t>Rovnaký prístup a zaobchádzanie pre všetkých</w:t>
      </w:r>
    </w:p>
    <w:p w:rsidR="002A6752" w:rsidRPr="002A6752" w:rsidP="00CF2104">
      <w:pPr>
        <w:pStyle w:val="ListParagraph"/>
        <w:numPr>
          <w:numId w:val="17"/>
        </w:numPr>
        <w:bidi w:val="0"/>
        <w:spacing w:line="360" w:lineRule="auto"/>
        <w:rPr>
          <w:rFonts w:ascii="Times New Roman" w:eastAsia="Times New Roman" w:hAnsi="Times New Roman"/>
          <w:b/>
          <w:szCs w:val="24"/>
          <w:lang w:eastAsia="sk-SK"/>
        </w:rPr>
      </w:pPr>
      <w:r w:rsidRPr="002A6752">
        <w:rPr>
          <w:rFonts w:ascii="Times New Roman" w:eastAsia="Times New Roman" w:hAnsi="Times New Roman"/>
          <w:b/>
          <w:szCs w:val="24"/>
          <w:lang w:eastAsia="sk-SK"/>
        </w:rPr>
        <w:t>Dobrovoľnosť na strane dlžníka a na strane veriteľa</w:t>
      </w:r>
    </w:p>
    <w:p w:rsidR="002A6752" w:rsidRPr="002A6752" w:rsidP="00CF2104">
      <w:pPr>
        <w:pStyle w:val="ListParagraph"/>
        <w:numPr>
          <w:numId w:val="17"/>
        </w:numPr>
        <w:bidi w:val="0"/>
        <w:spacing w:line="360" w:lineRule="auto"/>
        <w:rPr>
          <w:rFonts w:ascii="Times New Roman" w:eastAsia="Times New Roman" w:hAnsi="Times New Roman"/>
          <w:b/>
          <w:szCs w:val="24"/>
          <w:lang w:eastAsia="sk-SK"/>
        </w:rPr>
      </w:pPr>
      <w:r w:rsidRPr="002A6752">
        <w:rPr>
          <w:rFonts w:ascii="Times New Roman" w:eastAsia="Times New Roman" w:hAnsi="Times New Roman"/>
          <w:b/>
          <w:szCs w:val="24"/>
          <w:lang w:eastAsia="sk-SK"/>
        </w:rPr>
        <w:t xml:space="preserve">Transparentnosť </w:t>
      </w:r>
      <w:r w:rsidRPr="002A6752">
        <w:rPr>
          <w:rFonts w:ascii="Times New Roman" w:eastAsia="Times New Roman" w:hAnsi="Times New Roman"/>
          <w:szCs w:val="24"/>
          <w:lang w:eastAsia="sk-SK"/>
        </w:rPr>
        <w:t>(</w:t>
      </w:r>
      <w:r>
        <w:rPr>
          <w:rFonts w:ascii="Times New Roman" w:eastAsia="Times New Roman" w:hAnsi="Times New Roman"/>
          <w:szCs w:val="24"/>
          <w:lang w:eastAsia="sk-SK"/>
        </w:rPr>
        <w:t xml:space="preserve">fixný diskont alebo </w:t>
      </w:r>
      <w:r w:rsidRPr="002A6752">
        <w:rPr>
          <w:rFonts w:ascii="Times New Roman" w:eastAsia="Times New Roman" w:hAnsi="Times New Roman"/>
          <w:szCs w:val="24"/>
          <w:lang w:eastAsia="sk-SK"/>
        </w:rPr>
        <w:t>elektronická aukcia a následná kontrola plnenia ozdravných plánov)</w:t>
      </w:r>
    </w:p>
    <w:p w:rsidR="002A6752" w:rsidRPr="002A6752" w:rsidP="00CF2104">
      <w:pPr>
        <w:pStyle w:val="ListParagraph"/>
        <w:numPr>
          <w:numId w:val="17"/>
        </w:numPr>
        <w:bidi w:val="0"/>
        <w:spacing w:line="360" w:lineRule="auto"/>
        <w:rPr>
          <w:rFonts w:ascii="Times New Roman" w:eastAsia="Times New Roman" w:hAnsi="Times New Roman"/>
          <w:b/>
          <w:szCs w:val="24"/>
          <w:lang w:eastAsia="sk-SK"/>
        </w:rPr>
      </w:pPr>
      <w:r w:rsidRPr="002A6752">
        <w:rPr>
          <w:rFonts w:ascii="Times New Roman" w:eastAsia="Times New Roman" w:hAnsi="Times New Roman"/>
          <w:b/>
          <w:szCs w:val="24"/>
          <w:lang w:eastAsia="sk-SK"/>
        </w:rPr>
        <w:t xml:space="preserve">Podmienené </w:t>
      </w:r>
    </w:p>
    <w:p w:rsidR="002A6752" w:rsidRPr="005719B9" w:rsidP="00CF2104">
      <w:pPr>
        <w:pStyle w:val="ListParagraph"/>
        <w:numPr>
          <w:ilvl w:val="1"/>
          <w:numId w:val="17"/>
        </w:numPr>
        <w:bidi w:val="0"/>
        <w:spacing w:line="276" w:lineRule="auto"/>
        <w:rPr>
          <w:rFonts w:ascii="Times New Roman" w:eastAsia="Times New Roman" w:hAnsi="Times New Roman"/>
          <w:szCs w:val="24"/>
          <w:lang w:eastAsia="sk-SK"/>
        </w:rPr>
      </w:pPr>
      <w:r w:rsidRPr="005719B9">
        <w:rPr>
          <w:rFonts w:ascii="Times New Roman" w:eastAsia="Times New Roman" w:hAnsi="Times New Roman"/>
          <w:szCs w:val="24"/>
          <w:lang w:eastAsia="sk-SK"/>
        </w:rPr>
        <w:t>Vytvorením dozorných orgánov s presne určeným minimálnym štatútom (kontrola obstarávaní a nákupov, kontrola plnenia ozdravného plánu, možnosť odvolania štatutára pri presne určených dôvodoch...)</w:t>
      </w:r>
    </w:p>
    <w:p w:rsidR="002A6752" w:rsidRPr="005719B9" w:rsidP="00CF2104">
      <w:pPr>
        <w:pStyle w:val="ListParagraph"/>
        <w:numPr>
          <w:ilvl w:val="1"/>
          <w:numId w:val="17"/>
        </w:numPr>
        <w:bidi w:val="0"/>
        <w:spacing w:line="276" w:lineRule="auto"/>
        <w:rPr>
          <w:rFonts w:ascii="Times New Roman" w:eastAsia="Times New Roman" w:hAnsi="Times New Roman"/>
          <w:szCs w:val="24"/>
          <w:lang w:eastAsia="sk-SK"/>
        </w:rPr>
      </w:pPr>
      <w:r w:rsidRPr="005719B9">
        <w:rPr>
          <w:rFonts w:ascii="Times New Roman" w:eastAsia="Times New Roman" w:hAnsi="Times New Roman"/>
          <w:szCs w:val="24"/>
          <w:lang w:eastAsia="sk-SK"/>
        </w:rPr>
        <w:t>Realizáciou ozdravných plánov (určená štruktúra)</w:t>
      </w:r>
    </w:p>
    <w:p w:rsidR="002A6752" w:rsidRPr="005719B9" w:rsidP="0059034D">
      <w:pPr>
        <w:pStyle w:val="ListParagraph"/>
        <w:numPr>
          <w:ilvl w:val="1"/>
          <w:numId w:val="17"/>
        </w:numPr>
        <w:bidi w:val="0"/>
        <w:spacing w:line="360" w:lineRule="auto"/>
        <w:rPr>
          <w:rFonts w:ascii="Times New Roman" w:eastAsia="Times New Roman" w:hAnsi="Times New Roman"/>
          <w:szCs w:val="24"/>
          <w:lang w:eastAsia="sk-SK"/>
        </w:rPr>
      </w:pPr>
      <w:r w:rsidRPr="005719B9">
        <w:rPr>
          <w:rFonts w:ascii="Times New Roman" w:eastAsia="Times New Roman" w:hAnsi="Times New Roman"/>
          <w:szCs w:val="24"/>
          <w:lang w:eastAsia="sk-SK"/>
        </w:rPr>
        <w:t>Sankcionovaním neplnenia dohôd (finančných a personálnych)</w:t>
      </w:r>
    </w:p>
    <w:p w:rsidR="002A6752" w:rsidRPr="002A6752" w:rsidP="00CF2104">
      <w:pPr>
        <w:pStyle w:val="ListParagraph"/>
        <w:numPr>
          <w:numId w:val="17"/>
        </w:numPr>
        <w:bidi w:val="0"/>
        <w:spacing w:line="360" w:lineRule="auto"/>
        <w:rPr>
          <w:rFonts w:ascii="Times New Roman" w:eastAsia="Times New Roman" w:hAnsi="Times New Roman"/>
          <w:b/>
          <w:szCs w:val="24"/>
          <w:lang w:eastAsia="sk-SK"/>
        </w:rPr>
      </w:pPr>
      <w:r w:rsidRPr="002A6752">
        <w:rPr>
          <w:rFonts w:ascii="Times New Roman" w:eastAsia="Times New Roman" w:hAnsi="Times New Roman"/>
          <w:b/>
          <w:szCs w:val="24"/>
          <w:lang w:eastAsia="sk-SK"/>
        </w:rPr>
        <w:t>Obmedzené finančné zdroje</w:t>
      </w:r>
    </w:p>
    <w:p w:rsidR="00465573" w:rsidRPr="00774A6E" w:rsidP="00EF537B">
      <w:pPr>
        <w:bidi w:val="0"/>
        <w:rPr>
          <w:rFonts w:ascii="Times New Roman" w:hAnsi="Times New Roman"/>
        </w:rPr>
      </w:pPr>
    </w:p>
    <w:p w:rsidR="005719B9" w:rsidP="00EF537B">
      <w:pPr>
        <w:bidi w:val="0"/>
        <w:rPr>
          <w:rFonts w:ascii="Times New Roman" w:hAnsi="Times New Roman"/>
        </w:rPr>
      </w:pPr>
      <w:r w:rsidRPr="00774A6E" w:rsidR="00251D02">
        <w:rPr>
          <w:rFonts w:ascii="Times New Roman" w:hAnsi="Times New Roman"/>
        </w:rPr>
        <w:t xml:space="preserve">Predpokladom zapojenia veriteľa do procesu oddlžovania </w:t>
      </w:r>
      <w:r w:rsidRPr="00154367" w:rsidR="00251D02">
        <w:rPr>
          <w:rFonts w:ascii="Times New Roman" w:hAnsi="Times New Roman"/>
          <w:b/>
        </w:rPr>
        <w:t>bude vzdanie sa všetkého príslušenstva k pohľadávkam, najmä úrokov z omeškania</w:t>
      </w:r>
      <w:r w:rsidRPr="00774A6E" w:rsidR="00251D02">
        <w:rPr>
          <w:rFonts w:ascii="Times New Roman" w:hAnsi="Times New Roman"/>
        </w:rPr>
        <w:t xml:space="preserve">, rôznych zmluvných pokút, sankcií či poplatkov, ktoré ako dôsledok omeškania so splatením istiny pohľadávky vznikli a diskont z istiny vo výške podľa zvolenej formy oddlžovania. </w:t>
      </w:r>
    </w:p>
    <w:p w:rsidR="0059034D" w:rsidP="00EF537B">
      <w:pPr>
        <w:bidi w:val="0"/>
        <w:rPr>
          <w:rFonts w:ascii="Times New Roman" w:hAnsi="Times New Roman"/>
        </w:rPr>
      </w:pPr>
    </w:p>
    <w:p w:rsidR="00251D02" w:rsidP="00EF537B">
      <w:pPr>
        <w:bidi w:val="0"/>
        <w:rPr>
          <w:rFonts w:ascii="Times New Roman" w:hAnsi="Times New Roman"/>
        </w:rPr>
      </w:pPr>
      <w:r w:rsidRPr="00774A6E">
        <w:rPr>
          <w:rFonts w:ascii="Times New Roman" w:hAnsi="Times New Roman"/>
        </w:rPr>
        <w:t>Veritelia budú mať možnosť rozhodnúť sa, ktorú formu možnosti uspokojenia svojich pohľadávok si zvolia</w:t>
      </w:r>
      <w:r w:rsidR="00465573">
        <w:rPr>
          <w:rFonts w:ascii="Times New Roman" w:hAnsi="Times New Roman"/>
        </w:rPr>
        <w:t xml:space="preserve">, pričom </w:t>
      </w:r>
      <w:r w:rsidRPr="00154367" w:rsidR="00465573">
        <w:rPr>
          <w:rFonts w:ascii="Times New Roman" w:hAnsi="Times New Roman"/>
          <w:b/>
        </w:rPr>
        <w:t>ako prvá forma sa ponúkne oddlženie na základe dohody o fixnom diskonte</w:t>
      </w:r>
      <w:r w:rsidR="00465573">
        <w:rPr>
          <w:rFonts w:ascii="Times New Roman" w:hAnsi="Times New Roman"/>
        </w:rPr>
        <w:t xml:space="preserve"> a tí veritelia, ktorí nepristúpia k takejto dohode, ale rozhodnú sa uplatniť si pohľadávky </w:t>
      </w:r>
      <w:r w:rsidRPr="00154367" w:rsidR="00465573">
        <w:rPr>
          <w:rFonts w:ascii="Times New Roman" w:hAnsi="Times New Roman"/>
          <w:b/>
        </w:rPr>
        <w:t>formou elektronickej aukcie</w:t>
      </w:r>
      <w:r w:rsidR="00465573">
        <w:rPr>
          <w:rFonts w:ascii="Times New Roman" w:hAnsi="Times New Roman"/>
        </w:rPr>
        <w:t xml:space="preserve"> sa budú oddlžovať až následne.</w:t>
      </w:r>
    </w:p>
    <w:p w:rsidR="00421F3A" w:rsidP="00EF537B">
      <w:pPr>
        <w:bidi w:val="0"/>
        <w:rPr>
          <w:rFonts w:ascii="Times New Roman" w:hAnsi="Times New Roman"/>
        </w:rPr>
      </w:pPr>
    </w:p>
    <w:p w:rsidR="00421F3A" w:rsidP="00421F3A">
      <w:pPr>
        <w:bidi w:val="0"/>
        <w:rPr>
          <w:rFonts w:ascii="Times New Roman" w:hAnsi="Times New Roman"/>
        </w:rPr>
      </w:pPr>
      <w:r>
        <w:rPr>
          <w:rFonts w:ascii="Times New Roman" w:hAnsi="Times New Roman"/>
        </w:rPr>
        <w:t>Oddlženia budú rozdelené do viacerých kôl (tranží) a to podľa veku pohľadávok. Pohľadávky, ktorých lehota splatnosti bola v </w:t>
      </w:r>
      <w:r w:rsidRPr="00AA6B73">
        <w:rPr>
          <w:rFonts w:ascii="Times New Roman" w:hAnsi="Times New Roman"/>
          <w:b/>
        </w:rPr>
        <w:t>perióde</w:t>
      </w:r>
      <w:r>
        <w:rPr>
          <w:rFonts w:ascii="Times New Roman" w:hAnsi="Times New Roman"/>
        </w:rPr>
        <w:t xml:space="preserve">: </w:t>
      </w:r>
    </w:p>
    <w:p w:rsidR="00945CF9" w:rsidP="00421F3A">
      <w:pPr>
        <w:bidi w:val="0"/>
        <w:rPr>
          <w:rFonts w:ascii="Times New Roman" w:hAnsi="Times New Roman"/>
        </w:rPr>
      </w:pPr>
    </w:p>
    <w:p w:rsidR="00421F3A" w:rsidRPr="00421F3A" w:rsidP="00761B49">
      <w:pPr>
        <w:pStyle w:val="ListParagraph"/>
        <w:numPr>
          <w:numId w:val="27"/>
        </w:numPr>
        <w:bidi w:val="0"/>
        <w:spacing w:line="360" w:lineRule="auto"/>
        <w:rPr>
          <w:rFonts w:ascii="Times New Roman" w:eastAsia="Times New Roman" w:hAnsi="Times New Roman"/>
          <w:szCs w:val="24"/>
          <w:lang w:eastAsia="sk-SK"/>
        </w:rPr>
      </w:pPr>
      <w:r w:rsidRPr="00421F3A">
        <w:rPr>
          <w:rFonts w:ascii="Times New Roman" w:eastAsia="Times New Roman" w:hAnsi="Times New Roman"/>
          <w:szCs w:val="24"/>
          <w:lang w:eastAsia="sk-SK"/>
        </w:rPr>
        <w:t>od 1.1.2016 do 31.12.2016</w:t>
      </w:r>
      <w:r>
        <w:rPr>
          <w:rFonts w:ascii="Times New Roman" w:eastAsia="Times New Roman" w:hAnsi="Times New Roman"/>
          <w:szCs w:val="24"/>
          <w:lang w:eastAsia="sk-SK"/>
        </w:rPr>
        <w:t>,</w:t>
      </w:r>
    </w:p>
    <w:p w:rsidR="00421F3A" w:rsidRPr="00421F3A" w:rsidP="00761B49">
      <w:pPr>
        <w:pStyle w:val="ListParagraph"/>
        <w:numPr>
          <w:numId w:val="27"/>
        </w:numPr>
        <w:bidi w:val="0"/>
        <w:spacing w:line="360" w:lineRule="auto"/>
        <w:rPr>
          <w:rFonts w:ascii="Times New Roman" w:eastAsia="Times New Roman" w:hAnsi="Times New Roman"/>
          <w:szCs w:val="24"/>
          <w:lang w:eastAsia="sk-SK"/>
        </w:rPr>
      </w:pPr>
      <w:r w:rsidRPr="00421F3A">
        <w:rPr>
          <w:rFonts w:ascii="Times New Roman" w:eastAsia="Times New Roman" w:hAnsi="Times New Roman"/>
          <w:szCs w:val="24"/>
          <w:lang w:eastAsia="sk-SK"/>
        </w:rPr>
        <w:t>od 1.1.2015 do 31.12.2015</w:t>
      </w:r>
      <w:r>
        <w:rPr>
          <w:rFonts w:ascii="Times New Roman" w:eastAsia="Times New Roman" w:hAnsi="Times New Roman"/>
          <w:szCs w:val="24"/>
          <w:lang w:eastAsia="sk-SK"/>
        </w:rPr>
        <w:t>,</w:t>
      </w:r>
    </w:p>
    <w:p w:rsidR="00421F3A" w:rsidRPr="00421F3A" w:rsidP="00761B49">
      <w:pPr>
        <w:pStyle w:val="ListParagraph"/>
        <w:numPr>
          <w:numId w:val="27"/>
        </w:numPr>
        <w:bidi w:val="0"/>
        <w:spacing w:line="360" w:lineRule="auto"/>
        <w:rPr>
          <w:rFonts w:ascii="Times New Roman" w:eastAsia="Times New Roman" w:hAnsi="Times New Roman"/>
          <w:szCs w:val="24"/>
          <w:lang w:eastAsia="sk-SK"/>
        </w:rPr>
      </w:pPr>
      <w:r w:rsidRPr="00421F3A">
        <w:rPr>
          <w:rFonts w:ascii="Times New Roman" w:eastAsia="Times New Roman" w:hAnsi="Times New Roman"/>
          <w:szCs w:val="24"/>
          <w:lang w:eastAsia="sk-SK"/>
        </w:rPr>
        <w:t>od 1.1.2014 do 31.12.2014</w:t>
      </w:r>
      <w:r>
        <w:rPr>
          <w:rFonts w:ascii="Times New Roman" w:eastAsia="Times New Roman" w:hAnsi="Times New Roman"/>
          <w:szCs w:val="24"/>
          <w:lang w:eastAsia="sk-SK"/>
        </w:rPr>
        <w:t>,</w:t>
      </w:r>
    </w:p>
    <w:p w:rsidR="00251D02" w:rsidRPr="00421F3A" w:rsidP="00761B49">
      <w:pPr>
        <w:pStyle w:val="ListParagraph"/>
        <w:numPr>
          <w:numId w:val="27"/>
        </w:numPr>
        <w:bidi w:val="0"/>
        <w:spacing w:line="360" w:lineRule="auto"/>
        <w:rPr>
          <w:rFonts w:ascii="Times New Roman" w:eastAsia="Times New Roman" w:hAnsi="Times New Roman"/>
          <w:szCs w:val="24"/>
          <w:lang w:eastAsia="sk-SK"/>
        </w:rPr>
      </w:pPr>
      <w:r w:rsidRPr="00421F3A" w:rsidR="00421F3A">
        <w:rPr>
          <w:rFonts w:ascii="Times New Roman" w:eastAsia="Times New Roman" w:hAnsi="Times New Roman"/>
          <w:szCs w:val="24"/>
          <w:lang w:eastAsia="sk-SK"/>
        </w:rPr>
        <w:t>od 1.1.2013</w:t>
      </w:r>
      <w:r w:rsidR="00421F3A">
        <w:rPr>
          <w:rFonts w:ascii="Times New Roman" w:eastAsia="Times New Roman" w:hAnsi="Times New Roman"/>
          <w:szCs w:val="24"/>
          <w:lang w:eastAsia="sk-SK"/>
        </w:rPr>
        <w:t>,</w:t>
      </w:r>
    </w:p>
    <w:p w:rsidR="00421F3A" w:rsidP="00761B49">
      <w:pPr>
        <w:pStyle w:val="ListParagraph"/>
        <w:numPr>
          <w:numId w:val="27"/>
        </w:numPr>
        <w:bidi w:val="0"/>
        <w:spacing w:line="360" w:lineRule="auto"/>
        <w:rPr>
          <w:rFonts w:ascii="Times New Roman" w:eastAsia="Times New Roman" w:hAnsi="Times New Roman"/>
          <w:szCs w:val="24"/>
          <w:lang w:eastAsia="sk-SK"/>
        </w:rPr>
      </w:pPr>
      <w:r w:rsidRPr="00421F3A">
        <w:rPr>
          <w:rFonts w:ascii="Times New Roman" w:eastAsia="Times New Roman" w:hAnsi="Times New Roman"/>
          <w:szCs w:val="24"/>
          <w:lang w:eastAsia="sk-SK"/>
        </w:rPr>
        <w:t>iné</w:t>
      </w:r>
      <w:r>
        <w:rPr>
          <w:rFonts w:ascii="Times New Roman" w:eastAsia="Times New Roman" w:hAnsi="Times New Roman"/>
          <w:szCs w:val="24"/>
          <w:lang w:eastAsia="sk-SK"/>
        </w:rPr>
        <w:t>.</w:t>
      </w:r>
    </w:p>
    <w:p w:rsidR="00421F3A" w:rsidP="00421F3A">
      <w:pPr>
        <w:bidi w:val="0"/>
        <w:spacing w:line="360" w:lineRule="auto"/>
        <w:rPr>
          <w:rFonts w:ascii="Times New Roman" w:eastAsia="Times New Roman" w:hAnsi="Times New Roman"/>
          <w:szCs w:val="24"/>
          <w:lang w:eastAsia="sk-SK"/>
        </w:rPr>
      </w:pPr>
      <w:r w:rsidR="009D4CED">
        <w:rPr>
          <w:rFonts w:ascii="Times New Roman" w:eastAsia="Times New Roman" w:hAnsi="Times New Roman"/>
          <w:szCs w:val="24"/>
          <w:lang w:eastAsia="sk-SK"/>
        </w:rPr>
        <w:t>Dlžníci</w:t>
      </w:r>
      <w:r>
        <w:rPr>
          <w:rFonts w:ascii="Times New Roman" w:eastAsia="Times New Roman" w:hAnsi="Times New Roman"/>
          <w:szCs w:val="24"/>
          <w:lang w:eastAsia="sk-SK"/>
        </w:rPr>
        <w:t>, ktor</w:t>
      </w:r>
      <w:r w:rsidR="00122D63">
        <w:rPr>
          <w:rFonts w:ascii="Times New Roman" w:eastAsia="Times New Roman" w:hAnsi="Times New Roman"/>
          <w:szCs w:val="24"/>
          <w:lang w:eastAsia="sk-SK"/>
        </w:rPr>
        <w:t>ým</w:t>
      </w:r>
      <w:r>
        <w:rPr>
          <w:rFonts w:ascii="Times New Roman" w:eastAsia="Times New Roman" w:hAnsi="Times New Roman"/>
          <w:szCs w:val="24"/>
          <w:lang w:eastAsia="sk-SK"/>
        </w:rPr>
        <w:t xml:space="preserve"> ozdravný plán</w:t>
      </w:r>
      <w:r w:rsidRPr="00421F3A">
        <w:rPr>
          <w:rFonts w:ascii="Times New Roman" w:eastAsia="Times New Roman" w:hAnsi="Times New Roman"/>
          <w:szCs w:val="24"/>
          <w:lang w:eastAsia="sk-SK"/>
        </w:rPr>
        <w:t xml:space="preserve"> </w:t>
      </w:r>
      <w:r w:rsidR="00122D63">
        <w:rPr>
          <w:rFonts w:ascii="Times New Roman" w:eastAsia="Times New Roman" w:hAnsi="Times New Roman"/>
          <w:szCs w:val="24"/>
          <w:lang w:eastAsia="sk-SK"/>
        </w:rPr>
        <w:t xml:space="preserve">MZ SR neschváli, môžu vstúpiť iba do </w:t>
      </w:r>
      <w:r w:rsidR="00AA6B73">
        <w:rPr>
          <w:rFonts w:ascii="Times New Roman" w:eastAsia="Times New Roman" w:hAnsi="Times New Roman"/>
          <w:szCs w:val="24"/>
          <w:lang w:eastAsia="sk-SK"/>
        </w:rPr>
        <w:t xml:space="preserve">oddlženia </w:t>
      </w:r>
      <w:r w:rsidR="00122D63">
        <w:rPr>
          <w:rFonts w:ascii="Times New Roman" w:eastAsia="Times New Roman" w:hAnsi="Times New Roman"/>
          <w:szCs w:val="24"/>
          <w:lang w:eastAsia="sk-SK"/>
        </w:rPr>
        <w:t xml:space="preserve">3. a 4. </w:t>
      </w:r>
      <w:r w:rsidR="00AA6B73">
        <w:rPr>
          <w:rFonts w:ascii="Times New Roman" w:eastAsia="Times New Roman" w:hAnsi="Times New Roman"/>
          <w:szCs w:val="24"/>
          <w:lang w:eastAsia="sk-SK"/>
        </w:rPr>
        <w:t>periódy</w:t>
      </w:r>
      <w:r w:rsidR="00122D63">
        <w:rPr>
          <w:rFonts w:ascii="Times New Roman" w:eastAsia="Times New Roman" w:hAnsi="Times New Roman"/>
          <w:szCs w:val="24"/>
          <w:lang w:eastAsia="sk-SK"/>
        </w:rPr>
        <w:t>.</w:t>
      </w:r>
    </w:p>
    <w:p w:rsidR="00761B49" w:rsidRPr="00421F3A" w:rsidP="00421F3A">
      <w:pPr>
        <w:bidi w:val="0"/>
        <w:spacing w:line="360" w:lineRule="auto"/>
        <w:rPr>
          <w:rFonts w:ascii="Times New Roman" w:eastAsia="Times New Roman" w:hAnsi="Times New Roman"/>
          <w:szCs w:val="24"/>
          <w:lang w:eastAsia="sk-SK"/>
        </w:rPr>
      </w:pPr>
    </w:p>
    <w:p w:rsidR="00FB4D20" w:rsidP="00EF537B">
      <w:pPr>
        <w:bidi w:val="0"/>
        <w:rPr>
          <w:rFonts w:ascii="Times New Roman" w:hAnsi="Times New Roman"/>
        </w:rPr>
      </w:pPr>
    </w:p>
    <w:p w:rsidR="00FB4D20" w:rsidRPr="00FB4D20" w:rsidP="00FB4D20">
      <w:pPr>
        <w:pStyle w:val="Heading3"/>
        <w:bidi w:val="0"/>
        <w:rPr>
          <w:rFonts w:hint="default"/>
          <w:color w:val="365F91" w:themeShade="BF"/>
        </w:rPr>
      </w:pPr>
      <w:r w:rsidRPr="00FB4D20">
        <w:rPr>
          <w:rFonts w:hint="default"/>
          <w:color w:val="365F91" w:themeShade="BF"/>
        </w:rPr>
        <w:t>Elektronická</w:t>
      </w:r>
      <w:r w:rsidRPr="00FB4D20">
        <w:rPr>
          <w:rFonts w:hint="default"/>
          <w:color w:val="365F91" w:themeShade="BF"/>
        </w:rPr>
        <w:t xml:space="preserve"> aukcia</w:t>
      </w:r>
    </w:p>
    <w:p w:rsidR="00FB4D20" w:rsidRPr="00774A6E" w:rsidP="00EF537B">
      <w:pPr>
        <w:bidi w:val="0"/>
        <w:rPr>
          <w:rFonts w:ascii="Times New Roman" w:hAnsi="Times New Roman"/>
        </w:rPr>
      </w:pPr>
    </w:p>
    <w:p w:rsidR="00251D02" w:rsidRPr="00774A6E" w:rsidP="00EF537B">
      <w:pPr>
        <w:bidi w:val="0"/>
        <w:rPr>
          <w:rFonts w:ascii="Times New Roman" w:hAnsi="Times New Roman"/>
        </w:rPr>
      </w:pPr>
      <w:r w:rsidRPr="00FB4D20">
        <w:rPr>
          <w:rFonts w:ascii="Times New Roman" w:hAnsi="Times New Roman"/>
        </w:rPr>
        <w:t>Elektronická aukcia</w:t>
      </w:r>
      <w:r w:rsidRPr="00774A6E">
        <w:rPr>
          <w:rFonts w:ascii="Times New Roman" w:hAnsi="Times New Roman"/>
        </w:rPr>
        <w:t xml:space="preserve"> bude realizovaná na elektronickom portáli. Do portálu budú vložené všetky faktúry a záväzky nemocníc ktoré budú oddlžované. Jednotliví veritelia sa budú môcť na portál prihlásiť a súťažiť o to, aby boli ich pohľadávky uspokojené. Objem zdrojov zapojených do tejto formy oddlžovania je definovaný nižšie.</w:t>
      </w:r>
    </w:p>
    <w:p w:rsidR="00251D02" w:rsidRPr="00774A6E" w:rsidP="00EF537B">
      <w:pPr>
        <w:bidi w:val="0"/>
        <w:rPr>
          <w:rFonts w:ascii="Times New Roman" w:hAnsi="Times New Roman"/>
        </w:rPr>
      </w:pPr>
    </w:p>
    <w:p w:rsidR="00421F3A" w:rsidP="00421F3A">
      <w:pPr>
        <w:bidi w:val="0"/>
        <w:rPr>
          <w:rFonts w:ascii="Times New Roman" w:hAnsi="Times New Roman"/>
          <w:u w:val="single"/>
        </w:rPr>
      </w:pPr>
      <w:r w:rsidRPr="00FB4D20" w:rsidR="00251D02">
        <w:rPr>
          <w:rFonts w:ascii="Times New Roman" w:hAnsi="Times New Roman"/>
          <w:u w:val="single"/>
        </w:rPr>
        <w:t>Pravidlá súťaže:</w:t>
      </w:r>
    </w:p>
    <w:p w:rsidR="00421F3A" w:rsidRPr="00421F3A" w:rsidP="00421F3A">
      <w:pPr>
        <w:bidi w:val="0"/>
        <w:rPr>
          <w:rFonts w:ascii="Times New Roman" w:hAnsi="Times New Roman"/>
          <w:u w:val="single"/>
        </w:rPr>
      </w:pPr>
    </w:p>
    <w:p w:rsidR="00251D02" w:rsidRPr="00B85EAD" w:rsidP="00CF2104">
      <w:pPr>
        <w:pStyle w:val="Obyajn"/>
        <w:numPr>
          <w:numId w:val="15"/>
        </w:numPr>
        <w:bidi w:val="0"/>
        <w:ind w:left="1134"/>
        <w:rPr>
          <w:rFonts w:ascii="Times New Roman" w:hAnsi="Times New Roman"/>
        </w:rPr>
      </w:pPr>
      <w:r w:rsidR="002B574F">
        <w:rPr>
          <w:rFonts w:ascii="Times New Roman" w:hAnsi="Times New Roman"/>
        </w:rPr>
        <w:t xml:space="preserve">Predmetom </w:t>
      </w:r>
      <w:r w:rsidRPr="00B85EAD">
        <w:rPr>
          <w:rFonts w:ascii="Times New Roman" w:hAnsi="Times New Roman"/>
        </w:rPr>
        <w:t>súťaž</w:t>
      </w:r>
      <w:r w:rsidR="002B574F">
        <w:rPr>
          <w:rFonts w:ascii="Times New Roman" w:hAnsi="Times New Roman"/>
        </w:rPr>
        <w:t>e je poskytnúť takú výšku diskontnej sadzby z nominálu istiny pohľadávky veriteľa, ktorou sa zvýši jeho index prednosti, čím sa táto pohľadávka presunie vyššie až do skupiny záväzkov dlžníkov, ktoré sú kryté finančnými prostriedkami určenými na oddlženie.</w:t>
      </w:r>
      <w:r w:rsidRPr="00B85EAD">
        <w:rPr>
          <w:rFonts w:ascii="Times New Roman" w:hAnsi="Times New Roman"/>
        </w:rPr>
        <w:t xml:space="preserve"> </w:t>
      </w:r>
      <w:r w:rsidR="005719B9">
        <w:rPr>
          <w:rFonts w:ascii="Times New Roman" w:hAnsi="Times New Roman"/>
        </w:rPr>
        <w:t>Bude možné vykonať rozhodnutie</w:t>
      </w:r>
      <w:r w:rsidRPr="00774A6E" w:rsidR="005719B9">
        <w:rPr>
          <w:rFonts w:ascii="Times New Roman" w:hAnsi="Times New Roman"/>
        </w:rPr>
        <w:t xml:space="preserve"> na úrovni každej jednej faktúry samostatne</w:t>
      </w:r>
      <w:r w:rsidR="005719B9">
        <w:rPr>
          <w:rFonts w:ascii="Times New Roman" w:hAnsi="Times New Roman"/>
        </w:rPr>
        <w:t xml:space="preserve"> alebo na skupine faktúr podľa zvoleného kritéria.</w:t>
      </w:r>
    </w:p>
    <w:p w:rsidR="00251D02" w:rsidRPr="00B85EAD" w:rsidP="00CF2104">
      <w:pPr>
        <w:pStyle w:val="Obyajn"/>
        <w:numPr>
          <w:numId w:val="15"/>
        </w:numPr>
        <w:bidi w:val="0"/>
        <w:ind w:left="1134"/>
        <w:rPr>
          <w:rFonts w:ascii="Times New Roman" w:hAnsi="Times New Roman"/>
        </w:rPr>
      </w:pPr>
      <w:r w:rsidR="00465573">
        <w:rPr>
          <w:rFonts w:ascii="Times New Roman" w:hAnsi="Times New Roman"/>
        </w:rPr>
        <w:t>S</w:t>
      </w:r>
      <w:r w:rsidRPr="00B85EAD">
        <w:rPr>
          <w:rFonts w:ascii="Times New Roman" w:hAnsi="Times New Roman"/>
        </w:rPr>
        <w:t>ystém na začiatku automaticky zoradí pohľadávky podľa ich veku od najstaršej</w:t>
      </w:r>
      <w:r w:rsidR="00465573">
        <w:rPr>
          <w:rFonts w:ascii="Times New Roman" w:hAnsi="Times New Roman"/>
        </w:rPr>
        <w:t xml:space="preserve">. </w:t>
      </w:r>
    </w:p>
    <w:p w:rsidR="00251D02" w:rsidRPr="00B85EAD" w:rsidP="00CF2104">
      <w:pPr>
        <w:pStyle w:val="Obyajn"/>
        <w:numPr>
          <w:numId w:val="15"/>
        </w:numPr>
        <w:bidi w:val="0"/>
        <w:ind w:left="1134"/>
        <w:rPr>
          <w:rFonts w:ascii="Times New Roman" w:hAnsi="Times New Roman"/>
        </w:rPr>
      </w:pPr>
      <w:r w:rsidR="00465573">
        <w:rPr>
          <w:rFonts w:ascii="Times New Roman" w:hAnsi="Times New Roman"/>
        </w:rPr>
        <w:t>P</w:t>
      </w:r>
      <w:r w:rsidRPr="00B85EAD">
        <w:rPr>
          <w:rFonts w:ascii="Times New Roman" w:hAnsi="Times New Roman"/>
        </w:rPr>
        <w:t xml:space="preserve">odľa objemu </w:t>
      </w:r>
      <w:r w:rsidR="00465573">
        <w:rPr>
          <w:rFonts w:ascii="Times New Roman" w:hAnsi="Times New Roman"/>
        </w:rPr>
        <w:t>finančných prostriedkov určených na oddlženie formou</w:t>
      </w:r>
      <w:r w:rsidRPr="00B85EAD">
        <w:rPr>
          <w:rFonts w:ascii="Times New Roman" w:hAnsi="Times New Roman"/>
        </w:rPr>
        <w:t xml:space="preserve"> aukcie bude vytvorená deliaca čiara úspešných a neúspešných pohľadávok</w:t>
      </w:r>
      <w:r w:rsidR="00B70C30">
        <w:rPr>
          <w:rFonts w:ascii="Times New Roman" w:hAnsi="Times New Roman"/>
        </w:rPr>
        <w:t>.</w:t>
      </w:r>
      <w:r w:rsidRPr="00B85EAD">
        <w:rPr>
          <w:rFonts w:ascii="Times New Roman" w:hAnsi="Times New Roman"/>
        </w:rPr>
        <w:t xml:space="preserve"> </w:t>
      </w:r>
      <w:r w:rsidR="00B70C30">
        <w:rPr>
          <w:rFonts w:ascii="Times New Roman" w:hAnsi="Times New Roman"/>
        </w:rPr>
        <w:t>Ú</w:t>
      </w:r>
      <w:r w:rsidRPr="00B85EAD">
        <w:rPr>
          <w:rFonts w:ascii="Times New Roman" w:hAnsi="Times New Roman"/>
        </w:rPr>
        <w:t xml:space="preserve">spešne uplatnené </w:t>
      </w:r>
      <w:r w:rsidR="00B70C30">
        <w:rPr>
          <w:rFonts w:ascii="Times New Roman" w:hAnsi="Times New Roman"/>
        </w:rPr>
        <w:t xml:space="preserve">budú všetky za sebou zotriedené pohľadávky kumulatívne v hodnote istiny mínu poskytnutý diskont až </w:t>
      </w:r>
      <w:r w:rsidRPr="00B85EAD">
        <w:rPr>
          <w:rFonts w:ascii="Times New Roman" w:hAnsi="Times New Roman"/>
        </w:rPr>
        <w:t>do výšky finančnej tranže uvoľnenej do daného kola</w:t>
      </w:r>
      <w:r w:rsidR="00B70C30">
        <w:rPr>
          <w:rFonts w:ascii="Times New Roman" w:hAnsi="Times New Roman"/>
        </w:rPr>
        <w:t>.</w:t>
      </w:r>
    </w:p>
    <w:p w:rsidR="00251D02" w:rsidP="00CF2104">
      <w:pPr>
        <w:pStyle w:val="Obyajn"/>
        <w:numPr>
          <w:numId w:val="15"/>
        </w:numPr>
        <w:bidi w:val="0"/>
        <w:ind w:left="1134"/>
        <w:rPr>
          <w:rFonts w:ascii="Times New Roman" w:hAnsi="Times New Roman"/>
        </w:rPr>
      </w:pPr>
      <w:r w:rsidR="007A2D71">
        <w:rPr>
          <w:rFonts w:ascii="Times New Roman" w:hAnsi="Times New Roman"/>
        </w:rPr>
        <w:t>D</w:t>
      </w:r>
      <w:r w:rsidRPr="00B85EAD">
        <w:rPr>
          <w:rFonts w:ascii="Times New Roman" w:hAnsi="Times New Roman"/>
        </w:rPr>
        <w:t xml:space="preserve">ôležitý pre úspešnosť uspokojenia pohľadávky bude tzv. </w:t>
      </w:r>
      <w:r w:rsidRPr="001D4F9B">
        <w:rPr>
          <w:rFonts w:ascii="Times New Roman" w:hAnsi="Times New Roman"/>
          <w:i/>
        </w:rPr>
        <w:t>Index prednosti</w:t>
      </w:r>
      <w:r w:rsidR="001D4F9B">
        <w:rPr>
          <w:rFonts w:ascii="Times New Roman" w:hAnsi="Times New Roman"/>
        </w:rPr>
        <w:t xml:space="preserve">, ktorý určuje </w:t>
      </w:r>
      <w:r w:rsidRPr="00B85EAD">
        <w:rPr>
          <w:rFonts w:ascii="Times New Roman" w:hAnsi="Times New Roman"/>
        </w:rPr>
        <w:t xml:space="preserve">vek pohľadávky </w:t>
      </w:r>
      <w:r w:rsidR="001D4F9B">
        <w:rPr>
          <w:rFonts w:ascii="Times New Roman" w:hAnsi="Times New Roman"/>
        </w:rPr>
        <w:t xml:space="preserve">a </w:t>
      </w:r>
      <w:r w:rsidRPr="00B85EAD">
        <w:rPr>
          <w:rFonts w:ascii="Times New Roman" w:hAnsi="Times New Roman"/>
        </w:rPr>
        <w:t>výšk</w:t>
      </w:r>
      <w:r w:rsidR="001D4F9B">
        <w:rPr>
          <w:rFonts w:ascii="Times New Roman" w:hAnsi="Times New Roman"/>
        </w:rPr>
        <w:t>u</w:t>
      </w:r>
      <w:r w:rsidRPr="00B85EAD">
        <w:rPr>
          <w:rFonts w:ascii="Times New Roman" w:hAnsi="Times New Roman"/>
        </w:rPr>
        <w:t xml:space="preserve"> diskontu</w:t>
      </w:r>
      <w:r w:rsidR="001D4F9B">
        <w:rPr>
          <w:rFonts w:ascii="Times New Roman" w:hAnsi="Times New Roman"/>
        </w:rPr>
        <w:t>. Čím staršia pohľadávka</w:t>
      </w:r>
      <w:r w:rsidR="00485DC1">
        <w:rPr>
          <w:rFonts w:ascii="Times New Roman" w:hAnsi="Times New Roman"/>
        </w:rPr>
        <w:t>,</w:t>
      </w:r>
      <w:r w:rsidR="001D4F9B">
        <w:rPr>
          <w:rFonts w:ascii="Times New Roman" w:hAnsi="Times New Roman"/>
        </w:rPr>
        <w:t xml:space="preserve"> tým vyšší index prednosti má. Zvýšenie indexu prednosti o </w:t>
      </w:r>
      <w:r w:rsidR="00421F3A">
        <w:rPr>
          <w:rFonts w:ascii="Times New Roman" w:hAnsi="Times New Roman"/>
        </w:rPr>
        <w:t>jeden</w:t>
      </w:r>
      <w:r w:rsidR="001D4F9B">
        <w:rPr>
          <w:rFonts w:ascii="Times New Roman" w:hAnsi="Times New Roman"/>
        </w:rPr>
        <w:t xml:space="preserve"> deň je rovné </w:t>
      </w:r>
      <w:r w:rsidR="00421F3A">
        <w:rPr>
          <w:rFonts w:ascii="Times New Roman" w:hAnsi="Times New Roman"/>
        </w:rPr>
        <w:t>diskontu z pohľadávky vo výške 0,0</w:t>
      </w:r>
      <w:r w:rsidR="00A30D22">
        <w:rPr>
          <w:rFonts w:ascii="Times New Roman" w:hAnsi="Times New Roman"/>
        </w:rPr>
        <w:t>41</w:t>
      </w:r>
      <w:r w:rsidR="00421F3A">
        <w:rPr>
          <w:rFonts w:ascii="Times New Roman" w:hAnsi="Times New Roman"/>
        </w:rPr>
        <w:t xml:space="preserve">%. </w:t>
      </w:r>
    </w:p>
    <w:p w:rsidR="007B0BC6" w:rsidP="007B0BC6">
      <w:pPr>
        <w:pStyle w:val="Obyajn"/>
        <w:numPr>
          <w:numId w:val="15"/>
        </w:numPr>
        <w:bidi w:val="0"/>
        <w:ind w:left="1134"/>
        <w:rPr>
          <w:rFonts w:ascii="Times New Roman" w:hAnsi="Times New Roman"/>
        </w:rPr>
      </w:pPr>
      <w:r>
        <w:rPr>
          <w:rFonts w:ascii="Times New Roman" w:hAnsi="Times New Roman"/>
        </w:rPr>
        <w:t>P</w:t>
      </w:r>
      <w:r w:rsidRPr="00B85EAD">
        <w:rPr>
          <w:rFonts w:ascii="Times New Roman" w:hAnsi="Times New Roman"/>
        </w:rPr>
        <w:t xml:space="preserve">redpokladom zapojenia sa veriteľa je akceptácia „vstupného“ diskontu z istiny vo výške </w:t>
      </w:r>
      <w:r w:rsidR="008742EC">
        <w:rPr>
          <w:rFonts w:ascii="Times New Roman" w:hAnsi="Times New Roman"/>
        </w:rPr>
        <w:t>2,5</w:t>
      </w:r>
      <w:r w:rsidRPr="00B85EAD">
        <w:rPr>
          <w:rFonts w:ascii="Times New Roman" w:hAnsi="Times New Roman"/>
        </w:rPr>
        <w:t>%</w:t>
      </w:r>
      <w:r>
        <w:rPr>
          <w:rFonts w:ascii="Times New Roman" w:hAnsi="Times New Roman"/>
        </w:rPr>
        <w:t>.</w:t>
      </w:r>
    </w:p>
    <w:p w:rsidR="00251D02" w:rsidRPr="00B85EAD" w:rsidP="00CF2104">
      <w:pPr>
        <w:pStyle w:val="Obyajn"/>
        <w:numPr>
          <w:numId w:val="15"/>
        </w:numPr>
        <w:bidi w:val="0"/>
        <w:ind w:left="1134"/>
        <w:rPr>
          <w:rFonts w:ascii="Times New Roman" w:hAnsi="Times New Roman"/>
        </w:rPr>
      </w:pPr>
      <w:r w:rsidR="00421F3A">
        <w:rPr>
          <w:rFonts w:ascii="Times New Roman" w:hAnsi="Times New Roman"/>
        </w:rPr>
        <w:t>K</w:t>
      </w:r>
      <w:r w:rsidRPr="00B85EAD">
        <w:rPr>
          <w:rFonts w:ascii="Times New Roman" w:hAnsi="Times New Roman"/>
        </w:rPr>
        <w:t>aždý veriteľ vidí iba svoje pohľadávky</w:t>
      </w:r>
      <w:r w:rsidR="00421F3A">
        <w:rPr>
          <w:rFonts w:ascii="Times New Roman" w:hAnsi="Times New Roman"/>
        </w:rPr>
        <w:t xml:space="preserve"> v systéme, pričom </w:t>
      </w:r>
      <w:r w:rsidRPr="00B85EAD">
        <w:rPr>
          <w:rFonts w:ascii="Times New Roman" w:hAnsi="Times New Roman"/>
        </w:rPr>
        <w:t>veriteľ má pri určovaní výšky diskontu pri každej položke prepočítanú</w:t>
      </w:r>
      <w:r w:rsidR="00421F3A">
        <w:rPr>
          <w:rFonts w:ascii="Times New Roman" w:hAnsi="Times New Roman"/>
        </w:rPr>
        <w:t xml:space="preserve"> informáciu o indexe prednosti a </w:t>
      </w:r>
      <w:r w:rsidRPr="00B85EAD">
        <w:rPr>
          <w:rFonts w:ascii="Times New Roman" w:hAnsi="Times New Roman"/>
        </w:rPr>
        <w:t>zároveň vidí aj index prednosti, ktorý je posledný úspešný</w:t>
      </w:r>
      <w:r w:rsidR="00421F3A">
        <w:rPr>
          <w:rFonts w:ascii="Times New Roman" w:hAnsi="Times New Roman"/>
        </w:rPr>
        <w:t xml:space="preserve"> (akéhokoľvek iného veriteľa, pričom veriteľ vidí iba index prednosti a nie identifikátor iného veriteľa)</w:t>
      </w:r>
    </w:p>
    <w:p w:rsidR="00251D02" w:rsidRPr="00B85EAD" w:rsidP="00CF2104">
      <w:pPr>
        <w:pStyle w:val="Obyajn"/>
        <w:numPr>
          <w:numId w:val="15"/>
        </w:numPr>
        <w:bidi w:val="0"/>
        <w:ind w:left="1134"/>
        <w:rPr>
          <w:rFonts w:ascii="Times New Roman" w:hAnsi="Times New Roman"/>
        </w:rPr>
      </w:pPr>
      <w:r w:rsidR="00421F3A">
        <w:rPr>
          <w:rFonts w:ascii="Times New Roman" w:hAnsi="Times New Roman"/>
        </w:rPr>
        <w:t>A</w:t>
      </w:r>
      <w:r w:rsidRPr="00B85EAD">
        <w:rPr>
          <w:rFonts w:ascii="Times New Roman" w:hAnsi="Times New Roman"/>
        </w:rPr>
        <w:t>ukcia bude vzhľadom na vysoký počet veriteľov (cca 3</w:t>
      </w:r>
      <w:r w:rsidR="007B0BC6">
        <w:rPr>
          <w:rFonts w:ascii="Times New Roman" w:hAnsi="Times New Roman"/>
        </w:rPr>
        <w:t xml:space="preserve"> </w:t>
      </w:r>
      <w:r w:rsidRPr="00B85EAD">
        <w:rPr>
          <w:rFonts w:ascii="Times New Roman" w:hAnsi="Times New Roman"/>
        </w:rPr>
        <w:t>000) a množstvo pohľadávok (cca 250 000) realizovaná na viacdennej báze s uzávierkou po každom súťažnom dni</w:t>
      </w:r>
      <w:r w:rsidR="00421F3A">
        <w:rPr>
          <w:rFonts w:ascii="Times New Roman" w:hAnsi="Times New Roman"/>
        </w:rPr>
        <w:t>.</w:t>
      </w:r>
    </w:p>
    <w:p w:rsidR="00251D02" w:rsidRPr="00B85EAD" w:rsidP="00CF2104">
      <w:pPr>
        <w:pStyle w:val="Obyajn"/>
        <w:numPr>
          <w:numId w:val="15"/>
        </w:numPr>
        <w:bidi w:val="0"/>
        <w:ind w:left="1134"/>
        <w:rPr>
          <w:rFonts w:ascii="Times New Roman" w:hAnsi="Times New Roman"/>
        </w:rPr>
      </w:pPr>
      <w:r w:rsidR="00122D63">
        <w:rPr>
          <w:rFonts w:ascii="Times New Roman" w:hAnsi="Times New Roman"/>
        </w:rPr>
        <w:t>V</w:t>
      </w:r>
      <w:r w:rsidRPr="00B85EAD">
        <w:rPr>
          <w:rFonts w:ascii="Times New Roman" w:hAnsi="Times New Roman"/>
        </w:rPr>
        <w:t>eriteľ bude po uzávierke vidieť každú svoju pohľadávku či je v zóne úspešných, alebo nie</w:t>
      </w:r>
      <w:r w:rsidR="00122D63">
        <w:rPr>
          <w:rFonts w:ascii="Times New Roman" w:hAnsi="Times New Roman"/>
        </w:rPr>
        <w:t>. Výsledkom elektronickej aukcie je vygenerovaná dohoda o privátnej novácií záväzku medzi veriteľom a dlžníkom.</w:t>
      </w:r>
    </w:p>
    <w:p w:rsidR="00251D02" w:rsidRPr="00B85EAD" w:rsidP="00CF2104">
      <w:pPr>
        <w:pStyle w:val="Obyajn"/>
        <w:numPr>
          <w:numId w:val="15"/>
        </w:numPr>
        <w:bidi w:val="0"/>
        <w:ind w:left="1134"/>
        <w:rPr>
          <w:rFonts w:ascii="Times New Roman" w:hAnsi="Times New Roman"/>
        </w:rPr>
      </w:pPr>
      <w:r w:rsidRPr="00B85EAD">
        <w:rPr>
          <w:rFonts w:ascii="Times New Roman" w:hAnsi="Times New Roman"/>
        </w:rPr>
        <w:t>MZ SR si v podmienkach vyhradí právo aukciu po jej vykonaní zrušiť, resp. odstúpiť od nej  a neakceptovať výsledky</w:t>
      </w:r>
      <w:r w:rsidR="00122D63">
        <w:rPr>
          <w:rFonts w:ascii="Times New Roman" w:hAnsi="Times New Roman"/>
        </w:rPr>
        <w:t>.</w:t>
      </w:r>
    </w:p>
    <w:p w:rsidR="00251D02" w:rsidRPr="00774A6E" w:rsidP="00EF537B">
      <w:pPr>
        <w:bidi w:val="0"/>
        <w:rPr>
          <w:rFonts w:ascii="Times New Roman" w:hAnsi="Times New Roman"/>
        </w:rPr>
      </w:pPr>
    </w:p>
    <w:p w:rsidR="00251D02" w:rsidRPr="00774A6E" w:rsidP="00EF537B">
      <w:pPr>
        <w:bidi w:val="0"/>
        <w:rPr>
          <w:rFonts w:ascii="Times New Roman" w:hAnsi="Times New Roman"/>
        </w:rPr>
      </w:pPr>
    </w:p>
    <w:p w:rsidR="00251D02" w:rsidP="00FB4D20">
      <w:pPr>
        <w:pStyle w:val="Heading3"/>
        <w:bidi w:val="0"/>
        <w:rPr>
          <w:color w:val="365F91" w:themeShade="BF"/>
        </w:rPr>
      </w:pPr>
      <w:r w:rsidRPr="00FB4D20">
        <w:rPr>
          <w:rFonts w:hint="default"/>
          <w:color w:val="365F91" w:themeShade="BF"/>
        </w:rPr>
        <w:t>Fixný</w:t>
      </w:r>
      <w:r w:rsidRPr="00FB4D20">
        <w:rPr>
          <w:rFonts w:hint="default"/>
          <w:color w:val="365F91" w:themeShade="BF"/>
        </w:rPr>
        <w:t xml:space="preserve"> diskont</w:t>
      </w:r>
    </w:p>
    <w:p w:rsidR="00FB4D20" w:rsidRPr="00FB4D20" w:rsidP="00FB4D20">
      <w:pPr>
        <w:bidi w:val="0"/>
        <w:rPr>
          <w:rFonts w:ascii="Times New Roman" w:hAnsi="Times New Roman"/>
        </w:rPr>
      </w:pPr>
    </w:p>
    <w:p w:rsidR="00DD2FCD" w:rsidRPr="00774A6E" w:rsidP="00FB4D20">
      <w:pPr>
        <w:bidi w:val="0"/>
        <w:rPr>
          <w:rFonts w:ascii="Times New Roman" w:hAnsi="Times New Roman"/>
        </w:rPr>
      </w:pPr>
      <w:r w:rsidRPr="00774A6E" w:rsidR="00251D02">
        <w:rPr>
          <w:rFonts w:ascii="Times New Roman" w:hAnsi="Times New Roman"/>
        </w:rPr>
        <w:t>Táto možnosť bude rovnako ponúknutá všetkým veriteľom</w:t>
      </w:r>
      <w:r w:rsidR="00122D63">
        <w:rPr>
          <w:rFonts w:ascii="Times New Roman" w:hAnsi="Times New Roman"/>
        </w:rPr>
        <w:t xml:space="preserve"> ako primárna dohoda o privátnej novácii záväzku medzi veriteľom a dlžníkom</w:t>
      </w:r>
      <w:r w:rsidRPr="00774A6E" w:rsidR="00251D02">
        <w:rPr>
          <w:rFonts w:ascii="Times New Roman" w:hAnsi="Times New Roman"/>
        </w:rPr>
        <w:t xml:space="preserve">. V tomto prípade </w:t>
      </w:r>
      <w:r w:rsidR="00E52F16">
        <w:rPr>
          <w:rFonts w:ascii="Times New Roman" w:hAnsi="Times New Roman"/>
        </w:rPr>
        <w:t xml:space="preserve">dôjde k dohode medzi </w:t>
      </w:r>
      <w:r w:rsidRPr="00774A6E" w:rsidR="00251D02">
        <w:rPr>
          <w:rFonts w:ascii="Times New Roman" w:hAnsi="Times New Roman"/>
        </w:rPr>
        <w:t>veriteľ</w:t>
      </w:r>
      <w:r w:rsidR="00E52F16">
        <w:rPr>
          <w:rFonts w:ascii="Times New Roman" w:hAnsi="Times New Roman"/>
        </w:rPr>
        <w:t>om a</w:t>
      </w:r>
      <w:r w:rsidR="00122D63">
        <w:rPr>
          <w:rFonts w:ascii="Times New Roman" w:hAnsi="Times New Roman"/>
        </w:rPr>
        <w:t> </w:t>
      </w:r>
      <w:r w:rsidR="00E52F16">
        <w:rPr>
          <w:rFonts w:ascii="Times New Roman" w:hAnsi="Times New Roman"/>
        </w:rPr>
        <w:t>dlžníkom</w:t>
      </w:r>
      <w:r w:rsidR="00122D63">
        <w:rPr>
          <w:rFonts w:ascii="Times New Roman" w:hAnsi="Times New Roman"/>
        </w:rPr>
        <w:t xml:space="preserve"> </w:t>
      </w:r>
      <w:r w:rsidR="00E52F16">
        <w:rPr>
          <w:rFonts w:ascii="Times New Roman" w:hAnsi="Times New Roman"/>
        </w:rPr>
        <w:t>o fixnej</w:t>
      </w:r>
      <w:r w:rsidRPr="00774A6E" w:rsidR="00251D02">
        <w:rPr>
          <w:rFonts w:ascii="Times New Roman" w:hAnsi="Times New Roman"/>
        </w:rPr>
        <w:t xml:space="preserve"> výšku diskontu </w:t>
      </w:r>
      <w:r w:rsidR="00E52F16">
        <w:rPr>
          <w:rFonts w:ascii="Times New Roman" w:hAnsi="Times New Roman"/>
        </w:rPr>
        <w:t>z</w:t>
      </w:r>
      <w:r w:rsidR="00122D63">
        <w:rPr>
          <w:rFonts w:ascii="Times New Roman" w:hAnsi="Times New Roman"/>
        </w:rPr>
        <w:t> </w:t>
      </w:r>
      <w:r w:rsidR="00E52F16">
        <w:rPr>
          <w:rFonts w:ascii="Times New Roman" w:hAnsi="Times New Roman"/>
        </w:rPr>
        <w:t>nominál</w:t>
      </w:r>
      <w:r w:rsidR="00122D63">
        <w:rPr>
          <w:rFonts w:ascii="Times New Roman" w:hAnsi="Times New Roman"/>
        </w:rPr>
        <w:t>nej výšky</w:t>
      </w:r>
      <w:r w:rsidR="00E52F16">
        <w:rPr>
          <w:rFonts w:ascii="Times New Roman" w:hAnsi="Times New Roman"/>
        </w:rPr>
        <w:t xml:space="preserve"> istiny, ktorá bude vopred určená pre všetkých veriteľov rovnako a jej výška bude závisieť iba od veku pohľadávky veriteľa</w:t>
      </w:r>
      <w:r w:rsidRPr="00774A6E" w:rsidR="00251D02">
        <w:rPr>
          <w:rFonts w:ascii="Times New Roman" w:hAnsi="Times New Roman"/>
        </w:rPr>
        <w:t xml:space="preserve">. Princípom bude  automatické zoradenie pohľadávok podľa ich veku od nula </w:t>
      </w:r>
      <w:r w:rsidR="00E52F16">
        <w:rPr>
          <w:rFonts w:ascii="Times New Roman" w:hAnsi="Times New Roman"/>
        </w:rPr>
        <w:t xml:space="preserve">dní po lehote splatnosti až </w:t>
      </w:r>
      <w:r w:rsidRPr="00774A6E" w:rsidR="00251D02">
        <w:rPr>
          <w:rFonts w:ascii="Times New Roman" w:hAnsi="Times New Roman"/>
        </w:rPr>
        <w:t xml:space="preserve">do </w:t>
      </w:r>
      <w:r w:rsidR="00E52F16">
        <w:rPr>
          <w:rFonts w:ascii="Times New Roman" w:hAnsi="Times New Roman"/>
        </w:rPr>
        <w:t xml:space="preserve">veku </w:t>
      </w:r>
      <w:r w:rsidRPr="00774A6E" w:rsidR="00251D02">
        <w:rPr>
          <w:rFonts w:ascii="Times New Roman" w:hAnsi="Times New Roman"/>
        </w:rPr>
        <w:t>48 mesiacov</w:t>
      </w:r>
      <w:r w:rsidR="00E52F16">
        <w:rPr>
          <w:rFonts w:ascii="Times New Roman" w:hAnsi="Times New Roman"/>
        </w:rPr>
        <w:t xml:space="preserve"> po lehote splatnosti</w:t>
      </w:r>
      <w:r w:rsidRPr="00774A6E" w:rsidR="00251D02">
        <w:rPr>
          <w:rFonts w:ascii="Times New Roman" w:hAnsi="Times New Roman"/>
        </w:rPr>
        <w:t xml:space="preserve">, </w:t>
      </w:r>
      <w:r w:rsidR="00E52F16">
        <w:rPr>
          <w:rFonts w:ascii="Times New Roman" w:hAnsi="Times New Roman"/>
        </w:rPr>
        <w:t>pričom</w:t>
      </w:r>
      <w:r w:rsidRPr="00774A6E" w:rsidR="00251D02">
        <w:rPr>
          <w:rFonts w:ascii="Times New Roman" w:hAnsi="Times New Roman"/>
        </w:rPr>
        <w:t xml:space="preserve"> maximálna výška diskontu </w:t>
      </w:r>
      <w:r w:rsidR="00D419A7">
        <w:rPr>
          <w:rFonts w:ascii="Times New Roman" w:hAnsi="Times New Roman"/>
        </w:rPr>
        <w:t>20</w:t>
      </w:r>
      <w:r w:rsidRPr="00774A6E" w:rsidR="00251D02">
        <w:rPr>
          <w:rFonts w:ascii="Times New Roman" w:hAnsi="Times New Roman"/>
        </w:rPr>
        <w:t xml:space="preserve">% </w:t>
      </w:r>
      <w:r w:rsidR="00E52F16">
        <w:rPr>
          <w:rFonts w:ascii="Times New Roman" w:hAnsi="Times New Roman"/>
        </w:rPr>
        <w:t xml:space="preserve">bude určená </w:t>
      </w:r>
      <w:r w:rsidRPr="00774A6E" w:rsidR="00251D02">
        <w:rPr>
          <w:rFonts w:ascii="Times New Roman" w:hAnsi="Times New Roman"/>
        </w:rPr>
        <w:t xml:space="preserve">pre </w:t>
      </w:r>
      <w:r w:rsidR="00E52F16">
        <w:rPr>
          <w:rFonts w:ascii="Times New Roman" w:hAnsi="Times New Roman"/>
        </w:rPr>
        <w:t xml:space="preserve">najmladšie </w:t>
      </w:r>
      <w:r w:rsidRPr="00774A6E" w:rsidR="00251D02">
        <w:rPr>
          <w:rFonts w:ascii="Times New Roman" w:hAnsi="Times New Roman"/>
        </w:rPr>
        <w:t xml:space="preserve">pohľadávky </w:t>
      </w:r>
      <w:r w:rsidR="00E52F16">
        <w:rPr>
          <w:rFonts w:ascii="Times New Roman" w:hAnsi="Times New Roman"/>
        </w:rPr>
        <w:t xml:space="preserve">a </w:t>
      </w:r>
      <w:r w:rsidRPr="00774A6E" w:rsidR="00251D02">
        <w:rPr>
          <w:rFonts w:ascii="Times New Roman" w:hAnsi="Times New Roman"/>
        </w:rPr>
        <w:t xml:space="preserve">pohľadávky rovné a staršie ako 48 mesiacov by mali diskontnú sadzbu </w:t>
      </w:r>
      <w:r w:rsidR="00154367">
        <w:rPr>
          <w:rFonts w:ascii="Times New Roman" w:hAnsi="Times New Roman"/>
        </w:rPr>
        <w:t>2,5</w:t>
      </w:r>
      <w:r w:rsidRPr="00774A6E" w:rsidR="00251D02">
        <w:rPr>
          <w:rFonts w:ascii="Times New Roman" w:hAnsi="Times New Roman"/>
        </w:rPr>
        <w:t xml:space="preserve">%. </w:t>
      </w:r>
      <w:r w:rsidR="002B574F">
        <w:rPr>
          <w:rFonts w:ascii="Times New Roman" w:hAnsi="Times New Roman"/>
        </w:rPr>
        <w:t xml:space="preserve">Výška diskontu sa </w:t>
      </w:r>
      <w:r w:rsidR="005C7002">
        <w:rPr>
          <w:rFonts w:ascii="Times New Roman" w:hAnsi="Times New Roman"/>
        </w:rPr>
        <w:t xml:space="preserve">ku dňu oddlženia </w:t>
      </w:r>
      <w:r w:rsidR="002B574F">
        <w:rPr>
          <w:rFonts w:ascii="Times New Roman" w:hAnsi="Times New Roman"/>
        </w:rPr>
        <w:t>primeranie zníži</w:t>
      </w:r>
      <w:r w:rsidR="00E52F16">
        <w:rPr>
          <w:rFonts w:ascii="Times New Roman" w:hAnsi="Times New Roman"/>
        </w:rPr>
        <w:t xml:space="preserve"> za každý </w:t>
      </w:r>
      <w:r w:rsidR="002B574F">
        <w:rPr>
          <w:rFonts w:ascii="Times New Roman" w:hAnsi="Times New Roman"/>
        </w:rPr>
        <w:t xml:space="preserve">ďalší </w:t>
      </w:r>
      <w:r w:rsidR="00E52F16">
        <w:rPr>
          <w:rFonts w:ascii="Times New Roman" w:hAnsi="Times New Roman"/>
        </w:rPr>
        <w:t xml:space="preserve">mesiac veku pohľadávky </w:t>
      </w:r>
      <w:r w:rsidR="002B574F">
        <w:rPr>
          <w:rFonts w:ascii="Times New Roman" w:hAnsi="Times New Roman"/>
        </w:rPr>
        <w:t xml:space="preserve">od 1. dňa po lehote splatnosti </w:t>
      </w:r>
      <w:r w:rsidRPr="00D419A7" w:rsidR="00E52F16">
        <w:rPr>
          <w:rFonts w:ascii="Times New Roman" w:hAnsi="Times New Roman"/>
        </w:rPr>
        <w:t xml:space="preserve">o hodnotu </w:t>
      </w:r>
      <w:r w:rsidRPr="00D419A7" w:rsidR="002B574F">
        <w:rPr>
          <w:rFonts w:ascii="Times New Roman" w:hAnsi="Times New Roman"/>
        </w:rPr>
        <w:t>0,</w:t>
      </w:r>
      <w:r w:rsidR="007B74CC">
        <w:rPr>
          <w:rFonts w:ascii="Times New Roman" w:hAnsi="Times New Roman"/>
        </w:rPr>
        <w:t>365</w:t>
      </w:r>
      <w:r w:rsidRPr="00D419A7" w:rsidR="002B574F">
        <w:rPr>
          <w:rFonts w:ascii="Times New Roman" w:hAnsi="Times New Roman"/>
        </w:rPr>
        <w:t>%</w:t>
      </w:r>
      <w:r w:rsidRPr="00D419A7" w:rsidR="00251D02">
        <w:rPr>
          <w:rFonts w:ascii="Times New Roman" w:hAnsi="Times New Roman"/>
        </w:rPr>
        <w:t>.</w:t>
      </w:r>
      <w:r w:rsidRPr="00774A6E" w:rsidR="00251D02">
        <w:rPr>
          <w:rFonts w:ascii="Times New Roman" w:hAnsi="Times New Roman"/>
        </w:rPr>
        <w:t xml:space="preserve"> Objem zdrojov zapojených do tejto formy oddlžovania je definovaný nižšie.</w:t>
      </w:r>
      <w:r w:rsidR="009C38DF">
        <w:rPr>
          <w:rFonts w:ascii="Times New Roman" w:hAnsi="Times New Roman"/>
        </w:rPr>
        <w:t xml:space="preserve"> </w:t>
      </w:r>
    </w:p>
    <w:p w:rsidR="00DD2FCD" w:rsidP="00FB4D20">
      <w:pPr>
        <w:pStyle w:val="Heading2"/>
        <w:numPr>
          <w:ilvl w:val="0"/>
          <w:numId w:val="0"/>
        </w:numPr>
        <w:bidi w:val="0"/>
        <w:ind w:left="576" w:firstLine="0"/>
      </w:pPr>
    </w:p>
    <w:p w:rsidR="00FB4D20" w:rsidRPr="00FB4D20" w:rsidP="00FB4D20">
      <w:pPr>
        <w:bidi w:val="0"/>
        <w:rPr>
          <w:rFonts w:ascii="Times New Roman" w:hAnsi="Times New Roman"/>
        </w:rPr>
      </w:pPr>
    </w:p>
    <w:p w:rsidR="00251D02" w:rsidRPr="00FB4D20" w:rsidP="00FB4D20">
      <w:pPr>
        <w:pStyle w:val="Heading2"/>
        <w:bidi w:val="0"/>
      </w:pPr>
      <w:r w:rsidRPr="00FB4D20" w:rsidR="00456118">
        <w:rPr>
          <w:rFonts w:hint="default"/>
        </w:rPr>
        <w:t>Potreba likvidity na zabezpeč</w:t>
      </w:r>
      <w:r w:rsidRPr="00FB4D20" w:rsidR="00456118">
        <w:rPr>
          <w:rFonts w:hint="default"/>
        </w:rPr>
        <w:t>enie procesu oddlž</w:t>
      </w:r>
      <w:r w:rsidRPr="00FB4D20" w:rsidR="00456118">
        <w:rPr>
          <w:rFonts w:hint="default"/>
        </w:rPr>
        <w:t>ovania nemocní</w:t>
      </w:r>
      <w:r w:rsidRPr="00FB4D20" w:rsidR="00456118">
        <w:rPr>
          <w:rFonts w:hint="default"/>
        </w:rPr>
        <w:t>c, u</w:t>
      </w:r>
      <w:r w:rsidRPr="00FB4D20">
        <w:rPr>
          <w:rFonts w:hint="default"/>
        </w:rPr>
        <w:t>voľň</w:t>
      </w:r>
      <w:r w:rsidRPr="00FB4D20">
        <w:rPr>
          <w:rFonts w:hint="default"/>
        </w:rPr>
        <w:t xml:space="preserve">ovanie </w:t>
      </w:r>
      <w:r w:rsidRPr="00FB4D20" w:rsidR="00456118">
        <w:t xml:space="preserve">zdrojov </w:t>
      </w:r>
      <w:r w:rsidRPr="00FB4D20">
        <w:rPr>
          <w:rFonts w:hint="default"/>
        </w:rPr>
        <w:t>pre jednotlivé</w:t>
      </w:r>
      <w:r w:rsidRPr="00FB4D20">
        <w:rPr>
          <w:rFonts w:hint="default"/>
        </w:rPr>
        <w:t xml:space="preserve"> etapy oddlž</w:t>
      </w:r>
      <w:r w:rsidRPr="00FB4D20">
        <w:rPr>
          <w:rFonts w:hint="default"/>
        </w:rPr>
        <w:t>ovania, poč</w:t>
      </w:r>
      <w:r w:rsidRPr="00FB4D20">
        <w:rPr>
          <w:rFonts w:hint="default"/>
        </w:rPr>
        <w:t xml:space="preserve">et </w:t>
      </w:r>
      <w:r w:rsidRPr="00FB4D20" w:rsidR="00602529">
        <w:rPr>
          <w:rFonts w:hint="default"/>
        </w:rPr>
        <w:t>etá</w:t>
      </w:r>
      <w:r w:rsidRPr="00FB4D20" w:rsidR="00602529">
        <w:rPr>
          <w:rFonts w:hint="default"/>
        </w:rPr>
        <w:t>p</w:t>
      </w:r>
    </w:p>
    <w:p w:rsidR="00761021" w:rsidRPr="00774A6E" w:rsidP="00EF537B">
      <w:pPr>
        <w:bidi w:val="0"/>
        <w:rPr>
          <w:rFonts w:ascii="Times New Roman" w:hAnsi="Times New Roman"/>
        </w:rPr>
      </w:pPr>
    </w:p>
    <w:p w:rsidR="00251D02" w:rsidRPr="00774A6E" w:rsidP="00EF537B">
      <w:pPr>
        <w:bidi w:val="0"/>
        <w:rPr>
          <w:rFonts w:ascii="Times New Roman" w:hAnsi="Times New Roman"/>
        </w:rPr>
      </w:pPr>
      <w:r w:rsidRPr="00774A6E">
        <w:rPr>
          <w:rFonts w:ascii="Times New Roman" w:hAnsi="Times New Roman"/>
        </w:rPr>
        <w:t xml:space="preserve">Evidovaný objem záväzkov po lehote splatnosti je k 31.12.2016 u sledovaných nemocníc na úrovni </w:t>
      </w:r>
      <w:r w:rsidRPr="00774A6E" w:rsidR="00764AB3">
        <w:rPr>
          <w:rFonts w:ascii="Times New Roman" w:hAnsi="Times New Roman"/>
        </w:rPr>
        <w:t xml:space="preserve">647 </w:t>
      </w:r>
      <w:r w:rsidRPr="00774A6E">
        <w:rPr>
          <w:rFonts w:ascii="Times New Roman" w:hAnsi="Times New Roman"/>
        </w:rPr>
        <w:t xml:space="preserve">mil. EUR. Od niektorých nemocníc (súkromných) údajmi </w:t>
      </w:r>
      <w:r w:rsidR="00122D63">
        <w:rPr>
          <w:rFonts w:ascii="Times New Roman" w:hAnsi="Times New Roman"/>
        </w:rPr>
        <w:t xml:space="preserve">MZ SR </w:t>
      </w:r>
      <w:r w:rsidRPr="00774A6E">
        <w:rPr>
          <w:rFonts w:ascii="Times New Roman" w:hAnsi="Times New Roman"/>
        </w:rPr>
        <w:t xml:space="preserve">nedisponuje, </w:t>
      </w:r>
      <w:r w:rsidR="00122D63">
        <w:rPr>
          <w:rFonts w:ascii="Times New Roman" w:hAnsi="Times New Roman"/>
        </w:rPr>
        <w:t xml:space="preserve">avšak </w:t>
      </w:r>
      <w:r w:rsidRPr="00774A6E">
        <w:rPr>
          <w:rFonts w:ascii="Times New Roman" w:hAnsi="Times New Roman"/>
        </w:rPr>
        <w:t xml:space="preserve">odhad </w:t>
      </w:r>
      <w:r w:rsidR="00122D63">
        <w:rPr>
          <w:rFonts w:ascii="Times New Roman" w:hAnsi="Times New Roman"/>
        </w:rPr>
        <w:t xml:space="preserve">týchto </w:t>
      </w:r>
      <w:r w:rsidRPr="00774A6E">
        <w:rPr>
          <w:rFonts w:ascii="Times New Roman" w:hAnsi="Times New Roman"/>
        </w:rPr>
        <w:t xml:space="preserve">záväzkov po lehote splatnosti, s ktorými sa môžu prihlásiť do oddlžovania je na úrovni cca 10-20 mil. EUR. Zároveň </w:t>
      </w:r>
      <w:r w:rsidR="00122D63">
        <w:rPr>
          <w:rFonts w:ascii="Times New Roman" w:hAnsi="Times New Roman"/>
        </w:rPr>
        <w:t>sa</w:t>
      </w:r>
      <w:r w:rsidRPr="00774A6E" w:rsidR="00764AB3">
        <w:rPr>
          <w:rFonts w:ascii="Times New Roman" w:hAnsi="Times New Roman"/>
        </w:rPr>
        <w:t xml:space="preserve"> predpoklad</w:t>
      </w:r>
      <w:r w:rsidR="00122D63">
        <w:rPr>
          <w:rFonts w:ascii="Times New Roman" w:hAnsi="Times New Roman"/>
        </w:rPr>
        <w:t>á</w:t>
      </w:r>
      <w:r w:rsidRPr="00774A6E" w:rsidR="00764AB3">
        <w:rPr>
          <w:rFonts w:ascii="Times New Roman" w:hAnsi="Times New Roman"/>
        </w:rPr>
        <w:t xml:space="preserve">, </w:t>
      </w:r>
      <w:r w:rsidRPr="00774A6E">
        <w:rPr>
          <w:rFonts w:ascii="Times New Roman" w:hAnsi="Times New Roman"/>
        </w:rPr>
        <w:t xml:space="preserve">že časť týchto dlhov </w:t>
      </w:r>
      <w:r w:rsidRPr="00774A6E" w:rsidR="00764AB3">
        <w:rPr>
          <w:rFonts w:ascii="Times New Roman" w:hAnsi="Times New Roman"/>
        </w:rPr>
        <w:t xml:space="preserve">je priebežne nemocnicami v štandardnom režime uhrádzaná. </w:t>
      </w:r>
    </w:p>
    <w:p w:rsidR="00251D02" w:rsidRPr="00774A6E" w:rsidP="00EF537B">
      <w:pPr>
        <w:bidi w:val="0"/>
        <w:rPr>
          <w:rFonts w:ascii="Times New Roman" w:hAnsi="Times New Roman"/>
        </w:rPr>
      </w:pPr>
    </w:p>
    <w:p w:rsidR="00363856" w:rsidRPr="00774A6E" w:rsidP="00EF537B">
      <w:pPr>
        <w:bidi w:val="0"/>
        <w:rPr>
          <w:rFonts w:ascii="Times New Roman" w:hAnsi="Times New Roman"/>
        </w:rPr>
      </w:pPr>
      <w:r w:rsidRPr="00774A6E" w:rsidR="00251D02">
        <w:rPr>
          <w:rFonts w:ascii="Times New Roman" w:hAnsi="Times New Roman"/>
        </w:rPr>
        <w:t>Tiež považujeme za potrebné zohľadniť fakt, že nemocnice sa aj v súčasnosti zadlžujú</w:t>
      </w:r>
      <w:r w:rsidR="00433613">
        <w:rPr>
          <w:rFonts w:ascii="Times New Roman" w:hAnsi="Times New Roman"/>
        </w:rPr>
        <w:t>, pričom</w:t>
      </w:r>
      <w:r w:rsidRPr="00774A6E" w:rsidR="00251D02">
        <w:rPr>
          <w:rFonts w:ascii="Times New Roman" w:hAnsi="Times New Roman"/>
        </w:rPr>
        <w:t xml:space="preserve"> </w:t>
      </w:r>
      <w:r w:rsidR="00433613">
        <w:rPr>
          <w:rFonts w:ascii="Times New Roman" w:hAnsi="Times New Roman"/>
        </w:rPr>
        <w:t>priemerný mesačný dlh v roku 2017 bude</w:t>
      </w:r>
      <w:r w:rsidRPr="00774A6E" w:rsidR="00251D02">
        <w:rPr>
          <w:rFonts w:ascii="Times New Roman" w:hAnsi="Times New Roman"/>
        </w:rPr>
        <w:t xml:space="preserve"> cca </w:t>
      </w:r>
      <w:r w:rsidR="00433613">
        <w:rPr>
          <w:rFonts w:ascii="Times New Roman" w:hAnsi="Times New Roman"/>
        </w:rPr>
        <w:t>6</w:t>
      </w:r>
      <w:r w:rsidRPr="00774A6E" w:rsidR="00251D02">
        <w:rPr>
          <w:rFonts w:ascii="Times New Roman" w:hAnsi="Times New Roman"/>
        </w:rPr>
        <w:t>-</w:t>
      </w:r>
      <w:r w:rsidR="00433613">
        <w:rPr>
          <w:rFonts w:ascii="Times New Roman" w:hAnsi="Times New Roman"/>
        </w:rPr>
        <w:t>7</w:t>
      </w:r>
      <w:r w:rsidRPr="00774A6E" w:rsidR="00433613">
        <w:rPr>
          <w:rFonts w:ascii="Times New Roman" w:hAnsi="Times New Roman"/>
        </w:rPr>
        <w:t xml:space="preserve"> </w:t>
      </w:r>
      <w:r w:rsidRPr="00774A6E" w:rsidR="00251D02">
        <w:rPr>
          <w:rFonts w:ascii="Times New Roman" w:hAnsi="Times New Roman"/>
        </w:rPr>
        <w:t>mil. EUR</w:t>
      </w:r>
      <w:r w:rsidR="00862E66">
        <w:rPr>
          <w:rFonts w:ascii="Times New Roman" w:hAnsi="Times New Roman"/>
        </w:rPr>
        <w:t xml:space="preserve">, čo znamená že objem </w:t>
      </w:r>
      <w:r w:rsidR="00281E6A">
        <w:rPr>
          <w:rFonts w:ascii="Times New Roman" w:hAnsi="Times New Roman"/>
        </w:rPr>
        <w:t>záväzkov po lehote splatnosti v roku 2017 (k 30.6.) sa zvýši približne o</w:t>
      </w:r>
      <w:r w:rsidR="00433613">
        <w:rPr>
          <w:rFonts w:ascii="Times New Roman" w:hAnsi="Times New Roman"/>
        </w:rPr>
        <w:t> 40-45</w:t>
      </w:r>
      <w:r w:rsidR="00281E6A">
        <w:rPr>
          <w:rFonts w:ascii="Times New Roman" w:hAnsi="Times New Roman"/>
        </w:rPr>
        <w:t xml:space="preserve"> mil. EUR </w:t>
      </w:r>
      <w:r w:rsidRPr="00774A6E" w:rsidR="00251D02">
        <w:rPr>
          <w:rFonts w:ascii="Times New Roman" w:hAnsi="Times New Roman"/>
        </w:rPr>
        <w:t xml:space="preserve">. MZ SR realizuje opatrenia na ich znižovanie, riešenie si však vyžaduje istý čas.  Takto kumulované dlhy bude potrebné takisto uspokojiť v nejakom čase. Považujme za vhodné riešenie </w:t>
      </w:r>
      <w:r w:rsidRPr="00774A6E" w:rsidR="001B5BD7">
        <w:rPr>
          <w:rFonts w:ascii="Times New Roman" w:hAnsi="Times New Roman"/>
        </w:rPr>
        <w:t xml:space="preserve">už v súčasnosti </w:t>
      </w:r>
      <w:r w:rsidRPr="00774A6E" w:rsidR="00761021">
        <w:rPr>
          <w:rFonts w:ascii="Times New Roman" w:hAnsi="Times New Roman"/>
        </w:rPr>
        <w:t xml:space="preserve">alokovať finančné zdroje aj na riešenie záväzkov vzniknutých </w:t>
      </w:r>
      <w:r w:rsidRPr="00774A6E">
        <w:rPr>
          <w:rFonts w:ascii="Times New Roman" w:hAnsi="Times New Roman"/>
        </w:rPr>
        <w:t xml:space="preserve">minimálne </w:t>
      </w:r>
      <w:r w:rsidRPr="00774A6E" w:rsidR="00761021">
        <w:rPr>
          <w:rFonts w:ascii="Times New Roman" w:hAnsi="Times New Roman"/>
        </w:rPr>
        <w:t xml:space="preserve">v priebehu roku 2017. </w:t>
      </w:r>
    </w:p>
    <w:p w:rsidR="00FB4D20" w:rsidP="00EF537B">
      <w:pPr>
        <w:bidi w:val="0"/>
        <w:rPr>
          <w:rFonts w:ascii="Times New Roman" w:hAnsi="Times New Roman"/>
        </w:rPr>
      </w:pPr>
    </w:p>
    <w:p w:rsidR="00761021" w:rsidP="00EF537B">
      <w:pPr>
        <w:bidi w:val="0"/>
        <w:rPr>
          <w:rFonts w:ascii="Times New Roman" w:hAnsi="Times New Roman"/>
        </w:rPr>
      </w:pPr>
      <w:r w:rsidRPr="00774A6E" w:rsidR="002515D4">
        <w:rPr>
          <w:rFonts w:ascii="Times New Roman" w:hAnsi="Times New Roman"/>
        </w:rPr>
        <w:t xml:space="preserve">Zdroje budú uvoľňované priebežne pre jednotlivé </w:t>
      </w:r>
      <w:r w:rsidR="003039CA">
        <w:rPr>
          <w:rFonts w:ascii="Times New Roman" w:hAnsi="Times New Roman"/>
        </w:rPr>
        <w:t>kolá</w:t>
      </w:r>
      <w:r w:rsidRPr="00774A6E" w:rsidR="002515D4">
        <w:rPr>
          <w:rFonts w:ascii="Times New Roman" w:hAnsi="Times New Roman"/>
        </w:rPr>
        <w:t xml:space="preserve"> oddlžovania. </w:t>
      </w:r>
    </w:p>
    <w:p w:rsidR="00945CF9" w:rsidP="00EF537B">
      <w:pPr>
        <w:bidi w:val="0"/>
        <w:rPr>
          <w:rFonts w:ascii="Times New Roman" w:hAnsi="Times New Roman"/>
        </w:rPr>
      </w:pPr>
    </w:p>
    <w:p w:rsidR="00B92850" w:rsidP="003039CA">
      <w:pPr>
        <w:bidi w:val="0"/>
        <w:ind w:firstLine="0"/>
        <w:rPr>
          <w:rFonts w:ascii="Times New Roman" w:hAnsi="Times New Roman"/>
        </w:rPr>
      </w:pPr>
    </w:p>
    <w:p w:rsidR="003039CA" w:rsidP="003039CA">
      <w:pPr>
        <w:pStyle w:val="Heading3"/>
        <w:bidi w:val="0"/>
        <w:rPr>
          <w:rFonts w:hint="default"/>
          <w:color w:val="365F91" w:themeShade="BF"/>
        </w:rPr>
      </w:pPr>
      <w:r>
        <w:rPr>
          <w:color w:val="365F91" w:themeShade="BF"/>
        </w:rPr>
        <w:t>Od</w:t>
      </w:r>
      <w:r>
        <w:rPr>
          <w:rFonts w:hint="default"/>
          <w:color w:val="365F91" w:themeShade="BF"/>
        </w:rPr>
        <w:t>had tvorby ď</w:t>
      </w:r>
      <w:r>
        <w:rPr>
          <w:rFonts w:hint="default"/>
          <w:color w:val="365F91" w:themeShade="BF"/>
        </w:rPr>
        <w:t>alš</w:t>
      </w:r>
      <w:r>
        <w:rPr>
          <w:rFonts w:hint="default"/>
          <w:color w:val="365F91" w:themeShade="BF"/>
        </w:rPr>
        <w:t>ieho dlhu bez zvýš</w:t>
      </w:r>
      <w:r>
        <w:rPr>
          <w:rFonts w:hint="default"/>
          <w:color w:val="365F91" w:themeShade="BF"/>
        </w:rPr>
        <w:t>enia vý</w:t>
      </w:r>
      <w:r>
        <w:rPr>
          <w:rFonts w:hint="default"/>
          <w:color w:val="365F91" w:themeShade="BF"/>
        </w:rPr>
        <w:t>nosov</w:t>
      </w:r>
    </w:p>
    <w:p w:rsidR="003039CA" w:rsidRPr="00774A6E" w:rsidP="003039CA">
      <w:pPr>
        <w:bidi w:val="0"/>
        <w:ind w:firstLine="0"/>
        <w:rPr>
          <w:rFonts w:ascii="Times New Roman" w:hAnsi="Times New Roman"/>
        </w:rPr>
      </w:pPr>
    </w:p>
    <w:p w:rsidR="00B92850" w:rsidRPr="00774A6E" w:rsidP="00EF537B">
      <w:pPr>
        <w:bidi w:val="0"/>
        <w:rPr>
          <w:rFonts w:ascii="Times New Roman" w:hAnsi="Times New Roman"/>
        </w:rPr>
      </w:pPr>
      <w:r w:rsidRPr="00774A6E">
        <w:rPr>
          <w:rFonts w:ascii="Times New Roman" w:hAnsi="Times New Roman"/>
        </w:rPr>
        <w:t xml:space="preserve">Je potrebné zdôrazniť, že predmetom oddlžovania sú záväzky nemocníc voči veriteľom po lehote ich splatnosti. Nemocnice tiež evidujú k 31.12.2016 záväzky v lehote splatnosti v objeme 277 mil. EUR. Nemocnice v súčasnosti </w:t>
      </w:r>
      <w:r w:rsidRPr="00774A6E" w:rsidR="00363856">
        <w:rPr>
          <w:rFonts w:ascii="Times New Roman" w:hAnsi="Times New Roman"/>
        </w:rPr>
        <w:t xml:space="preserve">aj pri realizácii úsporných opatrení a postupnom zlepšovaní svojho hospodárenia </w:t>
      </w:r>
      <w:r w:rsidRPr="00774A6E">
        <w:rPr>
          <w:rFonts w:ascii="Times New Roman" w:hAnsi="Times New Roman"/>
        </w:rPr>
        <w:t>nie sú schopné vygenerovať zdroje na plnú úhradu všetkých záv</w:t>
      </w:r>
      <w:r w:rsidRPr="00774A6E" w:rsidR="00363856">
        <w:rPr>
          <w:rFonts w:ascii="Times New Roman" w:hAnsi="Times New Roman"/>
        </w:rPr>
        <w:t>ä</w:t>
      </w:r>
      <w:r w:rsidRPr="00774A6E">
        <w:rPr>
          <w:rFonts w:ascii="Times New Roman" w:hAnsi="Times New Roman"/>
        </w:rPr>
        <w:t xml:space="preserve">zkov a tak </w:t>
      </w:r>
      <w:r w:rsidRPr="00774A6E" w:rsidR="00363856">
        <w:rPr>
          <w:rFonts w:ascii="Times New Roman" w:hAnsi="Times New Roman"/>
        </w:rPr>
        <w:t>bude ešte v najbližšom období pretrvávať trend presunu záväzkov v lehote sp</w:t>
      </w:r>
      <w:r w:rsidR="003039CA">
        <w:rPr>
          <w:rFonts w:ascii="Times New Roman" w:hAnsi="Times New Roman"/>
        </w:rPr>
        <w:t>latnosti do záväzkov polehotných</w:t>
      </w:r>
      <w:r w:rsidRPr="00774A6E" w:rsidR="00363856">
        <w:rPr>
          <w:rFonts w:ascii="Times New Roman" w:hAnsi="Times New Roman"/>
        </w:rPr>
        <w:t xml:space="preserve">. </w:t>
      </w:r>
    </w:p>
    <w:p w:rsidR="003039CA" w:rsidRPr="00774A6E" w:rsidP="003039CA">
      <w:pPr>
        <w:bidi w:val="0"/>
        <w:rPr>
          <w:rFonts w:ascii="Times New Roman" w:hAnsi="Times New Roman"/>
        </w:rPr>
      </w:pPr>
      <w:r w:rsidRPr="00774A6E">
        <w:rPr>
          <w:rFonts w:ascii="Times New Roman" w:hAnsi="Times New Roman"/>
        </w:rPr>
        <w:t>Na základe odhadov ÚRPO MZ SR je odhad rastu zadlženosti nemocníc</w:t>
      </w:r>
      <w:r>
        <w:rPr>
          <w:rFonts w:ascii="Times New Roman" w:hAnsi="Times New Roman"/>
        </w:rPr>
        <w:t xml:space="preserve"> bez zvýšenia </w:t>
      </w:r>
      <w:r w:rsidR="0099553D">
        <w:rPr>
          <w:rFonts w:ascii="Times New Roman" w:hAnsi="Times New Roman"/>
        </w:rPr>
        <w:t xml:space="preserve">tempa nárastu </w:t>
      </w:r>
      <w:r>
        <w:rPr>
          <w:rFonts w:ascii="Times New Roman" w:hAnsi="Times New Roman"/>
        </w:rPr>
        <w:t xml:space="preserve">výnosov nemocníc </w:t>
      </w:r>
      <w:r w:rsidRPr="00774A6E">
        <w:rPr>
          <w:rFonts w:ascii="Times New Roman" w:hAnsi="Times New Roman"/>
        </w:rPr>
        <w:t>meraný prostredníctvom rastu záväzkov po lehote splatnosti pre nasledujúce roky nasledovný:</w:t>
      </w:r>
    </w:p>
    <w:p w:rsidR="003039CA" w:rsidRPr="00774A6E" w:rsidP="003039CA">
      <w:pPr>
        <w:bidi w:val="0"/>
        <w:rPr>
          <w:rFonts w:ascii="Times New Roman" w:hAnsi="Times New Roman"/>
        </w:rPr>
      </w:pPr>
    </w:p>
    <w:p w:rsidR="003039CA" w:rsidRPr="00774A6E" w:rsidP="003039CA">
      <w:pPr>
        <w:bidi w:val="0"/>
        <w:rPr>
          <w:rFonts w:ascii="Times New Roman" w:hAnsi="Times New Roman"/>
        </w:rPr>
      </w:pPr>
      <w:r w:rsidRPr="00774A6E">
        <w:rPr>
          <w:rFonts w:ascii="Times New Roman" w:hAnsi="Times New Roman"/>
        </w:rPr>
        <w:t>rok 2017</w:t>
        <w:tab/>
        <w:t>81 mil. EUR</w:t>
      </w:r>
    </w:p>
    <w:p w:rsidR="003039CA" w:rsidRPr="00774A6E" w:rsidP="003039CA">
      <w:pPr>
        <w:bidi w:val="0"/>
        <w:rPr>
          <w:rFonts w:ascii="Times New Roman" w:hAnsi="Times New Roman"/>
        </w:rPr>
      </w:pPr>
      <w:r w:rsidRPr="00774A6E">
        <w:rPr>
          <w:rFonts w:ascii="Times New Roman" w:hAnsi="Times New Roman"/>
        </w:rPr>
        <w:t>rok 2018</w:t>
        <w:tab/>
        <w:t>67 mil. EUR</w:t>
      </w:r>
    </w:p>
    <w:p w:rsidR="003039CA" w:rsidRPr="00774A6E" w:rsidP="003039CA">
      <w:pPr>
        <w:bidi w:val="0"/>
        <w:rPr>
          <w:rFonts w:ascii="Times New Roman" w:hAnsi="Times New Roman"/>
        </w:rPr>
      </w:pPr>
      <w:r w:rsidRPr="00774A6E">
        <w:rPr>
          <w:rFonts w:ascii="Times New Roman" w:hAnsi="Times New Roman"/>
        </w:rPr>
        <w:t>rok 2019</w:t>
        <w:tab/>
        <w:t>55 mil. EUR</w:t>
      </w:r>
    </w:p>
    <w:p w:rsidR="003039CA" w:rsidRPr="00774A6E" w:rsidP="003039CA">
      <w:pPr>
        <w:bidi w:val="0"/>
        <w:rPr>
          <w:rFonts w:ascii="Times New Roman" w:hAnsi="Times New Roman"/>
        </w:rPr>
      </w:pPr>
      <w:r w:rsidRPr="00774A6E">
        <w:rPr>
          <w:rFonts w:ascii="Times New Roman" w:hAnsi="Times New Roman"/>
        </w:rPr>
        <w:t>rok 2020</w:t>
        <w:tab/>
        <w:t>43 mil. EUR</w:t>
      </w:r>
    </w:p>
    <w:p w:rsidR="00B92850" w:rsidP="00EF537B">
      <w:pPr>
        <w:bidi w:val="0"/>
        <w:rPr>
          <w:rFonts w:ascii="Times New Roman" w:hAnsi="Times New Roman"/>
        </w:rPr>
      </w:pPr>
    </w:p>
    <w:p w:rsidR="003039CA" w:rsidP="00EF537B">
      <w:pPr>
        <w:bidi w:val="0"/>
        <w:rPr>
          <w:rFonts w:ascii="Times New Roman" w:hAnsi="Times New Roman"/>
        </w:rPr>
      </w:pPr>
    </w:p>
    <w:p w:rsidR="003039CA" w:rsidP="003039CA">
      <w:pPr>
        <w:pStyle w:val="Heading3"/>
        <w:bidi w:val="0"/>
        <w:rPr>
          <w:rFonts w:hint="default"/>
          <w:color w:val="365F91" w:themeShade="BF"/>
        </w:rPr>
      </w:pPr>
      <w:r>
        <w:rPr>
          <w:rFonts w:hint="default"/>
          <w:color w:val="365F91" w:themeShade="BF"/>
        </w:rPr>
        <w:t>Identifikovaná</w:t>
      </w:r>
      <w:r>
        <w:rPr>
          <w:rFonts w:hint="default"/>
          <w:color w:val="365F91" w:themeShade="BF"/>
        </w:rPr>
        <w:t xml:space="preserve"> potreba výš</w:t>
      </w:r>
      <w:r>
        <w:rPr>
          <w:rFonts w:hint="default"/>
          <w:color w:val="365F91" w:themeShade="BF"/>
        </w:rPr>
        <w:t>ky finanč</w:t>
      </w:r>
      <w:r>
        <w:rPr>
          <w:rFonts w:hint="default"/>
          <w:color w:val="365F91" w:themeShade="BF"/>
        </w:rPr>
        <w:t>ný</w:t>
      </w:r>
      <w:r>
        <w:rPr>
          <w:rFonts w:hint="default"/>
          <w:color w:val="365F91" w:themeShade="BF"/>
        </w:rPr>
        <w:t>ch zdrojov na oddlž</w:t>
      </w:r>
      <w:r>
        <w:rPr>
          <w:rFonts w:hint="default"/>
          <w:color w:val="365F91" w:themeShade="BF"/>
        </w:rPr>
        <w:t>enie</w:t>
      </w:r>
    </w:p>
    <w:p w:rsidR="003039CA" w:rsidRPr="00774A6E" w:rsidP="00EF537B">
      <w:pPr>
        <w:bidi w:val="0"/>
        <w:rPr>
          <w:rFonts w:ascii="Times New Roman" w:hAnsi="Times New Roman"/>
        </w:rPr>
      </w:pPr>
    </w:p>
    <w:p w:rsidR="00B92850" w:rsidRPr="00774A6E" w:rsidP="00EF537B">
      <w:pPr>
        <w:bidi w:val="0"/>
        <w:rPr>
          <w:rFonts w:ascii="Times New Roman" w:hAnsi="Times New Roman"/>
        </w:rPr>
      </w:pPr>
      <w:r w:rsidRPr="00FB4D20" w:rsidR="00DB21A5">
        <w:rPr>
          <w:rFonts w:ascii="Times New Roman" w:hAnsi="Times New Roman"/>
          <w:b/>
        </w:rPr>
        <w:t>Identifikovaná potreba zdrojov</w:t>
      </w:r>
      <w:r w:rsidRPr="00774A6E" w:rsidR="00DB21A5">
        <w:rPr>
          <w:rFonts w:ascii="Times New Roman" w:hAnsi="Times New Roman"/>
        </w:rPr>
        <w:t xml:space="preserve"> na oddlžovanie </w:t>
      </w:r>
      <w:r w:rsidRPr="00774A6E" w:rsidR="00235E6C">
        <w:rPr>
          <w:rFonts w:ascii="Times New Roman" w:hAnsi="Times New Roman"/>
        </w:rPr>
        <w:t xml:space="preserve">ktorá sa </w:t>
      </w:r>
      <w:r w:rsidRPr="00774A6E" w:rsidR="00DB21A5">
        <w:rPr>
          <w:rFonts w:ascii="Times New Roman" w:hAnsi="Times New Roman"/>
        </w:rPr>
        <w:t>odvíja od vyššie uvedených</w:t>
      </w:r>
      <w:r w:rsidRPr="00774A6E" w:rsidR="00235E6C">
        <w:rPr>
          <w:rFonts w:ascii="Times New Roman" w:hAnsi="Times New Roman"/>
        </w:rPr>
        <w:t xml:space="preserve"> vplyvov (stav záväzkov, priebežné zadlžovanie, ako aj odhad úspor</w:t>
      </w:r>
      <w:r w:rsidRPr="00774A6E" w:rsidR="007143F3">
        <w:rPr>
          <w:rFonts w:ascii="Times New Roman" w:hAnsi="Times New Roman"/>
        </w:rPr>
        <w:t xml:space="preserve"> ktorý bude dosiahnutý pri oddlžovaní</w:t>
      </w:r>
      <w:r w:rsidRPr="00774A6E" w:rsidR="00235E6C">
        <w:rPr>
          <w:rFonts w:ascii="Times New Roman" w:hAnsi="Times New Roman"/>
        </w:rPr>
        <w:t xml:space="preserve">) je </w:t>
      </w:r>
      <w:r w:rsidR="00F86566">
        <w:rPr>
          <w:rFonts w:ascii="Times New Roman" w:hAnsi="Times New Roman"/>
        </w:rPr>
        <w:t xml:space="preserve">do výšky  </w:t>
      </w:r>
      <w:r w:rsidRPr="00774A6E" w:rsidR="00235E6C">
        <w:rPr>
          <w:rFonts w:ascii="Times New Roman" w:hAnsi="Times New Roman"/>
        </w:rPr>
        <w:t>600 mil. EUR</w:t>
      </w:r>
      <w:r w:rsidRPr="00774A6E" w:rsidR="007143F3">
        <w:rPr>
          <w:rFonts w:ascii="Times New Roman" w:hAnsi="Times New Roman"/>
        </w:rPr>
        <w:t>.</w:t>
      </w:r>
    </w:p>
    <w:p w:rsidR="00B92850" w:rsidRPr="00774A6E" w:rsidP="00EF537B">
      <w:pPr>
        <w:bidi w:val="0"/>
        <w:rPr>
          <w:rFonts w:ascii="Times New Roman" w:hAnsi="Times New Roman"/>
        </w:rPr>
      </w:pPr>
    </w:p>
    <w:p w:rsidR="00251D02" w:rsidRPr="00774A6E" w:rsidP="00EF537B">
      <w:pPr>
        <w:bidi w:val="0"/>
        <w:rPr>
          <w:rFonts w:ascii="Times New Roman" w:hAnsi="Times New Roman"/>
        </w:rPr>
      </w:pPr>
      <w:r w:rsidRPr="00774A6E" w:rsidR="00A46A91">
        <w:rPr>
          <w:rFonts w:ascii="Times New Roman" w:hAnsi="Times New Roman"/>
        </w:rPr>
        <w:t>Jednotlivé etapy oddlžovania sú rozdelené nasledovne:</w:t>
      </w:r>
    </w:p>
    <w:p w:rsidR="00251D02" w:rsidRPr="00774A6E" w:rsidP="00EF537B">
      <w:pPr>
        <w:bidi w:val="0"/>
        <w:rPr>
          <w:rFonts w:ascii="Times New Roman" w:hAnsi="Times New Roman"/>
        </w:rPr>
      </w:pPr>
    </w:p>
    <w:p w:rsidR="00251D02" w:rsidP="00CF2104">
      <w:pPr>
        <w:pStyle w:val="Obyajn"/>
        <w:numPr>
          <w:numId w:val="16"/>
        </w:numPr>
        <w:bidi w:val="0"/>
        <w:rPr>
          <w:rFonts w:ascii="Times New Roman" w:hAnsi="Times New Roman"/>
        </w:rPr>
      </w:pPr>
      <w:r w:rsidRPr="00774A6E">
        <w:rPr>
          <w:rFonts w:ascii="Times New Roman" w:hAnsi="Times New Roman"/>
        </w:rPr>
        <w:t xml:space="preserve">V prvej etape (realizácia v roku 2017) budú oddlžované všetky pohľadávky veriteľov </w:t>
      </w:r>
      <w:r w:rsidRPr="00774A6E" w:rsidR="004A03BF">
        <w:rPr>
          <w:rFonts w:ascii="Times New Roman" w:hAnsi="Times New Roman"/>
        </w:rPr>
        <w:t xml:space="preserve">po splatnosti k 31.12.2016 </w:t>
      </w:r>
      <w:r w:rsidRPr="00774A6E">
        <w:rPr>
          <w:rFonts w:ascii="Times New Roman" w:hAnsi="Times New Roman"/>
        </w:rPr>
        <w:t>nad 2 roky</w:t>
      </w:r>
      <w:r w:rsidR="00AA6B73">
        <w:rPr>
          <w:rFonts w:ascii="Times New Roman" w:hAnsi="Times New Roman"/>
        </w:rPr>
        <w:t xml:space="preserve"> (3. a 4 perióda – </w:t>
      </w:r>
      <w:r w:rsidR="00B8775E">
        <w:rPr>
          <w:rFonts w:ascii="Times New Roman" w:hAnsi="Times New Roman"/>
          <w:i/>
        </w:rPr>
        <w:t>kapitola 4.6</w:t>
      </w:r>
      <w:r w:rsidR="00AA6B73">
        <w:rPr>
          <w:rFonts w:ascii="Times New Roman" w:hAnsi="Times New Roman"/>
        </w:rPr>
        <w:t>)</w:t>
      </w:r>
      <w:r w:rsidRPr="00774A6E">
        <w:rPr>
          <w:rFonts w:ascii="Times New Roman" w:hAnsi="Times New Roman"/>
        </w:rPr>
        <w:t xml:space="preserve">. </w:t>
      </w:r>
    </w:p>
    <w:p w:rsidR="00251D02" w:rsidRPr="00774A6E" w:rsidP="00CF2104">
      <w:pPr>
        <w:pStyle w:val="Obyajn"/>
        <w:numPr>
          <w:numId w:val="16"/>
        </w:numPr>
        <w:bidi w:val="0"/>
        <w:rPr>
          <w:rFonts w:ascii="Times New Roman" w:hAnsi="Times New Roman"/>
        </w:rPr>
      </w:pPr>
      <w:r w:rsidRPr="00774A6E">
        <w:rPr>
          <w:rFonts w:ascii="Times New Roman" w:hAnsi="Times New Roman"/>
        </w:rPr>
        <w:t xml:space="preserve">V etape druhej (realizácia v roku 2017/2018) budú oddlžované pohľadávky </w:t>
      </w:r>
      <w:r w:rsidRPr="00774A6E" w:rsidR="004A03BF">
        <w:rPr>
          <w:rFonts w:ascii="Times New Roman" w:hAnsi="Times New Roman"/>
        </w:rPr>
        <w:t xml:space="preserve">po lehote splatnosti k 31.12.2016 </w:t>
      </w:r>
      <w:r w:rsidRPr="00774A6E">
        <w:rPr>
          <w:rFonts w:ascii="Times New Roman" w:hAnsi="Times New Roman"/>
        </w:rPr>
        <w:t xml:space="preserve">od nula do dvoch rokov, pričom budú do oddlžovania zaradené nemocnice ktorým MZ SR odsúhlasilo ich ozdravné plány. </w:t>
      </w:r>
    </w:p>
    <w:p w:rsidR="00251D02" w:rsidRPr="00774A6E" w:rsidP="00CF2104">
      <w:pPr>
        <w:pStyle w:val="Obyajn"/>
        <w:numPr>
          <w:numId w:val="16"/>
        </w:numPr>
        <w:bidi w:val="0"/>
        <w:rPr>
          <w:rFonts w:ascii="Times New Roman" w:hAnsi="Times New Roman"/>
        </w:rPr>
      </w:pPr>
      <w:r w:rsidRPr="00774A6E">
        <w:rPr>
          <w:rFonts w:ascii="Times New Roman" w:hAnsi="Times New Roman"/>
        </w:rPr>
        <w:t>V tretej etape (realizácia v roku 2018</w:t>
      </w:r>
      <w:r w:rsidRPr="00774A6E" w:rsidR="00311CAA">
        <w:rPr>
          <w:rFonts w:ascii="Times New Roman" w:hAnsi="Times New Roman"/>
        </w:rPr>
        <w:t>/2019</w:t>
      </w:r>
      <w:r w:rsidRPr="00774A6E">
        <w:rPr>
          <w:rFonts w:ascii="Times New Roman" w:hAnsi="Times New Roman"/>
        </w:rPr>
        <w:t xml:space="preserve">) budú oddlžované pohľadávky veriteľom vzniknuté po 1.1.2017; ale len voči tým nemocniciam ktoré budú dodržiavať podmienky definované  ozdravným plánom. </w:t>
      </w:r>
    </w:p>
    <w:p w:rsidR="00251D02" w:rsidRPr="00774A6E" w:rsidP="00EF537B">
      <w:pPr>
        <w:bidi w:val="0"/>
        <w:rPr>
          <w:rFonts w:ascii="Times New Roman" w:hAnsi="Times New Roman"/>
        </w:rPr>
      </w:pPr>
    </w:p>
    <w:p w:rsidR="0079175D" w:rsidP="0079175D">
      <w:pPr>
        <w:bidi w:val="0"/>
        <w:rPr>
          <w:rFonts w:ascii="Times New Roman" w:hAnsi="Times New Roman"/>
        </w:rPr>
      </w:pPr>
      <w:r w:rsidR="00AA6B73">
        <w:rPr>
          <w:rFonts w:ascii="Times New Roman" w:hAnsi="Times New Roman"/>
        </w:rPr>
        <w:t xml:space="preserve">Výška zdrojov určených do elektronickej aukcie </w:t>
      </w:r>
      <w:r>
        <w:rPr>
          <w:rFonts w:ascii="Times New Roman" w:hAnsi="Times New Roman"/>
        </w:rPr>
        <w:t>sa vypočíta ako:</w:t>
      </w:r>
    </w:p>
    <w:p w:rsidR="00945CF9" w:rsidP="0079175D">
      <w:pPr>
        <w:bidi w:val="0"/>
        <w:rPr>
          <w:rFonts w:ascii="Times New Roman" w:hAnsi="Times New Roman"/>
        </w:rPr>
      </w:pPr>
    </w:p>
    <w:tbl>
      <w:tblPr>
        <w:tblStyle w:val="TableGrid"/>
        <w:tblW w:w="0" w:type="auto"/>
        <w:tblLook w:val="04A0"/>
      </w:tblPr>
      <w:tblGrid>
        <w:gridCol w:w="9287"/>
      </w:tblGrid>
      <w:tr>
        <w:tblPrEx>
          <w:tblW w:w="0" w:type="auto"/>
          <w:tblLook w:val="04A0"/>
        </w:tblPrEx>
        <w:tc>
          <w:tcPr>
            <w:tcW w:w="9513" w:type="dxa"/>
            <w:tcBorders>
              <w:top w:val="single" w:sz="4" w:space="0" w:color="auto"/>
              <w:left w:val="single" w:sz="4" w:space="0" w:color="auto"/>
              <w:bottom w:val="single" w:sz="4" w:space="0" w:color="auto"/>
              <w:right w:val="single" w:sz="4" w:space="0" w:color="auto"/>
            </w:tcBorders>
            <w:textDirection w:val="lrTb"/>
            <w:vAlign w:val="top"/>
          </w:tcPr>
          <w:p w:rsidR="0079175D" w:rsidRPr="00774A6E" w:rsidP="0079175D">
            <w:pPr>
              <w:bidi w:val="0"/>
              <w:ind w:firstLine="0"/>
              <w:rPr>
                <w:rFonts w:ascii="Times New Roman" w:hAnsi="Times New Roman"/>
              </w:rPr>
            </w:pPr>
            <w:r w:rsidRPr="0079175D">
              <w:rPr>
                <w:rFonts w:ascii="Times New Roman" w:hAnsi="Times New Roman"/>
              </w:rPr>
              <w:t xml:space="preserve">VÁŽENÝ FIXNÝ DISKONT krát (VŠETKY </w:t>
            </w:r>
            <w:r w:rsidR="00F86566">
              <w:rPr>
                <w:rFonts w:ascii="Times New Roman" w:hAnsi="Times New Roman"/>
              </w:rPr>
              <w:t xml:space="preserve">PRIHLÁSENÉ </w:t>
            </w:r>
            <w:r w:rsidRPr="0079175D">
              <w:rPr>
                <w:rFonts w:ascii="Times New Roman" w:hAnsi="Times New Roman"/>
              </w:rPr>
              <w:t>POHĹADÁVKY PERIÓDY KOLA AUKCIE VO VÝŠKE NOMINÁLU mínus VŠETKY POHĽADÁVKY VO VÝŠKE NOMINÁLU UPLATNENÉ FIXNÝM DISKONTOM Z PERÍODY KOLA AUKCIE)</w:t>
            </w:r>
          </w:p>
        </w:tc>
      </w:tr>
    </w:tbl>
    <w:p w:rsidR="00251D02" w:rsidRPr="00774A6E" w:rsidP="00EF537B">
      <w:pPr>
        <w:bidi w:val="0"/>
        <w:rPr>
          <w:rFonts w:ascii="Times New Roman" w:hAnsi="Times New Roman"/>
        </w:rPr>
      </w:pPr>
    </w:p>
    <w:p w:rsidR="0059034D">
      <w:pPr>
        <w:bidi w:val="0"/>
        <w:spacing w:after="200" w:line="276" w:lineRule="auto"/>
        <w:ind w:firstLine="0"/>
        <w:jc w:val="left"/>
        <w:rPr>
          <w:rFonts w:asciiTheme="majorHAnsi" w:eastAsiaTheme="majorEastAsia" w:hAnsiTheme="majorHAnsi" w:cstheme="majorBidi"/>
          <w:color w:val="365F91" w:themeColor="accent1" w:themeShade="BF"/>
          <w:sz w:val="26"/>
          <w:szCs w:val="26"/>
        </w:rPr>
      </w:pPr>
    </w:p>
    <w:p w:rsidR="00251D02" w:rsidRPr="0079175D" w:rsidP="0079175D">
      <w:pPr>
        <w:pStyle w:val="Heading2"/>
        <w:bidi w:val="0"/>
        <w:rPr>
          <w:rFonts w:hint="default"/>
        </w:rPr>
      </w:pPr>
      <w:r w:rsidRPr="0079175D" w:rsidR="0079175D">
        <w:rPr>
          <w:rFonts w:hint="default"/>
        </w:rPr>
        <w:t>Osobitný</w:t>
      </w:r>
      <w:r w:rsidRPr="0079175D" w:rsidR="0079175D">
        <w:rPr>
          <w:rFonts w:hint="default"/>
        </w:rPr>
        <w:t xml:space="preserve"> p</w:t>
      </w:r>
      <w:r w:rsidRPr="0079175D">
        <w:rPr>
          <w:rFonts w:hint="default"/>
        </w:rPr>
        <w:t>ostup pri oddlž</w:t>
      </w:r>
      <w:r w:rsidRPr="0079175D">
        <w:rPr>
          <w:rFonts w:hint="default"/>
        </w:rPr>
        <w:t>ovaní</w:t>
      </w:r>
      <w:r w:rsidRPr="0079175D">
        <w:rPr>
          <w:rFonts w:hint="default"/>
        </w:rPr>
        <w:t xml:space="preserve"> nemocní</w:t>
      </w:r>
      <w:r w:rsidRPr="0079175D">
        <w:rPr>
          <w:rFonts w:hint="default"/>
        </w:rPr>
        <w:t>c podľ</w:t>
      </w:r>
      <w:r w:rsidRPr="0079175D">
        <w:rPr>
          <w:rFonts w:hint="default"/>
        </w:rPr>
        <w:t>a typov veriteľ</w:t>
      </w:r>
      <w:r w:rsidRPr="0079175D">
        <w:rPr>
          <w:rFonts w:hint="default"/>
        </w:rPr>
        <w:t xml:space="preserve">ov </w:t>
      </w:r>
      <w:r w:rsidRPr="0079175D">
        <w:rPr>
          <w:rFonts w:hint="default"/>
        </w:rPr>
        <w:t>a </w:t>
      </w:r>
      <w:r w:rsidRPr="0079175D">
        <w:rPr>
          <w:rFonts w:hint="default"/>
        </w:rPr>
        <w:t>sú</w:t>
      </w:r>
      <w:r w:rsidRPr="0079175D">
        <w:rPr>
          <w:rFonts w:hint="default"/>
        </w:rPr>
        <w:t>visiace prá</w:t>
      </w:r>
      <w:r w:rsidRPr="0079175D">
        <w:rPr>
          <w:rFonts w:hint="default"/>
        </w:rPr>
        <w:t>vne dokumenty</w:t>
      </w:r>
    </w:p>
    <w:p w:rsidR="00251D02" w:rsidRPr="00774A6E" w:rsidP="00EF537B">
      <w:pPr>
        <w:bidi w:val="0"/>
        <w:rPr>
          <w:rFonts w:ascii="Times New Roman" w:hAnsi="Times New Roman"/>
        </w:rPr>
      </w:pPr>
    </w:p>
    <w:p w:rsidR="00251D02" w:rsidRPr="00774A6E" w:rsidP="00AB5CB6">
      <w:pPr>
        <w:bidi w:val="0"/>
        <w:ind w:firstLine="0"/>
        <w:rPr>
          <w:rFonts w:ascii="Times New Roman" w:hAnsi="Times New Roman"/>
        </w:rPr>
      </w:pPr>
    </w:p>
    <w:p w:rsidR="00251D02" w:rsidRPr="00AB5CB6" w:rsidP="00AB5CB6">
      <w:pPr>
        <w:pStyle w:val="Heading3"/>
        <w:bidi w:val="0"/>
        <w:rPr>
          <w:color w:val="365F91" w:themeShade="BF"/>
        </w:rPr>
      </w:pPr>
      <w:r w:rsidRPr="00AB5CB6" w:rsidR="00AB5CB6">
        <w:rPr>
          <w:rFonts w:hint="default"/>
          <w:color w:val="365F91" w:themeShade="BF"/>
        </w:rPr>
        <w:t>Sociá</w:t>
      </w:r>
      <w:r w:rsidRPr="00AB5CB6" w:rsidR="00AB5CB6">
        <w:rPr>
          <w:rFonts w:hint="default"/>
          <w:color w:val="365F91" w:themeShade="BF"/>
        </w:rPr>
        <w:t>lna Poisť</w:t>
      </w:r>
      <w:r w:rsidRPr="00AB5CB6" w:rsidR="00AB5CB6">
        <w:rPr>
          <w:rFonts w:hint="default"/>
          <w:color w:val="365F91" w:themeShade="BF"/>
        </w:rPr>
        <w:t>ovň</w:t>
      </w:r>
      <w:r w:rsidRPr="00AB5CB6" w:rsidR="00AB5CB6">
        <w:rPr>
          <w:rFonts w:hint="default"/>
          <w:color w:val="365F91" w:themeShade="BF"/>
        </w:rPr>
        <w:t>a</w:t>
      </w:r>
    </w:p>
    <w:p w:rsidR="00251D02" w:rsidRPr="00774A6E" w:rsidP="00EF537B">
      <w:pPr>
        <w:bidi w:val="0"/>
        <w:rPr>
          <w:rFonts w:ascii="Times New Roman" w:hAnsi="Times New Roman"/>
        </w:rPr>
      </w:pPr>
    </w:p>
    <w:p w:rsidR="00251D02" w:rsidRPr="00774A6E" w:rsidP="00EF537B">
      <w:pPr>
        <w:bidi w:val="0"/>
        <w:rPr>
          <w:rFonts w:ascii="Times New Roman" w:hAnsi="Times New Roman"/>
        </w:rPr>
      </w:pPr>
      <w:r w:rsidRPr="00774A6E">
        <w:rPr>
          <w:rFonts w:ascii="Times New Roman" w:hAnsi="Times New Roman"/>
        </w:rPr>
        <w:t>Pohľadávky Sociálnej poisťovne (vrátane príslušenstva) voči nemocniciam budú v zmysle § 149  a nasl. zákona 461/2003 Z. z. o sociálnom poistení na základe písomnej zmluvy o postúpení pohľadávky postúpené na obchodnú spoločnosť so 100%-nou majetkovou účasťou štátu. Takáto „štátna“ obchodná spoločnosť musí byť určená Ministerstvom práce, sociálnych vecí a rodiny SR po dohode s MF SR.</w:t>
      </w:r>
    </w:p>
    <w:p w:rsidR="00251D02" w:rsidRPr="00774A6E" w:rsidP="00EF537B">
      <w:pPr>
        <w:bidi w:val="0"/>
        <w:rPr>
          <w:rFonts w:ascii="Times New Roman" w:hAnsi="Times New Roman"/>
        </w:rPr>
      </w:pPr>
    </w:p>
    <w:p w:rsidR="0059034D" w:rsidRPr="00774A6E" w:rsidP="00C122A5">
      <w:pPr>
        <w:bidi w:val="0"/>
        <w:spacing w:line="240" w:lineRule="auto"/>
        <w:rPr>
          <w:rFonts w:ascii="Times New Roman" w:hAnsi="Times New Roman"/>
        </w:rPr>
      </w:pPr>
      <w:r w:rsidRPr="00774A6E" w:rsidR="00251D02">
        <w:rPr>
          <w:rFonts w:ascii="Times New Roman" w:hAnsi="Times New Roman"/>
        </w:rPr>
        <w:t xml:space="preserve">Suma odplaty za postúpené pohľadávky nie je zákonom ustanovená, je ponechaná na dohodu zmluvných strán. Je teda potrebné vychádzať z toho, akým spôsobom o týchto pohľadávkach Sociálna poisťovňa účtuje a za akú výšku odplaty je schopná ich previesť. </w:t>
      </w:r>
      <w:r>
        <w:rPr>
          <w:rFonts w:ascii="Times New Roman" w:hAnsi="Times New Roman"/>
        </w:rPr>
        <w:t>MZ SR navrhuje, aby výška postúpených pohľadávok bola v súlade s princípom rovnakého zaobchádzania vo výške určenej podľa pravidiel fixného diskontu.</w:t>
      </w:r>
    </w:p>
    <w:p w:rsidR="00251D02" w:rsidRPr="00774A6E" w:rsidP="00EF537B">
      <w:pPr>
        <w:bidi w:val="0"/>
        <w:rPr>
          <w:rFonts w:ascii="Times New Roman" w:hAnsi="Times New Roman"/>
        </w:rPr>
      </w:pPr>
    </w:p>
    <w:p w:rsidR="00251D02" w:rsidRPr="00774A6E" w:rsidP="006F6E8E">
      <w:pPr>
        <w:bidi w:val="0"/>
        <w:rPr>
          <w:rFonts w:ascii="Times New Roman" w:hAnsi="Times New Roman"/>
        </w:rPr>
      </w:pPr>
      <w:r w:rsidRPr="00774A6E">
        <w:rPr>
          <w:rFonts w:ascii="Times New Roman" w:hAnsi="Times New Roman"/>
        </w:rPr>
        <w:t xml:space="preserve">Následne uzavrie „štátna“ obchodná spoločnosť ako veriteľ s jednotlivými nemocnicami ako dlžníkmi dohody o novácii záväzkov (§ 570 a nasl. Občianskeho zákonníka), prípadne dohody o odpustení dlhu (§ 574 Občianskeho zákonníka), v dôsledku čoho dlh nemocníc (ktorý bol pôvodne voči SP) zanikne. </w:t>
      </w:r>
    </w:p>
    <w:p w:rsidR="00251D02" w:rsidRPr="00774A6E" w:rsidP="006F6E8E">
      <w:pPr>
        <w:bidi w:val="0"/>
        <w:rPr>
          <w:rFonts w:ascii="Times New Roman" w:hAnsi="Times New Roman"/>
        </w:rPr>
      </w:pPr>
      <w:r w:rsidRPr="00774A6E">
        <w:rPr>
          <w:rFonts w:ascii="Times New Roman" w:hAnsi="Times New Roman"/>
        </w:rPr>
        <w:t xml:space="preserve">Výnos z titulu odpusteného dlhu je v prípade príspevkových a neziskových organizácií podľa vyjadrení MF SR oslobodený od dane z príjmov, takže týmto nemocniciam nevzniká daňová povinnosť. </w:t>
      </w:r>
    </w:p>
    <w:p w:rsidR="00251D02" w:rsidRPr="00774A6E" w:rsidP="00EF537B">
      <w:pPr>
        <w:bidi w:val="0"/>
        <w:rPr>
          <w:rFonts w:ascii="Times New Roman" w:hAnsi="Times New Roman"/>
        </w:rPr>
      </w:pPr>
      <w:r w:rsidRPr="00774A6E">
        <w:rPr>
          <w:rFonts w:ascii="Times New Roman" w:hAnsi="Times New Roman"/>
        </w:rPr>
        <w:t xml:space="preserve">Pohľadávky Sociálnej poisťovne nebudú súčasťou elektronického aukčného systému (EAS). Budú sa postupovať na základe samostatnej zmluvy o postúpení pohľadávok, nezávisle od EAS. </w:t>
      </w:r>
    </w:p>
    <w:p w:rsidR="00251D02" w:rsidP="00EF537B">
      <w:pPr>
        <w:bidi w:val="0"/>
        <w:rPr>
          <w:rFonts w:ascii="Times New Roman" w:hAnsi="Times New Roman"/>
        </w:rPr>
      </w:pPr>
    </w:p>
    <w:p w:rsidR="00FE6129" w:rsidRPr="00774A6E" w:rsidP="00EF537B">
      <w:pPr>
        <w:bidi w:val="0"/>
        <w:rPr>
          <w:rFonts w:ascii="Times New Roman" w:hAnsi="Times New Roman"/>
        </w:rPr>
      </w:pPr>
    </w:p>
    <w:p w:rsidR="00251D02" w:rsidRPr="00FE6129" w:rsidP="00FE6129">
      <w:pPr>
        <w:pStyle w:val="Heading3"/>
        <w:bidi w:val="0"/>
        <w:rPr>
          <w:rFonts w:hint="default"/>
          <w:color w:val="365F91" w:themeShade="BF"/>
        </w:rPr>
      </w:pPr>
      <w:r w:rsidR="00FE6129">
        <w:rPr>
          <w:color w:val="365F91" w:themeShade="BF"/>
        </w:rPr>
        <w:t>N</w:t>
      </w:r>
      <w:r w:rsidRPr="00FE6129">
        <w:rPr>
          <w:rFonts w:hint="default"/>
          <w:color w:val="365F91" w:themeShade="BF"/>
        </w:rPr>
        <w:t>á</w:t>
      </w:r>
      <w:r w:rsidRPr="00FE6129">
        <w:rPr>
          <w:rFonts w:hint="default"/>
          <w:color w:val="365F91" w:themeShade="BF"/>
        </w:rPr>
        <w:t>rodná</w:t>
      </w:r>
      <w:r w:rsidRPr="00FE6129">
        <w:rPr>
          <w:rFonts w:hint="default"/>
          <w:color w:val="365F91" w:themeShade="BF"/>
        </w:rPr>
        <w:t xml:space="preserve"> </w:t>
      </w:r>
      <w:r w:rsidRPr="00FE6129" w:rsidR="00FE6129">
        <w:rPr>
          <w:rFonts w:hint="default"/>
          <w:color w:val="365F91" w:themeShade="BF"/>
        </w:rPr>
        <w:t>transfú</w:t>
      </w:r>
      <w:r w:rsidRPr="00FE6129" w:rsidR="00FE6129">
        <w:rPr>
          <w:rFonts w:hint="default"/>
          <w:color w:val="365F91" w:themeShade="BF"/>
        </w:rPr>
        <w:t>zna</w:t>
      </w:r>
      <w:r w:rsidRPr="00FE6129">
        <w:rPr>
          <w:rFonts w:hint="default"/>
          <w:color w:val="365F91" w:themeShade="BF"/>
        </w:rPr>
        <w:t xml:space="preserve"> služ</w:t>
      </w:r>
      <w:r w:rsidRPr="00FE6129">
        <w:rPr>
          <w:rFonts w:hint="default"/>
          <w:color w:val="365F91" w:themeShade="BF"/>
        </w:rPr>
        <w:t>ba</w:t>
      </w:r>
    </w:p>
    <w:p w:rsidR="00251D02" w:rsidRPr="00774A6E" w:rsidP="00EF537B">
      <w:pPr>
        <w:bidi w:val="0"/>
        <w:rPr>
          <w:rFonts w:ascii="Times New Roman" w:hAnsi="Times New Roman"/>
        </w:rPr>
      </w:pPr>
    </w:p>
    <w:p w:rsidR="00D72F57" w:rsidP="00EF537B">
      <w:pPr>
        <w:bidi w:val="0"/>
        <w:rPr>
          <w:rFonts w:ascii="Times New Roman" w:hAnsi="Times New Roman"/>
        </w:rPr>
      </w:pPr>
      <w:r w:rsidRPr="00774A6E" w:rsidR="00251D02">
        <w:rPr>
          <w:rFonts w:ascii="Times New Roman" w:hAnsi="Times New Roman"/>
        </w:rPr>
        <w:t xml:space="preserve">Národná transfúzna služba (NTS) sa so svojimi pohľadávkami (ani dlhmi) nezapojí do EAS. Bude jej poskytnutá návratná finančná výpomoc, ktorú použije na úhradu svojich splatných záväzkov. </w:t>
      </w:r>
    </w:p>
    <w:p w:rsidR="00251D02" w:rsidRPr="00774A6E" w:rsidP="00EF537B">
      <w:pPr>
        <w:bidi w:val="0"/>
        <w:rPr>
          <w:rFonts w:ascii="Times New Roman" w:hAnsi="Times New Roman"/>
        </w:rPr>
      </w:pPr>
      <w:r w:rsidR="00D72F57">
        <w:rPr>
          <w:rFonts w:ascii="Times New Roman" w:hAnsi="Times New Roman"/>
        </w:rPr>
        <w:t>NTS ako</w:t>
      </w:r>
      <w:r w:rsidRPr="00774A6E">
        <w:rPr>
          <w:rFonts w:ascii="Times New Roman" w:hAnsi="Times New Roman"/>
        </w:rPr>
        <w:t xml:space="preserve"> správca pohľadávok štátu podľa osobitného predpisu zák.č.374/</w:t>
      </w:r>
      <w:r w:rsidR="00D72F57">
        <w:rPr>
          <w:rFonts w:ascii="Times New Roman" w:hAnsi="Times New Roman"/>
        </w:rPr>
        <w:t xml:space="preserve">2014 Z.z. o pohľadávkach štátu nemôže </w:t>
      </w:r>
      <w:r w:rsidRPr="00774A6E">
        <w:rPr>
          <w:rFonts w:ascii="Times New Roman" w:hAnsi="Times New Roman"/>
        </w:rPr>
        <w:t>pohľadávky štátu odpustiť na základe dohody o novácii či dohody o odpustení záväzku a majú sprísnený režim pri ich vymáhaní.</w:t>
      </w:r>
    </w:p>
    <w:p w:rsidR="00251D02" w:rsidRPr="00774A6E" w:rsidP="00EF537B">
      <w:pPr>
        <w:bidi w:val="0"/>
        <w:rPr>
          <w:rFonts w:ascii="Times New Roman" w:hAnsi="Times New Roman"/>
        </w:rPr>
      </w:pPr>
      <w:r w:rsidRPr="00774A6E">
        <w:rPr>
          <w:rFonts w:ascii="Times New Roman" w:hAnsi="Times New Roman"/>
        </w:rPr>
        <w:t xml:space="preserve">Z úhrad od nemocníc bude NTS postupne splácať poskytnutú návratnú finančnú výpomoc. </w:t>
      </w:r>
    </w:p>
    <w:p w:rsidR="00251D02" w:rsidP="00EF537B">
      <w:pPr>
        <w:bidi w:val="0"/>
        <w:rPr>
          <w:rFonts w:ascii="Times New Roman" w:hAnsi="Times New Roman"/>
        </w:rPr>
      </w:pPr>
    </w:p>
    <w:p w:rsidR="00FE6129" w:rsidRPr="00774A6E" w:rsidP="00EF537B">
      <w:pPr>
        <w:bidi w:val="0"/>
        <w:rPr>
          <w:rFonts w:ascii="Times New Roman" w:hAnsi="Times New Roman"/>
        </w:rPr>
      </w:pPr>
    </w:p>
    <w:p w:rsidR="00251D02" w:rsidRPr="00FE6129" w:rsidP="00FE6129">
      <w:pPr>
        <w:pStyle w:val="Heading3"/>
        <w:bidi w:val="0"/>
        <w:rPr>
          <w:rFonts w:hint="default"/>
          <w:color w:val="365F91" w:themeShade="BF"/>
        </w:rPr>
      </w:pPr>
      <w:r w:rsidR="00FE6129">
        <w:rPr>
          <w:color w:val="365F91" w:themeShade="BF"/>
        </w:rPr>
        <w:t>O</w:t>
      </w:r>
      <w:r w:rsidRPr="00FE6129">
        <w:rPr>
          <w:color w:val="365F91" w:themeShade="BF"/>
        </w:rPr>
        <w:t>stat</w:t>
      </w:r>
      <w:r w:rsidRPr="00FE6129">
        <w:rPr>
          <w:rFonts w:hint="default"/>
          <w:color w:val="365F91" w:themeShade="BF"/>
        </w:rPr>
        <w:t>ní</w:t>
      </w:r>
      <w:r w:rsidRPr="00FE6129">
        <w:rPr>
          <w:rFonts w:hint="default"/>
          <w:color w:val="365F91" w:themeShade="BF"/>
        </w:rPr>
        <w:t xml:space="preserve"> veritelia</w:t>
      </w:r>
    </w:p>
    <w:p w:rsidR="00251D02" w:rsidRPr="00774A6E" w:rsidP="00EF537B">
      <w:pPr>
        <w:bidi w:val="0"/>
        <w:rPr>
          <w:rFonts w:ascii="Times New Roman" w:hAnsi="Times New Roman"/>
        </w:rPr>
      </w:pPr>
    </w:p>
    <w:p w:rsidR="00251D02" w:rsidRPr="00774A6E" w:rsidP="00EF537B">
      <w:pPr>
        <w:bidi w:val="0"/>
        <w:rPr>
          <w:rFonts w:ascii="Times New Roman" w:hAnsi="Times New Roman"/>
        </w:rPr>
      </w:pPr>
      <w:r w:rsidRPr="00774A6E">
        <w:rPr>
          <w:rFonts w:ascii="Times New Roman" w:hAnsi="Times New Roman"/>
        </w:rPr>
        <w:t xml:space="preserve">Nemocnice budú s jednotlivými veriteľmi uzatvárať dohody </w:t>
      </w:r>
      <w:r w:rsidRPr="00761B49">
        <w:rPr>
          <w:rFonts w:ascii="Times New Roman" w:hAnsi="Times New Roman"/>
          <w:b/>
        </w:rPr>
        <w:t>o</w:t>
      </w:r>
      <w:r w:rsidRPr="00761B49" w:rsidR="00D72F57">
        <w:rPr>
          <w:rFonts w:ascii="Times New Roman" w:hAnsi="Times New Roman"/>
          <w:b/>
        </w:rPr>
        <w:t xml:space="preserve"> privátnej </w:t>
      </w:r>
      <w:r w:rsidRPr="00761B49">
        <w:rPr>
          <w:rFonts w:ascii="Times New Roman" w:hAnsi="Times New Roman"/>
          <w:b/>
        </w:rPr>
        <w:t>novácii záväzkov</w:t>
      </w:r>
      <w:r w:rsidRPr="00774A6E">
        <w:rPr>
          <w:rFonts w:ascii="Times New Roman" w:hAnsi="Times New Roman"/>
        </w:rPr>
        <w:t xml:space="preserve"> (§ 570 a nasl. Občianskeho zákonníka). Zmena v obsahu záväzku sa bude týkať výšky a času splatnosti dlhu a bude výsledkom </w:t>
      </w:r>
      <w:r w:rsidR="00694521">
        <w:rPr>
          <w:rFonts w:ascii="Times New Roman" w:hAnsi="Times New Roman"/>
        </w:rPr>
        <w:t xml:space="preserve">dohody o fixnom diskonte alebo </w:t>
      </w:r>
      <w:r w:rsidRPr="00774A6E">
        <w:rPr>
          <w:rFonts w:ascii="Times New Roman" w:hAnsi="Times New Roman"/>
        </w:rPr>
        <w:t>elektronickej aukcie, v rámci ktorej veritelia ponúknu „diskont“ z istiny svojej pohľadávky. Príslušenstva sa v rámci dohody o </w:t>
      </w:r>
      <w:r w:rsidR="00694521">
        <w:rPr>
          <w:rFonts w:ascii="Times New Roman" w:hAnsi="Times New Roman"/>
        </w:rPr>
        <w:t>novácii</w:t>
      </w:r>
      <w:r w:rsidRPr="00774A6E">
        <w:rPr>
          <w:rFonts w:ascii="Times New Roman" w:hAnsi="Times New Roman"/>
        </w:rPr>
        <w:t xml:space="preserve"> veritelia vzdávajú. </w:t>
      </w:r>
    </w:p>
    <w:p w:rsidR="00251D02" w:rsidRPr="00774A6E" w:rsidP="00EF537B">
      <w:pPr>
        <w:bidi w:val="0"/>
        <w:rPr>
          <w:rFonts w:ascii="Times New Roman" w:hAnsi="Times New Roman"/>
        </w:rPr>
      </w:pPr>
    </w:p>
    <w:p w:rsidR="00251D02" w:rsidRPr="00774A6E" w:rsidP="00EF537B">
      <w:pPr>
        <w:bidi w:val="0"/>
        <w:rPr>
          <w:rFonts w:ascii="Times New Roman" w:hAnsi="Times New Roman"/>
        </w:rPr>
      </w:pPr>
      <w:r w:rsidRPr="00774A6E">
        <w:rPr>
          <w:rFonts w:ascii="Times New Roman" w:hAnsi="Times New Roman"/>
        </w:rPr>
        <w:t xml:space="preserve">Pri uzatváraní dohôd bude v mene a na účet jednotlivých nemocníc konať MZ SR, a to na základe uzavretej mandátnej zmluvy (§ 566 a nasl. Obchodného zákonníka), ktorá bude obsahovať aj splnomocnenie od nemocníc pre MZ SR na uzavretie dohôd o novácii. </w:t>
      </w:r>
    </w:p>
    <w:p w:rsidR="00251D02" w:rsidRPr="00774A6E" w:rsidP="00EF537B">
      <w:pPr>
        <w:bidi w:val="0"/>
        <w:rPr>
          <w:rFonts w:ascii="Times New Roman" w:hAnsi="Times New Roman"/>
        </w:rPr>
      </w:pPr>
    </w:p>
    <w:p w:rsidR="00251D02" w:rsidP="00EF537B">
      <w:pPr>
        <w:bidi w:val="0"/>
        <w:rPr>
          <w:rFonts w:ascii="Times New Roman" w:hAnsi="Times New Roman"/>
        </w:rPr>
      </w:pPr>
      <w:r w:rsidRPr="00774A6E">
        <w:rPr>
          <w:rFonts w:ascii="Times New Roman" w:hAnsi="Times New Roman"/>
        </w:rPr>
        <w:t>Finančné prostriedky na ú</w:t>
      </w:r>
      <w:r w:rsidR="00694521">
        <w:rPr>
          <w:rFonts w:ascii="Times New Roman" w:hAnsi="Times New Roman"/>
        </w:rPr>
        <w:t>h</w:t>
      </w:r>
      <w:r w:rsidRPr="00774A6E">
        <w:rPr>
          <w:rFonts w:ascii="Times New Roman" w:hAnsi="Times New Roman"/>
        </w:rPr>
        <w:t xml:space="preserve">radu „vysúťažených“ pohľadávok, ktoré budú predmetom dohôd o novácii, </w:t>
      </w:r>
      <w:r w:rsidRPr="00774A6E" w:rsidR="00694521">
        <w:rPr>
          <w:rFonts w:ascii="Times New Roman" w:hAnsi="Times New Roman"/>
        </w:rPr>
        <w:t xml:space="preserve">MF SR </w:t>
      </w:r>
      <w:r w:rsidRPr="00774A6E">
        <w:rPr>
          <w:rFonts w:ascii="Times New Roman" w:hAnsi="Times New Roman"/>
        </w:rPr>
        <w:t xml:space="preserve">poskytne Ministerstvu zdravotníctva, ktoré </w:t>
      </w:r>
      <w:r w:rsidR="00694521">
        <w:rPr>
          <w:rFonts w:ascii="Times New Roman" w:hAnsi="Times New Roman"/>
        </w:rPr>
        <w:t>pristúpi k záväzkom dlžníka, ktoré vznikli z novácie pôvodných záväzkov a následne</w:t>
      </w:r>
      <w:r w:rsidRPr="00774A6E">
        <w:rPr>
          <w:rFonts w:ascii="Times New Roman" w:hAnsi="Times New Roman"/>
        </w:rPr>
        <w:t xml:space="preserve"> priamo </w:t>
      </w:r>
      <w:r w:rsidR="00694521">
        <w:rPr>
          <w:rFonts w:ascii="Times New Roman" w:hAnsi="Times New Roman"/>
        </w:rPr>
        <w:t>u</w:t>
      </w:r>
      <w:r w:rsidRPr="00774A6E">
        <w:rPr>
          <w:rFonts w:ascii="Times New Roman" w:hAnsi="Times New Roman"/>
        </w:rPr>
        <w:t>hrad</w:t>
      </w:r>
      <w:r w:rsidR="00694521">
        <w:rPr>
          <w:rFonts w:ascii="Times New Roman" w:hAnsi="Times New Roman"/>
        </w:rPr>
        <w:t>í tieto záväzky</w:t>
      </w:r>
      <w:r w:rsidRPr="00774A6E">
        <w:rPr>
          <w:rFonts w:ascii="Times New Roman" w:hAnsi="Times New Roman"/>
        </w:rPr>
        <w:t xml:space="preserve"> veriteľom. Finančné prostriedky nebudú teda vôbec poukazované na bankové účty jednotlivých nemocníc</w:t>
      </w:r>
      <w:r w:rsidR="00694521">
        <w:rPr>
          <w:rFonts w:ascii="Times New Roman" w:hAnsi="Times New Roman"/>
        </w:rPr>
        <w:t>.</w:t>
      </w:r>
    </w:p>
    <w:p w:rsidR="00694521" w:rsidRPr="00774A6E" w:rsidP="00EF537B">
      <w:pPr>
        <w:bidi w:val="0"/>
        <w:rPr>
          <w:rFonts w:ascii="Times New Roman" w:hAnsi="Times New Roman"/>
        </w:rPr>
      </w:pPr>
    </w:p>
    <w:p w:rsidR="00251D02" w:rsidP="00EF537B">
      <w:pPr>
        <w:bidi w:val="0"/>
        <w:rPr>
          <w:rFonts w:ascii="Times New Roman" w:hAnsi="Times New Roman"/>
        </w:rPr>
      </w:pPr>
      <w:r w:rsidR="00694521">
        <w:rPr>
          <w:rFonts w:ascii="Times New Roman" w:hAnsi="Times New Roman"/>
        </w:rPr>
        <w:t xml:space="preserve">Okrem </w:t>
      </w:r>
      <w:r w:rsidRPr="00774A6E">
        <w:rPr>
          <w:rFonts w:ascii="Times New Roman" w:hAnsi="Times New Roman"/>
        </w:rPr>
        <w:t>mandátnej zmluv</w:t>
      </w:r>
      <w:r w:rsidR="00694521">
        <w:rPr>
          <w:rFonts w:ascii="Times New Roman" w:hAnsi="Times New Roman"/>
        </w:rPr>
        <w:t>y</w:t>
      </w:r>
      <w:r w:rsidRPr="00774A6E">
        <w:rPr>
          <w:rFonts w:ascii="Times New Roman" w:hAnsi="Times New Roman"/>
        </w:rPr>
        <w:t xml:space="preserve"> medzi nemocnicami a MZ SR bud</w:t>
      </w:r>
      <w:r w:rsidR="00694521">
        <w:rPr>
          <w:rFonts w:ascii="Times New Roman" w:hAnsi="Times New Roman"/>
        </w:rPr>
        <w:t>e zmluvne uzatvorený záväzok nemocníc v rozsahu povinn</w:t>
      </w:r>
      <w:r w:rsidRPr="00774A6E" w:rsidR="00694521">
        <w:rPr>
          <w:rFonts w:ascii="Times New Roman" w:hAnsi="Times New Roman"/>
        </w:rPr>
        <w:t>o</w:t>
      </w:r>
      <w:r w:rsidR="00694521">
        <w:rPr>
          <w:rFonts w:ascii="Times New Roman" w:hAnsi="Times New Roman"/>
        </w:rPr>
        <w:t>stí</w:t>
      </w:r>
      <w:r w:rsidRPr="00774A6E">
        <w:rPr>
          <w:rFonts w:ascii="Times New Roman" w:hAnsi="Times New Roman"/>
        </w:rPr>
        <w:t>, ktoré</w:t>
      </w:r>
      <w:r w:rsidR="0004721A">
        <w:rPr>
          <w:rFonts w:ascii="Times New Roman" w:hAnsi="Times New Roman"/>
        </w:rPr>
        <w:t xml:space="preserve"> musí počas určeného obdobia daná</w:t>
      </w:r>
      <w:r w:rsidRPr="00774A6E">
        <w:rPr>
          <w:rFonts w:ascii="Times New Roman" w:hAnsi="Times New Roman"/>
        </w:rPr>
        <w:t xml:space="preserve"> nemocnica dodržiavať (ozdravný plán a pod.), prípadne podmienky, za ktorých sa môže oddlženia zúčastniť (dozorný orgán s nominantom MZ SR a pod.). Zároveň bude zmluva obsahovať sankcie pre prípad neplnenia dohodnutých povinností. </w:t>
      </w:r>
    </w:p>
    <w:p w:rsidR="00FE6129" w:rsidRPr="00774A6E" w:rsidP="00EF537B">
      <w:pPr>
        <w:bidi w:val="0"/>
        <w:rPr>
          <w:rFonts w:ascii="Times New Roman" w:hAnsi="Times New Roman"/>
        </w:rPr>
      </w:pPr>
    </w:p>
    <w:p w:rsidR="00251D02" w:rsidRPr="00774A6E" w:rsidP="00EF537B">
      <w:pPr>
        <w:bidi w:val="0"/>
        <w:rPr>
          <w:rFonts w:ascii="Times New Roman" w:hAnsi="Times New Roman"/>
        </w:rPr>
      </w:pPr>
    </w:p>
    <w:p w:rsidR="00251D02" w:rsidRPr="00774A6E" w:rsidP="00FE6129">
      <w:pPr>
        <w:pStyle w:val="Heading2"/>
        <w:bidi w:val="0"/>
        <w:rPr>
          <w:rFonts w:hint="default"/>
        </w:rPr>
      </w:pPr>
      <w:r w:rsidR="00FE6129">
        <w:t>P</w:t>
      </w:r>
      <w:r w:rsidRPr="00774A6E">
        <w:rPr>
          <w:rFonts w:hint="default"/>
        </w:rPr>
        <w:t>rá</w:t>
      </w:r>
      <w:r w:rsidRPr="00774A6E">
        <w:rPr>
          <w:rFonts w:hint="default"/>
        </w:rPr>
        <w:t xml:space="preserve">vne dokumenty </w:t>
      </w:r>
    </w:p>
    <w:p w:rsidR="00251D02" w:rsidRPr="00774A6E" w:rsidP="00EF537B">
      <w:pPr>
        <w:bidi w:val="0"/>
        <w:rPr>
          <w:rFonts w:ascii="Times New Roman" w:hAnsi="Times New Roman"/>
        </w:rPr>
      </w:pPr>
    </w:p>
    <w:p w:rsidR="00251D02" w:rsidP="00EF537B">
      <w:pPr>
        <w:bidi w:val="0"/>
        <w:rPr>
          <w:rFonts w:ascii="Times New Roman" w:hAnsi="Times New Roman"/>
        </w:rPr>
      </w:pPr>
      <w:r w:rsidRPr="00774A6E">
        <w:rPr>
          <w:rFonts w:ascii="Times New Roman" w:hAnsi="Times New Roman"/>
        </w:rPr>
        <w:t xml:space="preserve">Nasledujúce dokumenty zabezpečia komplexnú úpravu práv a povinností jednotlivých účastníkov procesu oddlžovania. </w:t>
      </w:r>
    </w:p>
    <w:p w:rsidR="006F6E8E" w:rsidP="00EF537B">
      <w:pPr>
        <w:bidi w:val="0"/>
        <w:rPr>
          <w:rFonts w:ascii="Times New Roman" w:hAnsi="Times New Roman"/>
        </w:rPr>
      </w:pPr>
    </w:p>
    <w:p w:rsidR="006F6E8E" w:rsidRPr="00774A6E" w:rsidP="00EF537B">
      <w:pPr>
        <w:bidi w:val="0"/>
        <w:rPr>
          <w:rFonts w:ascii="Times New Roman" w:hAnsi="Times New Roman"/>
        </w:rPr>
      </w:pPr>
    </w:p>
    <w:p w:rsidR="00251D02" w:rsidRPr="00AE3D32" w:rsidP="00AE3D32">
      <w:pPr>
        <w:pStyle w:val="Heading3"/>
        <w:bidi w:val="0"/>
        <w:rPr>
          <w:color w:val="365F91" w:themeShade="BF"/>
        </w:rPr>
      </w:pPr>
      <w:r w:rsidRPr="00AE3D32" w:rsidR="00AE3D32">
        <w:rPr>
          <w:rFonts w:hint="default"/>
          <w:color w:val="365F91" w:themeShade="BF"/>
        </w:rPr>
        <w:t>Mandá</w:t>
      </w:r>
      <w:r w:rsidRPr="00AE3D32" w:rsidR="00AE3D32">
        <w:rPr>
          <w:rFonts w:hint="default"/>
          <w:color w:val="365F91" w:themeShade="BF"/>
        </w:rPr>
        <w:t>tna zmluva</w:t>
      </w:r>
    </w:p>
    <w:p w:rsidR="00AE3D32" w:rsidP="00EF537B">
      <w:pPr>
        <w:bidi w:val="0"/>
        <w:rPr>
          <w:rFonts w:ascii="Times New Roman" w:hAnsi="Times New Roman"/>
        </w:rPr>
      </w:pPr>
    </w:p>
    <w:p w:rsidR="00251D02" w:rsidP="00EF537B">
      <w:pPr>
        <w:bidi w:val="0"/>
        <w:rPr>
          <w:rFonts w:ascii="Times New Roman" w:hAnsi="Times New Roman"/>
        </w:rPr>
      </w:pPr>
      <w:r w:rsidR="00AE3D32">
        <w:rPr>
          <w:rFonts w:ascii="Times New Roman" w:hAnsi="Times New Roman"/>
        </w:rPr>
        <w:t xml:space="preserve">Mandátna zmluva bude uzatvorená </w:t>
      </w:r>
      <w:r w:rsidRPr="00774A6E">
        <w:rPr>
          <w:rFonts w:ascii="Times New Roman" w:hAnsi="Times New Roman"/>
        </w:rPr>
        <w:t>medzi MZ SR a jednotlivými nemocnicami</w:t>
      </w:r>
      <w:r w:rsidR="00AE3D32">
        <w:rPr>
          <w:rFonts w:ascii="Times New Roman" w:hAnsi="Times New Roman"/>
        </w:rPr>
        <w:t>. Jej obsahom b</w:t>
      </w:r>
      <w:r w:rsidRPr="00774A6E">
        <w:rPr>
          <w:rFonts w:ascii="Times New Roman" w:hAnsi="Times New Roman"/>
        </w:rPr>
        <w:t xml:space="preserve">ude mandát a splnomocnenie od nemocníc pre MZ SR na realizáciu oddlženia a všetky právne s skutkové úkony s tým spojené. Zároveň v nej budú upravené povinnosti nemocníc, ktoré musia počas určeného časového obdobia po oddlžení dodržiavať. Tiež bude obsahovať sankcie. </w:t>
      </w:r>
    </w:p>
    <w:p w:rsidR="00DA3BDD" w:rsidRPr="00774A6E" w:rsidP="00DA3BDD">
      <w:pPr>
        <w:bidi w:val="0"/>
        <w:rPr>
          <w:rFonts w:ascii="Times New Roman" w:hAnsi="Times New Roman"/>
        </w:rPr>
      </w:pPr>
      <w:r w:rsidRPr="00774A6E">
        <w:rPr>
          <w:rFonts w:ascii="Times New Roman" w:hAnsi="Times New Roman"/>
        </w:rPr>
        <w:t>Uza</w:t>
      </w:r>
      <w:r>
        <w:rPr>
          <w:rFonts w:ascii="Times New Roman" w:hAnsi="Times New Roman"/>
        </w:rPr>
        <w:t>tvo</w:t>
      </w:r>
      <w:r w:rsidRPr="00774A6E">
        <w:rPr>
          <w:rFonts w:ascii="Times New Roman" w:hAnsi="Times New Roman"/>
        </w:rPr>
        <w:t>re</w:t>
      </w:r>
      <w:r>
        <w:rPr>
          <w:rFonts w:ascii="Times New Roman" w:hAnsi="Times New Roman"/>
        </w:rPr>
        <w:t>n</w:t>
      </w:r>
      <w:r w:rsidRPr="00774A6E">
        <w:rPr>
          <w:rFonts w:ascii="Times New Roman" w:hAnsi="Times New Roman"/>
        </w:rPr>
        <w:t xml:space="preserve">ie </w:t>
      </w:r>
      <w:r w:rsidRPr="00774A6E">
        <w:rPr>
          <w:rFonts w:ascii="Times New Roman" w:hAnsi="Times New Roman"/>
          <w:b/>
        </w:rPr>
        <w:t>Mandátnej zmluvy</w:t>
      </w:r>
      <w:r w:rsidRPr="00774A6E">
        <w:rPr>
          <w:rFonts w:ascii="Times New Roman" w:hAnsi="Times New Roman"/>
        </w:rPr>
        <w:t xml:space="preserve"> medzi príslušnou nemocnicou ako mandantom a Ministerstvom zdravotníctva ako mandatárom, na základe ktorej sa MZ SR zaviaže vykonať všetky právne a skutkové úkony smerujúce k oddlženiu príslušnej nemocnice. </w:t>
      </w:r>
    </w:p>
    <w:p w:rsidR="00DA3BDD" w:rsidRPr="00774A6E" w:rsidP="00DA3BDD">
      <w:pPr>
        <w:bidi w:val="0"/>
        <w:rPr>
          <w:rFonts w:ascii="Times New Roman" w:hAnsi="Times New Roman"/>
        </w:rPr>
      </w:pPr>
    </w:p>
    <w:p w:rsidR="00DA3BDD" w:rsidRPr="00774A6E" w:rsidP="00DA3BDD">
      <w:pPr>
        <w:bidi w:val="0"/>
        <w:rPr>
          <w:rFonts w:ascii="Times New Roman" w:hAnsi="Times New Roman"/>
        </w:rPr>
      </w:pPr>
      <w:r w:rsidRPr="00774A6E">
        <w:rPr>
          <w:rFonts w:ascii="Times New Roman" w:hAnsi="Times New Roman"/>
        </w:rPr>
        <w:t xml:space="preserve">Súčasťou mandátnej zmluvy bude splnomocnenie od príslušnej nemocnice pre MZ SR, aby mohlo konať v jej mene a na jej účet. </w:t>
      </w:r>
    </w:p>
    <w:p w:rsidR="00DA3BDD" w:rsidRPr="00774A6E" w:rsidP="00DA3BDD">
      <w:pPr>
        <w:bidi w:val="0"/>
        <w:rPr>
          <w:rFonts w:ascii="Times New Roman" w:hAnsi="Times New Roman"/>
        </w:rPr>
      </w:pPr>
    </w:p>
    <w:p w:rsidR="00DA3BDD" w:rsidRPr="00774A6E" w:rsidP="00DA3BDD">
      <w:pPr>
        <w:bidi w:val="0"/>
        <w:rPr>
          <w:rFonts w:ascii="Times New Roman" w:hAnsi="Times New Roman"/>
        </w:rPr>
      </w:pPr>
      <w:r w:rsidRPr="00774A6E">
        <w:rPr>
          <w:rFonts w:ascii="Times New Roman" w:hAnsi="Times New Roman"/>
        </w:rPr>
        <w:t>Zmluva bude zverejnená v súlade s ustanovením § 5a zákona č. 211/2000 o slobodnom prístupe k informáciám a nadobudne účinnosť deň nasledujúci po dni jej zverejnenia. Odplata mandatára (MZ SR) za výkon jeho činností bude stanovená dohodou strán.</w:t>
      </w:r>
    </w:p>
    <w:p w:rsidR="00DA3BDD" w:rsidRPr="00774A6E" w:rsidP="00EF537B">
      <w:pPr>
        <w:bidi w:val="0"/>
        <w:rPr>
          <w:rFonts w:ascii="Times New Roman" w:hAnsi="Times New Roman"/>
        </w:rPr>
      </w:pPr>
    </w:p>
    <w:p w:rsidR="00251D02" w:rsidRPr="00774A6E" w:rsidP="00EF537B">
      <w:pPr>
        <w:bidi w:val="0"/>
        <w:rPr>
          <w:rFonts w:ascii="Times New Roman" w:hAnsi="Times New Roman"/>
        </w:rPr>
      </w:pPr>
    </w:p>
    <w:p w:rsidR="00251D02" w:rsidRPr="00AE3D32" w:rsidP="00AE3D32">
      <w:pPr>
        <w:pStyle w:val="Heading3"/>
        <w:bidi w:val="0"/>
        <w:rPr>
          <w:color w:val="365F91" w:themeShade="BF"/>
        </w:rPr>
      </w:pPr>
      <w:r w:rsidRPr="00AE3D32" w:rsidR="00AE3D32">
        <w:rPr>
          <w:rFonts w:hint="default"/>
          <w:color w:val="365F91" w:themeShade="BF"/>
        </w:rPr>
        <w:t>Vš</w:t>
      </w:r>
      <w:r w:rsidRPr="00AE3D32" w:rsidR="00AE3D32">
        <w:rPr>
          <w:rFonts w:hint="default"/>
          <w:color w:val="365F91" w:themeShade="BF"/>
        </w:rPr>
        <w:t>eobecné</w:t>
      </w:r>
      <w:r w:rsidRPr="00AE3D32" w:rsidR="00AE3D32">
        <w:rPr>
          <w:rFonts w:hint="default"/>
          <w:color w:val="365F91" w:themeShade="BF"/>
        </w:rPr>
        <w:t xml:space="preserve"> </w:t>
      </w:r>
      <w:r w:rsidRPr="00AE3D32">
        <w:rPr>
          <w:rFonts w:hint="default"/>
          <w:color w:val="365F91" w:themeShade="BF"/>
        </w:rPr>
        <w:t>podmienky použ</w:t>
      </w:r>
      <w:r w:rsidRPr="00AE3D32">
        <w:rPr>
          <w:rFonts w:hint="default"/>
          <w:color w:val="365F91" w:themeShade="BF"/>
        </w:rPr>
        <w:t xml:space="preserve">itia </w:t>
      </w:r>
      <w:r w:rsidRPr="00AE3D32" w:rsidR="00AE3D32">
        <w:rPr>
          <w:color w:val="365F91" w:themeShade="BF"/>
        </w:rPr>
        <w:t>EAS</w:t>
      </w:r>
      <w:r w:rsidRPr="00AE3D32">
        <w:rPr>
          <w:color w:val="365F91" w:themeShade="BF"/>
        </w:rPr>
        <w:t xml:space="preserve"> </w:t>
      </w:r>
    </w:p>
    <w:p w:rsidR="00251D02" w:rsidRPr="00774A6E" w:rsidP="00EF537B">
      <w:pPr>
        <w:pStyle w:val="ListParagraph"/>
        <w:bidi w:val="0"/>
        <w:rPr>
          <w:rFonts w:ascii="Times New Roman" w:hAnsi="Times New Roman"/>
        </w:rPr>
      </w:pPr>
    </w:p>
    <w:p w:rsidR="00DA3BDD" w:rsidRPr="00774A6E" w:rsidP="00DA3BDD">
      <w:pPr>
        <w:bidi w:val="0"/>
        <w:rPr>
          <w:rFonts w:ascii="Times New Roman" w:hAnsi="Times New Roman"/>
        </w:rPr>
      </w:pPr>
      <w:r w:rsidRPr="00774A6E">
        <w:rPr>
          <w:rFonts w:ascii="Times New Roman" w:hAnsi="Times New Roman"/>
        </w:rPr>
        <w:t xml:space="preserve">Vypracovanie a zverejnenie Všeobecných podmienok používania elektronického aukčného systému (ďalej len „VPP“). </w:t>
      </w:r>
    </w:p>
    <w:p w:rsidR="00DA3BDD" w:rsidRPr="00774A6E" w:rsidP="00DA3BDD">
      <w:pPr>
        <w:bidi w:val="0"/>
        <w:rPr>
          <w:rFonts w:ascii="Times New Roman" w:hAnsi="Times New Roman"/>
        </w:rPr>
      </w:pPr>
      <w:r w:rsidRPr="00774A6E">
        <w:rPr>
          <w:rFonts w:ascii="Times New Roman" w:hAnsi="Times New Roman"/>
        </w:rPr>
        <w:t>VPP budú obsahovať práva a povinnosti účastníkov elektronického aukčného systému (</w:t>
      </w:r>
      <w:r w:rsidRPr="00774A6E">
        <w:rPr>
          <w:rFonts w:ascii="Times New Roman" w:hAnsi="Times New Roman"/>
          <w:b/>
        </w:rPr>
        <w:t>„EAS“</w:t>
      </w:r>
      <w:r w:rsidRPr="00774A6E">
        <w:rPr>
          <w:rFonts w:ascii="Times New Roman" w:hAnsi="Times New Roman"/>
        </w:rPr>
        <w:t>), podmienky účasti a podobne.</w:t>
      </w:r>
    </w:p>
    <w:p w:rsidR="00DA3BDD" w:rsidRPr="00774A6E" w:rsidP="00DA3BDD">
      <w:pPr>
        <w:bidi w:val="0"/>
        <w:rPr>
          <w:rFonts w:ascii="Times New Roman" w:hAnsi="Times New Roman"/>
        </w:rPr>
      </w:pPr>
      <w:r w:rsidRPr="00774A6E">
        <w:rPr>
          <w:rFonts w:ascii="Times New Roman" w:hAnsi="Times New Roman"/>
        </w:rPr>
        <w:t xml:space="preserve">VPP budú zverejnené na webovom sídle EAS, prípadne na webovom sídle MZ SR (závisí od zvoleného technického riešenia). </w:t>
      </w:r>
    </w:p>
    <w:p w:rsidR="00DA3BDD" w:rsidRPr="00774A6E" w:rsidP="00DA3BDD">
      <w:pPr>
        <w:bidi w:val="0"/>
        <w:rPr>
          <w:rFonts w:ascii="Times New Roman" w:hAnsi="Times New Roman"/>
        </w:rPr>
      </w:pPr>
      <w:r>
        <w:rPr>
          <w:rFonts w:ascii="Times New Roman" w:hAnsi="Times New Roman"/>
        </w:rPr>
        <w:t>T</w:t>
      </w:r>
      <w:r w:rsidRPr="00774A6E">
        <w:rPr>
          <w:rFonts w:ascii="Times New Roman" w:hAnsi="Times New Roman"/>
        </w:rPr>
        <w:t xml:space="preserve">echnické riešenie EAS </w:t>
      </w:r>
      <w:r>
        <w:rPr>
          <w:rFonts w:ascii="Times New Roman" w:hAnsi="Times New Roman"/>
        </w:rPr>
        <w:t xml:space="preserve">umožní </w:t>
      </w:r>
      <w:r w:rsidRPr="00774A6E">
        <w:rPr>
          <w:rFonts w:ascii="Times New Roman" w:hAnsi="Times New Roman"/>
        </w:rPr>
        <w:t xml:space="preserve">veriteľom nemocníc, ktorí prejavia záujem o účasť v EAS </w:t>
      </w:r>
      <w:r>
        <w:rPr>
          <w:rFonts w:ascii="Times New Roman" w:hAnsi="Times New Roman"/>
        </w:rPr>
        <w:t xml:space="preserve"> prístup do EAS </w:t>
      </w:r>
      <w:r w:rsidR="00E02D0C">
        <w:rPr>
          <w:rFonts w:ascii="Times New Roman" w:hAnsi="Times New Roman"/>
        </w:rPr>
        <w:t xml:space="preserve">prostredníctvom </w:t>
      </w:r>
      <w:r w:rsidRPr="00774A6E">
        <w:rPr>
          <w:rFonts w:ascii="Times New Roman" w:hAnsi="Times New Roman"/>
        </w:rPr>
        <w:t>prístupov</w:t>
      </w:r>
      <w:r w:rsidR="00E02D0C">
        <w:rPr>
          <w:rFonts w:ascii="Times New Roman" w:hAnsi="Times New Roman"/>
        </w:rPr>
        <w:t>ých</w:t>
      </w:r>
      <w:r w:rsidRPr="00774A6E">
        <w:rPr>
          <w:rFonts w:ascii="Times New Roman" w:hAnsi="Times New Roman"/>
        </w:rPr>
        <w:t xml:space="preserve"> údaje do EAS</w:t>
      </w:r>
      <w:r w:rsidR="00E02D0C">
        <w:rPr>
          <w:rFonts w:ascii="Times New Roman" w:hAnsi="Times New Roman"/>
        </w:rPr>
        <w:t>, ktoré im budú poskytnuté. V</w:t>
      </w:r>
      <w:r w:rsidRPr="00774A6E">
        <w:rPr>
          <w:rFonts w:ascii="Times New Roman" w:hAnsi="Times New Roman"/>
        </w:rPr>
        <w:t>ýzv</w:t>
      </w:r>
      <w:r w:rsidR="00E02D0C">
        <w:rPr>
          <w:rFonts w:ascii="Times New Roman" w:hAnsi="Times New Roman"/>
        </w:rPr>
        <w:t>u</w:t>
      </w:r>
      <w:r w:rsidRPr="00774A6E">
        <w:rPr>
          <w:rFonts w:ascii="Times New Roman" w:hAnsi="Times New Roman"/>
        </w:rPr>
        <w:t xml:space="preserve"> na účasť v</w:t>
      </w:r>
      <w:r w:rsidR="00E02D0C">
        <w:rPr>
          <w:rFonts w:ascii="Times New Roman" w:hAnsi="Times New Roman"/>
        </w:rPr>
        <w:t> </w:t>
      </w:r>
      <w:r w:rsidRPr="00774A6E">
        <w:rPr>
          <w:rFonts w:ascii="Times New Roman" w:hAnsi="Times New Roman"/>
        </w:rPr>
        <w:t>EAS</w:t>
      </w:r>
      <w:r w:rsidR="00E02D0C">
        <w:rPr>
          <w:rFonts w:ascii="Times New Roman" w:hAnsi="Times New Roman"/>
        </w:rPr>
        <w:t xml:space="preserve"> dostane každý účastník EAS prostredníctvom ním určeného emailového kontaktu</w:t>
      </w:r>
      <w:r w:rsidRPr="00774A6E">
        <w:rPr>
          <w:rFonts w:ascii="Times New Roman" w:hAnsi="Times New Roman"/>
        </w:rPr>
        <w:t>.</w:t>
      </w:r>
    </w:p>
    <w:p w:rsidR="00DA3BDD" w:rsidRPr="00774A6E" w:rsidP="00DA3BDD">
      <w:pPr>
        <w:bidi w:val="0"/>
        <w:rPr>
          <w:rFonts w:ascii="Times New Roman" w:hAnsi="Times New Roman"/>
        </w:rPr>
      </w:pPr>
    </w:p>
    <w:p w:rsidR="00DA3BDD" w:rsidRPr="00774A6E" w:rsidP="00DA3BDD">
      <w:pPr>
        <w:bidi w:val="0"/>
        <w:rPr>
          <w:rFonts w:ascii="Times New Roman" w:hAnsi="Times New Roman"/>
        </w:rPr>
      </w:pPr>
      <w:r w:rsidR="00CC2F61">
        <w:rPr>
          <w:rFonts w:ascii="Times New Roman" w:hAnsi="Times New Roman"/>
        </w:rPr>
        <w:t xml:space="preserve">Aukcia, môže trvať dni až </w:t>
      </w:r>
      <w:r w:rsidRPr="00774A6E">
        <w:rPr>
          <w:rFonts w:ascii="Times New Roman" w:hAnsi="Times New Roman"/>
        </w:rPr>
        <w:t>týždne, a bude mať vopred stanovené kritériá na jej ukončenie (aktivity v aukcii, alternatívne presný dátum a čas jej skončenia).</w:t>
      </w:r>
    </w:p>
    <w:p w:rsidR="00DA3BDD" w:rsidRPr="00774A6E" w:rsidP="00AE3D32">
      <w:pPr>
        <w:bidi w:val="0"/>
        <w:ind w:firstLine="709"/>
        <w:rPr>
          <w:rFonts w:ascii="Times New Roman" w:hAnsi="Times New Roman"/>
        </w:rPr>
      </w:pPr>
    </w:p>
    <w:p w:rsidR="00251D02" w:rsidRPr="00774A6E" w:rsidP="00EF537B">
      <w:pPr>
        <w:pStyle w:val="ListParagraph"/>
        <w:bidi w:val="0"/>
        <w:rPr>
          <w:rFonts w:ascii="Times New Roman" w:hAnsi="Times New Roman"/>
        </w:rPr>
      </w:pPr>
    </w:p>
    <w:p w:rsidR="00251D02" w:rsidRPr="00AE3D32" w:rsidP="00AE3D32">
      <w:pPr>
        <w:pStyle w:val="Heading3"/>
        <w:bidi w:val="0"/>
        <w:rPr>
          <w:rFonts w:hint="default"/>
          <w:color w:val="365F91" w:themeShade="BF"/>
        </w:rPr>
      </w:pPr>
      <w:r w:rsidR="00AE3D32">
        <w:rPr>
          <w:color w:val="365F91" w:themeShade="BF"/>
        </w:rPr>
        <w:t>D</w:t>
      </w:r>
      <w:r w:rsidRPr="00AE3D32">
        <w:rPr>
          <w:rFonts w:hint="default"/>
          <w:color w:val="365F91" w:themeShade="BF"/>
        </w:rPr>
        <w:t>ohoda o nová</w:t>
      </w:r>
      <w:r w:rsidRPr="00AE3D32">
        <w:rPr>
          <w:rFonts w:hint="default"/>
          <w:color w:val="365F91" w:themeShade="BF"/>
        </w:rPr>
        <w:t>cii zá</w:t>
      </w:r>
      <w:r w:rsidRPr="00AE3D32">
        <w:rPr>
          <w:rFonts w:hint="default"/>
          <w:color w:val="365F91" w:themeShade="BF"/>
        </w:rPr>
        <w:t>vä</w:t>
      </w:r>
      <w:r w:rsidRPr="00AE3D32">
        <w:rPr>
          <w:rFonts w:hint="default"/>
          <w:color w:val="365F91" w:themeShade="BF"/>
        </w:rPr>
        <w:t>zku</w:t>
      </w:r>
      <w:r w:rsidR="00AE3D32">
        <w:rPr>
          <w:color w:val="365F91" w:themeShade="BF"/>
        </w:rPr>
        <w:t xml:space="preserve"> </w:t>
      </w:r>
      <w:r w:rsidRPr="00AE3D32">
        <w:rPr>
          <w:rFonts w:hint="default"/>
          <w:color w:val="365F91" w:themeShade="BF"/>
        </w:rPr>
        <w:t>medzi nemocnicami zastú</w:t>
      </w:r>
      <w:r w:rsidRPr="00AE3D32">
        <w:rPr>
          <w:rFonts w:hint="default"/>
          <w:color w:val="365F91" w:themeShade="BF"/>
        </w:rPr>
        <w:t>pený</w:t>
      </w:r>
      <w:r w:rsidRPr="00AE3D32">
        <w:rPr>
          <w:rFonts w:hint="default"/>
          <w:color w:val="365F91" w:themeShade="BF"/>
        </w:rPr>
        <w:t>mi MZ SR a </w:t>
      </w:r>
      <w:r w:rsidRPr="00AE3D32">
        <w:rPr>
          <w:rFonts w:hint="default"/>
          <w:color w:val="365F91" w:themeShade="BF"/>
        </w:rPr>
        <w:t>jednotlivý</w:t>
      </w:r>
      <w:r w:rsidRPr="00AE3D32">
        <w:rPr>
          <w:rFonts w:hint="default"/>
          <w:color w:val="365F91" w:themeShade="BF"/>
        </w:rPr>
        <w:t>mi veriteľ</w:t>
      </w:r>
      <w:r w:rsidRPr="00AE3D32">
        <w:rPr>
          <w:rFonts w:hint="default"/>
          <w:color w:val="365F91" w:themeShade="BF"/>
        </w:rPr>
        <w:t>mi nemocní</w:t>
      </w:r>
      <w:r w:rsidRPr="00AE3D32">
        <w:rPr>
          <w:rFonts w:hint="default"/>
          <w:color w:val="365F91" w:themeShade="BF"/>
        </w:rPr>
        <w:t>c</w:t>
      </w:r>
    </w:p>
    <w:p w:rsidR="00251D02" w:rsidRPr="00774A6E" w:rsidP="00EF537B">
      <w:pPr>
        <w:pStyle w:val="ListParagraph"/>
        <w:bidi w:val="0"/>
        <w:rPr>
          <w:rFonts w:ascii="Times New Roman" w:hAnsi="Times New Roman"/>
        </w:rPr>
      </w:pPr>
    </w:p>
    <w:p w:rsidR="00251D02" w:rsidP="00AE3D32">
      <w:pPr>
        <w:pStyle w:val="ListParagraph"/>
        <w:bidi w:val="0"/>
        <w:ind w:left="0" w:firstLine="720"/>
        <w:rPr>
          <w:rFonts w:ascii="Times New Roman" w:hAnsi="Times New Roman"/>
        </w:rPr>
      </w:pPr>
      <w:r w:rsidRPr="00774A6E">
        <w:rPr>
          <w:rFonts w:ascii="Times New Roman" w:hAnsi="Times New Roman"/>
        </w:rPr>
        <w:t>Budú upravovať zmenu pôvodných záväzkov veriteľov voči nemocniciam, ktorá bude výsledkom účasti v</w:t>
      </w:r>
      <w:r w:rsidR="00AE3D32">
        <w:rPr>
          <w:rFonts w:ascii="Times New Roman" w:hAnsi="Times New Roman"/>
        </w:rPr>
        <w:t> </w:t>
      </w:r>
      <w:r w:rsidRPr="00774A6E">
        <w:rPr>
          <w:rFonts w:ascii="Times New Roman" w:hAnsi="Times New Roman"/>
        </w:rPr>
        <w:t>EAS</w:t>
      </w:r>
      <w:r w:rsidR="00AE3D32">
        <w:rPr>
          <w:rFonts w:ascii="Times New Roman" w:hAnsi="Times New Roman"/>
        </w:rPr>
        <w:t xml:space="preserve"> alebo na základe fixného diskontu</w:t>
      </w:r>
      <w:r w:rsidRPr="00774A6E">
        <w:rPr>
          <w:rFonts w:ascii="Times New Roman" w:hAnsi="Times New Roman"/>
        </w:rPr>
        <w:t xml:space="preserve">. </w:t>
      </w:r>
      <w:r w:rsidR="00AE3D32">
        <w:rPr>
          <w:rFonts w:ascii="Times New Roman" w:hAnsi="Times New Roman"/>
        </w:rPr>
        <w:t xml:space="preserve">Výsledkom tejto dohody je, že </w:t>
      </w:r>
      <w:r w:rsidRPr="00774A6E">
        <w:rPr>
          <w:rFonts w:ascii="Times New Roman" w:hAnsi="Times New Roman"/>
        </w:rPr>
        <w:t>pôvodná istina s príslušenstvom sa zmení na určitú percentuálnu hodnotu istiny (bez príslušenstva)</w:t>
      </w:r>
      <w:r w:rsidR="00AE3D32">
        <w:rPr>
          <w:rFonts w:ascii="Times New Roman" w:hAnsi="Times New Roman"/>
        </w:rPr>
        <w:t xml:space="preserve"> s novou splatnosťou</w:t>
      </w:r>
      <w:r w:rsidRPr="00774A6E">
        <w:rPr>
          <w:rFonts w:ascii="Times New Roman" w:hAnsi="Times New Roman"/>
        </w:rPr>
        <w:t>.</w:t>
      </w:r>
    </w:p>
    <w:p w:rsidR="00B902B6" w:rsidRPr="00774A6E" w:rsidP="00B902B6">
      <w:pPr>
        <w:bidi w:val="0"/>
        <w:rPr>
          <w:rFonts w:ascii="Times New Roman" w:hAnsi="Times New Roman"/>
        </w:rPr>
      </w:pPr>
      <w:r w:rsidRPr="00774A6E">
        <w:rPr>
          <w:rFonts w:ascii="Times New Roman" w:hAnsi="Times New Roman"/>
        </w:rPr>
        <w:t>Uza</w:t>
      </w:r>
      <w:r>
        <w:rPr>
          <w:rFonts w:ascii="Times New Roman" w:hAnsi="Times New Roman"/>
        </w:rPr>
        <w:t>vretie Dohody</w:t>
      </w:r>
      <w:r w:rsidRPr="00774A6E">
        <w:rPr>
          <w:rFonts w:ascii="Times New Roman" w:hAnsi="Times New Roman"/>
        </w:rPr>
        <w:t xml:space="preserve"> </w:t>
      </w:r>
      <w:r>
        <w:rPr>
          <w:rFonts w:ascii="Times New Roman" w:hAnsi="Times New Roman"/>
        </w:rPr>
        <w:t xml:space="preserve">o novácii záväzku </w:t>
      </w:r>
      <w:r w:rsidRPr="00774A6E">
        <w:rPr>
          <w:rFonts w:ascii="Times New Roman" w:hAnsi="Times New Roman"/>
        </w:rPr>
        <w:t xml:space="preserve">uzavrú </w:t>
      </w:r>
    </w:p>
    <w:p w:rsidR="00B902B6" w:rsidRPr="00774A6E" w:rsidP="00B902B6">
      <w:pPr>
        <w:pStyle w:val="ListParagraph"/>
        <w:numPr>
          <w:numId w:val="2"/>
        </w:numPr>
        <w:bidi w:val="0"/>
        <w:ind w:left="1134" w:hanging="426"/>
        <w:rPr>
          <w:rFonts w:ascii="Times New Roman" w:hAnsi="Times New Roman"/>
        </w:rPr>
      </w:pPr>
      <w:r w:rsidRPr="00774A6E">
        <w:rPr>
          <w:rFonts w:ascii="Times New Roman" w:hAnsi="Times New Roman"/>
        </w:rPr>
        <w:t>veriteľ príslušnej nemocnice,</w:t>
      </w:r>
    </w:p>
    <w:p w:rsidR="00B902B6" w:rsidRPr="00774A6E" w:rsidP="00B902B6">
      <w:pPr>
        <w:pStyle w:val="ListParagraph"/>
        <w:numPr>
          <w:numId w:val="2"/>
        </w:numPr>
        <w:bidi w:val="0"/>
        <w:ind w:left="1134" w:hanging="426"/>
        <w:rPr>
          <w:rFonts w:ascii="Times New Roman" w:hAnsi="Times New Roman"/>
        </w:rPr>
      </w:pPr>
      <w:r>
        <w:rPr>
          <w:rFonts w:ascii="Times New Roman" w:hAnsi="Times New Roman"/>
        </w:rPr>
        <w:t>príslušná nemocnica v zastúpení MZ SR (na základe plnomocenstva</w:t>
      </w:r>
      <w:r w:rsidRPr="00774A6E">
        <w:rPr>
          <w:rFonts w:ascii="Times New Roman" w:hAnsi="Times New Roman"/>
        </w:rPr>
        <w:t>)</w:t>
      </w:r>
    </w:p>
    <w:p w:rsidR="00B902B6" w:rsidP="00B902B6">
      <w:pPr>
        <w:bidi w:val="0"/>
        <w:rPr>
          <w:rFonts w:ascii="Times New Roman" w:hAnsi="Times New Roman"/>
        </w:rPr>
      </w:pPr>
    </w:p>
    <w:p w:rsidR="00AE3D32" w:rsidP="00EF537B">
      <w:pPr>
        <w:pStyle w:val="ListParagraph"/>
        <w:bidi w:val="0"/>
        <w:rPr>
          <w:rFonts w:ascii="Times New Roman" w:hAnsi="Times New Roman"/>
        </w:rPr>
      </w:pPr>
    </w:p>
    <w:p w:rsidR="00AE3D32" w:rsidRPr="00AE3D32" w:rsidP="00AE3D32">
      <w:pPr>
        <w:pStyle w:val="Heading3"/>
        <w:bidi w:val="0"/>
        <w:rPr>
          <w:color w:val="365F91" w:themeShade="BF"/>
        </w:rPr>
      </w:pPr>
      <w:r>
        <w:rPr>
          <w:color w:val="365F91" w:themeShade="BF"/>
        </w:rPr>
        <w:t>Dohoda o </w:t>
      </w:r>
      <w:r>
        <w:rPr>
          <w:rFonts w:hint="default"/>
          <w:color w:val="365F91" w:themeShade="BF"/>
        </w:rPr>
        <w:t>pristú</w:t>
      </w:r>
      <w:r>
        <w:rPr>
          <w:rFonts w:hint="default"/>
          <w:color w:val="365F91" w:themeShade="BF"/>
        </w:rPr>
        <w:t>pení</w:t>
      </w:r>
      <w:r>
        <w:rPr>
          <w:rFonts w:hint="default"/>
          <w:color w:val="365F91" w:themeShade="BF"/>
        </w:rPr>
        <w:t xml:space="preserve"> k </w:t>
      </w:r>
      <w:r>
        <w:rPr>
          <w:rFonts w:hint="default"/>
          <w:color w:val="365F91" w:themeShade="BF"/>
        </w:rPr>
        <w:t>zá</w:t>
      </w:r>
      <w:r>
        <w:rPr>
          <w:rFonts w:hint="default"/>
          <w:color w:val="365F91" w:themeShade="BF"/>
        </w:rPr>
        <w:t>vä</w:t>
      </w:r>
      <w:r>
        <w:rPr>
          <w:rFonts w:hint="default"/>
          <w:color w:val="365F91" w:themeShade="BF"/>
        </w:rPr>
        <w:t xml:space="preserve">zku </w:t>
      </w:r>
      <w:r w:rsidRPr="00AE3D32">
        <w:rPr>
          <w:color w:val="365F91" w:themeShade="BF"/>
        </w:rPr>
        <w:t> </w:t>
      </w:r>
    </w:p>
    <w:p w:rsidR="00251D02" w:rsidRPr="00774A6E" w:rsidP="00EF537B">
      <w:pPr>
        <w:pStyle w:val="ListParagraph"/>
        <w:bidi w:val="0"/>
        <w:rPr>
          <w:rFonts w:ascii="Times New Roman" w:hAnsi="Times New Roman"/>
        </w:rPr>
      </w:pPr>
    </w:p>
    <w:p w:rsidR="00AE3D32" w:rsidP="00AE3D32">
      <w:pPr>
        <w:pStyle w:val="ListParagraph"/>
        <w:bidi w:val="0"/>
        <w:ind w:left="0" w:firstLine="720"/>
        <w:rPr>
          <w:rFonts w:ascii="Times New Roman" w:hAnsi="Times New Roman"/>
        </w:rPr>
      </w:pPr>
      <w:r>
        <w:rPr>
          <w:rFonts w:ascii="Times New Roman" w:hAnsi="Times New Roman"/>
        </w:rPr>
        <w:t>MZ SR pristúpi k novým záväzkom dlžníka – nemocnice, ktoré vzišli z dohody o novácii záväzku  medzi veriteľom a nemocnicou. MZ SR sa tak stáva solidárnym dlžníkom veriteľov, na základe čoho uhradí dlžnú sumu veriteľom a vznikne MZ SR regresný nárok vo vzťahu k nemocniciam.</w:t>
      </w:r>
    </w:p>
    <w:p w:rsidR="00B902B6" w:rsidRPr="00774A6E" w:rsidP="00B902B6">
      <w:pPr>
        <w:bidi w:val="0"/>
        <w:ind w:firstLine="0"/>
        <w:rPr>
          <w:rFonts w:ascii="Times New Roman" w:hAnsi="Times New Roman"/>
        </w:rPr>
      </w:pPr>
    </w:p>
    <w:p w:rsidR="00B902B6" w:rsidRPr="00774A6E" w:rsidP="0083533D">
      <w:pPr>
        <w:bidi w:val="0"/>
        <w:rPr>
          <w:rFonts w:ascii="Times New Roman" w:hAnsi="Times New Roman"/>
        </w:rPr>
      </w:pPr>
      <w:r w:rsidRPr="00774A6E">
        <w:rPr>
          <w:rFonts w:ascii="Times New Roman" w:hAnsi="Times New Roman"/>
        </w:rPr>
        <w:t>Dohoda bude zverejnená v súlade s ustanovením § 5a zákona č. 211/2000 o slobodnom prístupe k informáciám a nadobudne účinnosť deň nasledujúci po dni jej zverejnenia.</w:t>
      </w:r>
    </w:p>
    <w:p w:rsidR="00B902B6" w:rsidP="00AE3D32">
      <w:pPr>
        <w:pStyle w:val="ListParagraph"/>
        <w:bidi w:val="0"/>
        <w:ind w:left="0" w:firstLine="720"/>
        <w:rPr>
          <w:rFonts w:ascii="Times New Roman" w:hAnsi="Times New Roman"/>
        </w:rPr>
      </w:pPr>
    </w:p>
    <w:p w:rsidR="00AE3D32" w:rsidP="00AE3D32">
      <w:pPr>
        <w:pStyle w:val="ListParagraph"/>
        <w:bidi w:val="0"/>
        <w:ind w:left="0" w:firstLine="720"/>
        <w:rPr>
          <w:rFonts w:ascii="Times New Roman" w:hAnsi="Times New Roman"/>
        </w:rPr>
      </w:pPr>
    </w:p>
    <w:p w:rsidR="00251D02" w:rsidRPr="009D7E0D" w:rsidP="009D7E0D">
      <w:pPr>
        <w:pStyle w:val="Heading3"/>
        <w:bidi w:val="0"/>
        <w:rPr>
          <w:color w:val="365F91" w:themeShade="BF"/>
        </w:rPr>
      </w:pPr>
      <w:r w:rsidR="009D7E0D">
        <w:rPr>
          <w:color w:val="365F91" w:themeShade="BF"/>
        </w:rPr>
        <w:t>D</w:t>
      </w:r>
      <w:r w:rsidRPr="009D7E0D">
        <w:rPr>
          <w:color w:val="365F91" w:themeShade="BF"/>
        </w:rPr>
        <w:t>ohoda o o</w:t>
      </w:r>
      <w:r w:rsidRPr="009D7E0D">
        <w:rPr>
          <w:rFonts w:hint="default"/>
          <w:color w:val="365F91" w:themeShade="BF"/>
        </w:rPr>
        <w:t>dpustení</w:t>
      </w:r>
      <w:r w:rsidRPr="009D7E0D">
        <w:rPr>
          <w:rFonts w:hint="default"/>
          <w:color w:val="365F91" w:themeShade="BF"/>
        </w:rPr>
        <w:t xml:space="preserve"> dlhu </w:t>
      </w:r>
      <w:r w:rsidR="009D7E0D">
        <w:rPr>
          <w:rFonts w:hint="default"/>
          <w:color w:val="365F91" w:themeShade="BF"/>
        </w:rPr>
        <w:t>alebo druhotná</w:t>
      </w:r>
      <w:r w:rsidR="009D7E0D">
        <w:rPr>
          <w:rFonts w:hint="default"/>
          <w:color w:val="365F91" w:themeShade="BF"/>
        </w:rPr>
        <w:t xml:space="preserve"> dohoda o </w:t>
      </w:r>
      <w:r w:rsidR="009D7E0D">
        <w:rPr>
          <w:rFonts w:hint="default"/>
          <w:color w:val="365F91" w:themeShade="BF"/>
        </w:rPr>
        <w:t>nová</w:t>
      </w:r>
      <w:r w:rsidR="009D7E0D">
        <w:rPr>
          <w:rFonts w:hint="default"/>
          <w:color w:val="365F91" w:themeShade="BF"/>
        </w:rPr>
        <w:t>cii zá</w:t>
      </w:r>
      <w:r w:rsidR="009D7E0D">
        <w:rPr>
          <w:rFonts w:hint="default"/>
          <w:color w:val="365F91" w:themeShade="BF"/>
        </w:rPr>
        <w:t>vä</w:t>
      </w:r>
      <w:r w:rsidR="009D7E0D">
        <w:rPr>
          <w:rFonts w:hint="default"/>
          <w:color w:val="365F91" w:themeShade="BF"/>
        </w:rPr>
        <w:t xml:space="preserve">zku medzi MZ SR a nemocnicou </w:t>
      </w:r>
    </w:p>
    <w:p w:rsidR="009D7E0D" w:rsidP="00EF537B">
      <w:pPr>
        <w:bidi w:val="0"/>
        <w:rPr>
          <w:rFonts w:ascii="Times New Roman" w:hAnsi="Times New Roman"/>
        </w:rPr>
      </w:pPr>
    </w:p>
    <w:p w:rsidR="00251D02" w:rsidP="00EF537B">
      <w:pPr>
        <w:bidi w:val="0"/>
        <w:rPr>
          <w:rFonts w:ascii="Times New Roman" w:hAnsi="Times New Roman"/>
        </w:rPr>
      </w:pPr>
      <w:r w:rsidRPr="00774A6E">
        <w:rPr>
          <w:rFonts w:ascii="Times New Roman" w:hAnsi="Times New Roman"/>
        </w:rPr>
        <w:t xml:space="preserve">MZ SR </w:t>
      </w:r>
      <w:r w:rsidR="005E2001">
        <w:rPr>
          <w:rFonts w:ascii="Times New Roman" w:hAnsi="Times New Roman"/>
        </w:rPr>
        <w:t>uzatvorí následne s </w:t>
      </w:r>
      <w:r w:rsidRPr="00774A6E">
        <w:rPr>
          <w:rFonts w:ascii="Times New Roman" w:hAnsi="Times New Roman"/>
        </w:rPr>
        <w:t>nemocnic</w:t>
      </w:r>
      <w:r w:rsidR="005E2001">
        <w:rPr>
          <w:rFonts w:ascii="Times New Roman" w:hAnsi="Times New Roman"/>
        </w:rPr>
        <w:t>ou zmluvu o odpustení dlhu alebo dohodu o privátnej novácii záväzku, ktorý vznikol z regresného nároku MZ SR v dôsledku pristúpenia MZ SR k záväzku dlžníka (nemocnice) a následnej úhrade tohto záväzku veriteľovi. Predmetom tejto dohody je aj určenie osobitných podmienok odpustenia dlhu</w:t>
      </w:r>
      <w:r w:rsidR="001A06C5">
        <w:rPr>
          <w:rFonts w:ascii="Times New Roman" w:hAnsi="Times New Roman"/>
        </w:rPr>
        <w:t xml:space="preserve"> (plnenie podmienok ozdravného plánu)</w:t>
      </w:r>
      <w:r w:rsidR="005E2001">
        <w:rPr>
          <w:rFonts w:ascii="Times New Roman" w:hAnsi="Times New Roman"/>
        </w:rPr>
        <w:t>.</w:t>
      </w:r>
    </w:p>
    <w:p w:rsidR="00B902B6" w:rsidRPr="00774A6E" w:rsidP="00B902B6">
      <w:pPr>
        <w:bidi w:val="0"/>
        <w:rPr>
          <w:rFonts w:ascii="Times New Roman" w:hAnsi="Times New Roman"/>
        </w:rPr>
      </w:pPr>
    </w:p>
    <w:p w:rsidR="00B902B6" w:rsidRPr="00774A6E" w:rsidP="00B902B6">
      <w:pPr>
        <w:bidi w:val="0"/>
        <w:rPr>
          <w:rFonts w:ascii="Times New Roman" w:hAnsi="Times New Roman"/>
        </w:rPr>
      </w:pPr>
      <w:r w:rsidRPr="00774A6E">
        <w:rPr>
          <w:rFonts w:ascii="Times New Roman" w:hAnsi="Times New Roman"/>
        </w:rPr>
        <w:t>Dohoda o odpustení dlhu bude zverejnená v súlade s ustanovením § 5a zákona č. 211/2000 o slobodnom prístupe k informáciám a nadobudne účinnosť deň nasledujúci po dni jej zverejnenia.</w:t>
      </w:r>
    </w:p>
    <w:p w:rsidR="00B902B6" w:rsidRPr="00774A6E" w:rsidP="00B902B6">
      <w:pPr>
        <w:bidi w:val="0"/>
        <w:rPr>
          <w:rFonts w:ascii="Times New Roman" w:hAnsi="Times New Roman"/>
        </w:rPr>
      </w:pPr>
    </w:p>
    <w:p w:rsidR="00B902B6" w:rsidRPr="00774A6E" w:rsidP="00B902B6">
      <w:pPr>
        <w:bidi w:val="0"/>
        <w:rPr>
          <w:rFonts w:ascii="Times New Roman" w:hAnsi="Times New Roman"/>
        </w:rPr>
      </w:pPr>
      <w:r w:rsidRPr="00774A6E">
        <w:rPr>
          <w:rFonts w:ascii="Times New Roman" w:hAnsi="Times New Roman"/>
        </w:rPr>
        <w:t xml:space="preserve">Odpustením dlh príslušnej nemocnice trvale zanikne. </w:t>
      </w:r>
    </w:p>
    <w:p w:rsidR="00B902B6" w:rsidRPr="00774A6E" w:rsidP="00EF537B">
      <w:pPr>
        <w:bidi w:val="0"/>
        <w:rPr>
          <w:rFonts w:ascii="Times New Roman" w:hAnsi="Times New Roman"/>
        </w:rPr>
      </w:pPr>
    </w:p>
    <w:p w:rsidR="00251D02" w:rsidRPr="00774A6E" w:rsidP="00EF537B">
      <w:pPr>
        <w:bidi w:val="0"/>
        <w:rPr>
          <w:rFonts w:ascii="Times New Roman" w:hAnsi="Times New Roman"/>
        </w:rPr>
      </w:pPr>
    </w:p>
    <w:p w:rsidR="00251D02" w:rsidRPr="001A06C5" w:rsidP="001A06C5">
      <w:pPr>
        <w:pStyle w:val="Heading3"/>
        <w:bidi w:val="0"/>
        <w:rPr>
          <w:rFonts w:hint="default"/>
          <w:color w:val="365F91" w:themeShade="BF"/>
        </w:rPr>
      </w:pPr>
      <w:r w:rsidR="001A06C5">
        <w:rPr>
          <w:color w:val="365F91" w:themeShade="BF"/>
        </w:rPr>
        <w:t>Z</w:t>
      </w:r>
      <w:r w:rsidRPr="001A06C5">
        <w:rPr>
          <w:color w:val="365F91" w:themeShade="BF"/>
        </w:rPr>
        <w:t>mluva o </w:t>
      </w:r>
      <w:r w:rsidRPr="001A06C5">
        <w:rPr>
          <w:rFonts w:hint="default"/>
          <w:color w:val="365F91" w:themeShade="BF"/>
        </w:rPr>
        <w:t>postú</w:t>
      </w:r>
      <w:r w:rsidRPr="001A06C5">
        <w:rPr>
          <w:rFonts w:hint="default"/>
          <w:color w:val="365F91" w:themeShade="BF"/>
        </w:rPr>
        <w:t>pení</w:t>
      </w:r>
      <w:r w:rsidRPr="001A06C5">
        <w:rPr>
          <w:rFonts w:hint="default"/>
          <w:color w:val="365F91" w:themeShade="BF"/>
        </w:rPr>
        <w:t xml:space="preserve"> pohľ</w:t>
      </w:r>
      <w:r w:rsidRPr="001A06C5">
        <w:rPr>
          <w:rFonts w:hint="default"/>
          <w:color w:val="365F91" w:themeShade="BF"/>
        </w:rPr>
        <w:t>adá</w:t>
      </w:r>
      <w:r w:rsidRPr="001A06C5">
        <w:rPr>
          <w:rFonts w:hint="default"/>
          <w:color w:val="365F91" w:themeShade="BF"/>
        </w:rPr>
        <w:t>vok</w:t>
      </w:r>
    </w:p>
    <w:p w:rsidR="001A06C5" w:rsidP="001A06C5">
      <w:pPr>
        <w:pStyle w:val="ListParagraph"/>
        <w:bidi w:val="0"/>
        <w:ind w:firstLine="0"/>
        <w:rPr>
          <w:rFonts w:ascii="Times New Roman" w:hAnsi="Times New Roman"/>
        </w:rPr>
      </w:pPr>
    </w:p>
    <w:p w:rsidR="008E44FF" w:rsidRPr="00774A6E" w:rsidP="008E44FF">
      <w:pPr>
        <w:bidi w:val="0"/>
        <w:rPr>
          <w:rFonts w:ascii="Times New Roman" w:hAnsi="Times New Roman"/>
        </w:rPr>
      </w:pPr>
      <w:r w:rsidRPr="000C1E49" w:rsidR="001A06C5">
        <w:rPr>
          <w:rFonts w:ascii="Times New Roman" w:hAnsi="Times New Roman"/>
        </w:rPr>
        <w:t xml:space="preserve">Táto zmluva bude uzatvorená </w:t>
      </w:r>
      <w:r w:rsidRPr="000C1E49" w:rsidR="00251D02">
        <w:rPr>
          <w:rFonts w:ascii="Times New Roman" w:hAnsi="Times New Roman"/>
        </w:rPr>
        <w:t>medzi Sociálnou poisťovňou a obchodnou spoločnosťou so 100% majetkovou účasťou štátu</w:t>
      </w:r>
      <w:r w:rsidRPr="000C1E49" w:rsidR="001A06C5">
        <w:rPr>
          <w:rFonts w:ascii="Times New Roman" w:hAnsi="Times New Roman"/>
        </w:rPr>
        <w:t xml:space="preserve">. </w:t>
      </w:r>
      <w:r w:rsidRPr="00774A6E">
        <w:rPr>
          <w:rFonts w:ascii="Times New Roman" w:hAnsi="Times New Roman"/>
        </w:rPr>
        <w:t>Takáto „štátna“ obchodná spoločnosť musí byť určená Ministerstvom práce, sociálnych vecí a rodiny SR po dohode s MF SR, takže tieto úkony musia uzavretiu Zmluvy o postúpení pohľadávok predchádzať.</w:t>
      </w:r>
    </w:p>
    <w:p w:rsidR="00251D02" w:rsidRPr="00774A6E" w:rsidP="0083533D">
      <w:pPr>
        <w:pStyle w:val="ListParagraph"/>
        <w:bidi w:val="0"/>
        <w:ind w:left="0"/>
        <w:rPr>
          <w:rFonts w:ascii="Times New Roman" w:hAnsi="Times New Roman"/>
        </w:rPr>
      </w:pPr>
      <w:r w:rsidRPr="000C1E49" w:rsidR="001A06C5">
        <w:rPr>
          <w:rFonts w:ascii="Times New Roman" w:hAnsi="Times New Roman"/>
        </w:rPr>
        <w:t xml:space="preserve">Na tento účel sa uvažuje použitie </w:t>
      </w:r>
      <w:r w:rsidRPr="000C1E49" w:rsidR="0062168A">
        <w:rPr>
          <w:rFonts w:ascii="Times New Roman" w:hAnsi="Times New Roman"/>
        </w:rPr>
        <w:t>Sp</w:t>
      </w:r>
      <w:r w:rsidRPr="000C1E49" w:rsidR="0062168A">
        <w:rPr>
          <w:rFonts w:ascii="Times New Roman" w:hAnsi="Times New Roman"/>
          <w:bCs/>
        </w:rPr>
        <w:t>oločnosti pre zavedenie unitárneho systému verejného zdravotného poistenia a. s. a jej premenovanie</w:t>
      </w:r>
    </w:p>
    <w:p w:rsidR="00251D02" w:rsidP="000C1E49">
      <w:pPr>
        <w:pStyle w:val="ListParagraph"/>
        <w:bidi w:val="0"/>
        <w:ind w:left="0"/>
        <w:rPr>
          <w:rFonts w:ascii="Times New Roman" w:hAnsi="Times New Roman"/>
        </w:rPr>
      </w:pPr>
      <w:r w:rsidR="000C1E49">
        <w:rPr>
          <w:rFonts w:ascii="Times New Roman" w:hAnsi="Times New Roman"/>
        </w:rPr>
        <w:t>Obsahom tejto zmluvy je ú</w:t>
      </w:r>
      <w:r w:rsidRPr="00774A6E">
        <w:rPr>
          <w:rFonts w:ascii="Times New Roman" w:hAnsi="Times New Roman"/>
        </w:rPr>
        <w:t>prav</w:t>
      </w:r>
      <w:r w:rsidR="000C1E49">
        <w:rPr>
          <w:rFonts w:ascii="Times New Roman" w:hAnsi="Times New Roman"/>
        </w:rPr>
        <w:t>a</w:t>
      </w:r>
      <w:r w:rsidRPr="00774A6E">
        <w:rPr>
          <w:rFonts w:ascii="Times New Roman" w:hAnsi="Times New Roman"/>
        </w:rPr>
        <w:t xml:space="preserve"> podmien</w:t>
      </w:r>
      <w:r w:rsidR="000C1E49">
        <w:rPr>
          <w:rFonts w:ascii="Times New Roman" w:hAnsi="Times New Roman"/>
        </w:rPr>
        <w:t>o</w:t>
      </w:r>
      <w:r w:rsidRPr="00774A6E">
        <w:rPr>
          <w:rFonts w:ascii="Times New Roman" w:hAnsi="Times New Roman"/>
        </w:rPr>
        <w:t>k postúpenia pohľadávok Sociálnej poisťovne na „štátnu“ obchodnú spoločnosť.</w:t>
      </w:r>
    </w:p>
    <w:p w:rsidR="008E44FF" w:rsidRPr="00774A6E" w:rsidP="002856C0">
      <w:pPr>
        <w:bidi w:val="0"/>
        <w:ind w:firstLine="0"/>
        <w:rPr>
          <w:rFonts w:ascii="Times New Roman" w:hAnsi="Times New Roman"/>
        </w:rPr>
      </w:pPr>
    </w:p>
    <w:p w:rsidR="008E44FF" w:rsidRPr="00774A6E" w:rsidP="008E44FF">
      <w:pPr>
        <w:bidi w:val="0"/>
        <w:rPr>
          <w:rFonts w:ascii="Times New Roman" w:hAnsi="Times New Roman"/>
        </w:rPr>
      </w:pPr>
      <w:r w:rsidRPr="00774A6E">
        <w:rPr>
          <w:rFonts w:ascii="Times New Roman" w:hAnsi="Times New Roman"/>
        </w:rPr>
        <w:t>Zmluva o postúpení pohľadávok Sociálnej poisťovne bude zverejnená v súlade s ustanovením § 5a zákona č. 211/2000 o slobodnom prístupe k informáciám a nadobudne účinnosť deň nasledujúci po dni jej zverejnenia.</w:t>
      </w:r>
    </w:p>
    <w:p w:rsidR="008E44FF" w:rsidRPr="00774A6E" w:rsidP="000C1E49">
      <w:pPr>
        <w:pStyle w:val="ListParagraph"/>
        <w:bidi w:val="0"/>
        <w:ind w:left="0"/>
        <w:rPr>
          <w:rFonts w:ascii="Times New Roman" w:hAnsi="Times New Roman"/>
        </w:rPr>
      </w:pPr>
    </w:p>
    <w:p w:rsidR="00251D02" w:rsidRPr="00774A6E" w:rsidP="00EF537B">
      <w:pPr>
        <w:pStyle w:val="ListParagraph"/>
        <w:bidi w:val="0"/>
        <w:rPr>
          <w:rFonts w:ascii="Times New Roman" w:hAnsi="Times New Roman"/>
        </w:rPr>
      </w:pPr>
    </w:p>
    <w:p w:rsidR="00251D02" w:rsidRPr="000C1E49" w:rsidP="000C1E49">
      <w:pPr>
        <w:pStyle w:val="Heading3"/>
        <w:bidi w:val="0"/>
        <w:rPr>
          <w:rFonts w:hint="default"/>
          <w:color w:val="365F91" w:themeShade="BF"/>
        </w:rPr>
      </w:pPr>
      <w:r w:rsidR="000C1E49">
        <w:rPr>
          <w:color w:val="365F91" w:themeShade="BF"/>
        </w:rPr>
        <w:t>D</w:t>
      </w:r>
      <w:r w:rsidRPr="000C1E49">
        <w:rPr>
          <w:color w:val="365F91" w:themeShade="BF"/>
        </w:rPr>
        <w:t>ohoda o </w:t>
      </w:r>
      <w:r w:rsidRPr="000C1E49">
        <w:rPr>
          <w:rFonts w:hint="default"/>
          <w:color w:val="365F91" w:themeShade="BF"/>
        </w:rPr>
        <w:t>odpustení</w:t>
      </w:r>
      <w:r w:rsidRPr="000C1E49">
        <w:rPr>
          <w:rFonts w:hint="default"/>
          <w:color w:val="365F91" w:themeShade="BF"/>
        </w:rPr>
        <w:t xml:space="preserve"> dlhu</w:t>
      </w:r>
    </w:p>
    <w:p w:rsidR="000C1E49" w:rsidP="000C1E49">
      <w:pPr>
        <w:bidi w:val="0"/>
        <w:ind w:firstLine="0"/>
        <w:rPr>
          <w:rFonts w:ascii="Times New Roman" w:hAnsi="Times New Roman"/>
        </w:rPr>
      </w:pPr>
    </w:p>
    <w:p w:rsidR="00251D02" w:rsidRPr="00774A6E" w:rsidP="0083533D">
      <w:pPr>
        <w:pStyle w:val="ListParagraph"/>
        <w:bidi w:val="0"/>
        <w:ind w:left="0"/>
        <w:rPr>
          <w:rFonts w:ascii="Times New Roman" w:hAnsi="Times New Roman"/>
        </w:rPr>
      </w:pPr>
      <w:r w:rsidR="00DA3BDD">
        <w:rPr>
          <w:rFonts w:ascii="Times New Roman" w:hAnsi="Times New Roman"/>
        </w:rPr>
        <w:t xml:space="preserve">Dohoda uzatvorená </w:t>
      </w:r>
      <w:r w:rsidRPr="00774A6E">
        <w:rPr>
          <w:rFonts w:ascii="Times New Roman" w:hAnsi="Times New Roman"/>
        </w:rPr>
        <w:t>medzi „štátnou“ obchodnou spoločnosťou a nemocnicami zastúpenými MZ SR</w:t>
      </w:r>
      <w:r w:rsidR="00DA3BDD">
        <w:rPr>
          <w:rFonts w:ascii="Times New Roman" w:hAnsi="Times New Roman"/>
        </w:rPr>
        <w:t xml:space="preserve">, ktorou </w:t>
      </w:r>
      <w:r w:rsidRPr="00774A6E">
        <w:rPr>
          <w:rFonts w:ascii="Times New Roman" w:hAnsi="Times New Roman"/>
        </w:rPr>
        <w:t xml:space="preserve">„štátna“ obchodná spoločnosť odpustí dlh nemocniciam (ktorý pôvodne mali voči Sociálnej poisťovni). </w:t>
      </w:r>
    </w:p>
    <w:p w:rsidR="00251D02" w:rsidRPr="00774A6E" w:rsidP="00EF537B">
      <w:pPr>
        <w:bidi w:val="0"/>
        <w:rPr>
          <w:rFonts w:ascii="Times New Roman" w:hAnsi="Times New Roman"/>
        </w:rPr>
      </w:pPr>
      <w:r w:rsidRPr="00774A6E">
        <w:rPr>
          <w:rFonts w:ascii="Times New Roman" w:hAnsi="Times New Roman"/>
        </w:rPr>
        <w:t xml:space="preserve">Dohoda o odpustení dlhu bude zverejnená v súlade s ustanovením § 5a zákona č. 211/2000 o slobodnom prístupe k informáciám a nadobudne účinnosť deň nasledujúci po dni jej zverejnenia. </w:t>
      </w:r>
    </w:p>
    <w:p w:rsidR="00251D02" w:rsidRPr="00774A6E" w:rsidP="00EF537B">
      <w:pPr>
        <w:bidi w:val="0"/>
        <w:rPr>
          <w:rFonts w:ascii="Times New Roman" w:hAnsi="Times New Roman"/>
        </w:rPr>
      </w:pPr>
    </w:p>
    <w:p w:rsidR="00EF2A8D" w:rsidP="00EF537B">
      <w:pPr>
        <w:bidi w:val="0"/>
        <w:rPr>
          <w:rFonts w:ascii="Times New Roman" w:hAnsi="Times New Roman"/>
        </w:rPr>
      </w:pPr>
      <w:r w:rsidRPr="00774A6E" w:rsidR="00251D02">
        <w:rPr>
          <w:rFonts w:ascii="Times New Roman" w:hAnsi="Times New Roman"/>
        </w:rPr>
        <w:t xml:space="preserve">Odpustením dlh príslušnej nemocnice voči „štátnej“ obchodnej spoločnosti (pôvodne voči Sociálnej poisťovni) zanikne. </w:t>
      </w:r>
    </w:p>
    <w:p w:rsidR="001B0685" w:rsidP="00EF537B">
      <w:pPr>
        <w:bidi w:val="0"/>
        <w:rPr>
          <w:rFonts w:ascii="Times New Roman" w:hAnsi="Times New Roman"/>
        </w:rPr>
      </w:pPr>
    </w:p>
    <w:p w:rsidR="00EA360F" w:rsidP="00EA360F">
      <w:pPr>
        <w:bidi w:val="0"/>
        <w:rPr>
          <w:rFonts w:ascii="Times New Roman" w:hAnsi="Times New Roman"/>
          <w:highlight w:val="yellow"/>
        </w:rPr>
      </w:pPr>
    </w:p>
    <w:p w:rsidR="00443E97" w:rsidRPr="003D12CC">
      <w:pPr>
        <w:bidi w:val="0"/>
        <w:rPr>
          <w:rFonts w:ascii="Times New Roman" w:hAnsi="Times New Roman"/>
          <w:highlight w:val="yellow"/>
        </w:rPr>
        <w:sectPr w:rsidSect="00060DE2">
          <w:footerReference w:type="default" r:id="rId12"/>
          <w:pgSz w:w="11906" w:h="16838"/>
          <w:pgMar w:top="1418" w:right="1418" w:bottom="1418" w:left="1191" w:header="709" w:footer="709" w:gutter="0"/>
          <w:lnNumType w:distance="0"/>
          <w:pgNumType w:start="1"/>
          <w:cols w:space="708"/>
          <w:noEndnote w:val="0"/>
          <w:bidi w:val="0"/>
          <w:docGrid w:linePitch="360"/>
        </w:sectPr>
      </w:pPr>
    </w:p>
    <w:p w:rsidR="0099553D" w:rsidRPr="000C1E49" w:rsidP="00154367">
      <w:pPr>
        <w:pStyle w:val="Heading1"/>
        <w:bidi w:val="0"/>
      </w:pPr>
      <w:r>
        <w:rPr>
          <w:rFonts w:hint="default"/>
        </w:rPr>
        <w:t>Prí</w:t>
      </w:r>
      <w:r>
        <w:rPr>
          <w:rFonts w:hint="default"/>
        </w:rPr>
        <w:t>lohy</w:t>
      </w:r>
    </w:p>
    <w:p w:rsidR="0099553D" w:rsidP="00EF537B">
      <w:pPr>
        <w:bidi w:val="0"/>
        <w:rPr>
          <w:rFonts w:ascii="Times New Roman" w:hAnsi="Times New Roman"/>
        </w:rPr>
      </w:pPr>
    </w:p>
    <w:p w:rsidR="00251D02" w:rsidRPr="0083533D" w:rsidP="0083533D">
      <w:pPr>
        <w:bidi w:val="0"/>
        <w:ind w:firstLine="0"/>
        <w:rPr>
          <w:rFonts w:ascii="Times New Roman" w:hAnsi="Times New Roman"/>
          <w:b/>
        </w:rPr>
      </w:pPr>
      <w:r w:rsidRPr="0083533D" w:rsidR="00EF2A8D">
        <w:rPr>
          <w:rFonts w:ascii="Times New Roman" w:hAnsi="Times New Roman"/>
          <w:b/>
        </w:rPr>
        <w:t>Príloha č. 1</w:t>
      </w:r>
      <w:r w:rsidR="006128AB">
        <w:rPr>
          <w:rFonts w:ascii="Times New Roman" w:hAnsi="Times New Roman"/>
          <w:b/>
        </w:rPr>
        <w:t xml:space="preserve">: </w:t>
      </w:r>
      <w:r w:rsidR="00B22270">
        <w:rPr>
          <w:rFonts w:ascii="Times New Roman" w:hAnsi="Times New Roman"/>
          <w:b/>
        </w:rPr>
        <w:t>Distribúcia</w:t>
      </w:r>
      <w:r w:rsidR="006128AB">
        <w:rPr>
          <w:rFonts w:ascii="Times New Roman" w:hAnsi="Times New Roman"/>
          <w:b/>
        </w:rPr>
        <w:t xml:space="preserve"> pohľadávok po splatnosti, bez </w:t>
      </w:r>
      <w:r w:rsidR="00B22270">
        <w:rPr>
          <w:rFonts w:ascii="Times New Roman" w:hAnsi="Times New Roman"/>
          <w:b/>
        </w:rPr>
        <w:t>S</w:t>
      </w:r>
      <w:r w:rsidR="006128AB">
        <w:rPr>
          <w:rFonts w:ascii="Times New Roman" w:hAnsi="Times New Roman"/>
          <w:b/>
        </w:rPr>
        <w:t xml:space="preserve">ociálnej poisťovne </w:t>
      </w:r>
    </w:p>
    <w:p w:rsidR="00251D02" w:rsidRPr="00774A6E" w:rsidP="00EF537B">
      <w:pPr>
        <w:bidi w:val="0"/>
        <w:rPr>
          <w:rFonts w:ascii="Times New Roman" w:hAnsi="Times New Roman"/>
        </w:rPr>
      </w:pPr>
    </w:p>
    <w:p w:rsidR="00251D02" w:rsidRPr="00774A6E" w:rsidP="00EF537B">
      <w:pPr>
        <w:bidi w:val="0"/>
        <w:rPr>
          <w:rFonts w:ascii="Times New Roman" w:hAnsi="Times New Roman"/>
        </w:rPr>
      </w:pPr>
    </w:p>
    <w:p w:rsidR="00251D02" w:rsidRPr="00774A6E" w:rsidP="00EF537B">
      <w:pPr>
        <w:bidi w:val="0"/>
        <w:rPr>
          <w:rFonts w:ascii="Times New Roman" w:hAnsi="Times New Roman"/>
        </w:rPr>
      </w:pPr>
    </w:p>
    <w:p w:rsidR="00251D02" w:rsidP="00EF2A8D">
      <w:pPr>
        <w:bidi w:val="0"/>
        <w:ind w:firstLine="0"/>
        <w:rPr>
          <w:rFonts w:ascii="Times New Roman" w:hAnsi="Times New Roman"/>
        </w:rPr>
      </w:pPr>
      <w:r>
        <w:rPr>
          <w:rFonts w:ascii="Times New Roman" w:hAnsi="Times New Roman"/>
          <w:noProof/>
          <w:rtl w:val="0"/>
          <w:lang w:val="en-US"/>
        </w:rPr>
        <w:pict>
          <v:shape id="Graf 6" o:spid="_x0000_i1028" type="#_x0000_t75" style="width:520.45pt;height:225.75pt;visibility:visible" stroked="f">
            <v:imagedata r:id="rId13" o:title="" cropbottom="-44f" cropright="-13f"/>
            <o:lock v:ext="edit" aspectratio="f"/>
          </v:shape>
        </w:pict>
      </w:r>
    </w:p>
    <w:p w:rsidR="00C10177" w:rsidP="00EF2A8D">
      <w:pPr>
        <w:bidi w:val="0"/>
        <w:ind w:firstLine="0"/>
        <w:rPr>
          <w:rFonts w:ascii="Times New Roman" w:hAnsi="Times New Roman"/>
        </w:rPr>
      </w:pPr>
    </w:p>
    <w:p w:rsidR="00C10177" w:rsidP="00EF2A8D">
      <w:pPr>
        <w:bidi w:val="0"/>
        <w:ind w:firstLine="0"/>
        <w:rPr>
          <w:rFonts w:ascii="Times New Roman" w:hAnsi="Times New Roman"/>
        </w:rPr>
      </w:pPr>
    </w:p>
    <w:p w:rsidR="006128AB" w:rsidP="002D2F72">
      <w:pPr>
        <w:bidi w:val="0"/>
        <w:ind w:firstLine="0"/>
        <w:rPr>
          <w:rFonts w:ascii="Times New Roman" w:hAnsi="Times New Roman"/>
        </w:rPr>
      </w:pPr>
      <w:r>
        <w:rPr>
          <w:rFonts w:ascii="Times New Roman" w:hAnsi="Times New Roman"/>
          <w:noProof/>
          <w:rtl w:val="0"/>
          <w:lang w:val="en-US"/>
        </w:rPr>
        <w:pict>
          <v:shape id="Graf 1" o:spid="_x0000_i1029" type="#_x0000_t75" style="width:520.1pt;height:204.7pt;visibility:visible" stroked="f">
            <v:imagedata r:id="rId14" o:title="" cropbottom="-64f" cropright="-25f"/>
            <o:lock v:ext="edit" aspectratio="f"/>
          </v:shape>
        </w:pict>
      </w:r>
    </w:p>
    <w:p w:rsidR="006128AB" w:rsidRPr="006128AB" w:rsidP="003D12CC">
      <w:pPr>
        <w:bidi w:val="0"/>
        <w:rPr>
          <w:rFonts w:ascii="Times New Roman" w:hAnsi="Times New Roman"/>
        </w:rPr>
      </w:pPr>
    </w:p>
    <w:p w:rsidR="006128AB" w:rsidRPr="006128AB" w:rsidP="003D12CC">
      <w:pPr>
        <w:bidi w:val="0"/>
        <w:rPr>
          <w:rFonts w:ascii="Times New Roman" w:hAnsi="Times New Roman"/>
        </w:rPr>
      </w:pPr>
    </w:p>
    <w:p w:rsidR="006128AB" w:rsidP="006128AB">
      <w:pPr>
        <w:bidi w:val="0"/>
        <w:rPr>
          <w:rFonts w:ascii="Times New Roman" w:hAnsi="Times New Roman"/>
        </w:rPr>
      </w:pPr>
    </w:p>
    <w:p w:rsidR="006128AB" w:rsidP="006128AB">
      <w:pPr>
        <w:bidi w:val="0"/>
        <w:rPr>
          <w:rFonts w:ascii="Times New Roman" w:hAnsi="Times New Roman"/>
        </w:rPr>
      </w:pPr>
    </w:p>
    <w:p w:rsidR="00281E6A">
      <w:pPr>
        <w:bidi w:val="0"/>
        <w:ind w:firstLine="0"/>
        <w:rPr>
          <w:rFonts w:ascii="Times New Roman" w:hAnsi="Times New Roman"/>
          <w:b/>
        </w:rPr>
      </w:pPr>
    </w:p>
    <w:p w:rsidR="00281E6A">
      <w:pPr>
        <w:bidi w:val="0"/>
        <w:spacing w:after="200" w:line="276" w:lineRule="auto"/>
        <w:ind w:firstLine="0"/>
        <w:jc w:val="left"/>
        <w:rPr>
          <w:rFonts w:ascii="Times New Roman" w:hAnsi="Times New Roman"/>
          <w:b/>
        </w:rPr>
      </w:pPr>
      <w:r>
        <w:rPr>
          <w:rFonts w:ascii="Times New Roman" w:hAnsi="Times New Roman"/>
          <w:b/>
        </w:rPr>
        <w:br w:type="page"/>
      </w:r>
    </w:p>
    <w:p w:rsidR="00C10177" w:rsidRPr="006F6E8E" w:rsidP="00281E6A">
      <w:pPr>
        <w:tabs>
          <w:tab w:val="left" w:pos="1418"/>
        </w:tabs>
        <w:bidi w:val="0"/>
        <w:ind w:firstLine="0"/>
        <w:rPr>
          <w:rFonts w:ascii="Times New Roman" w:hAnsi="Times New Roman"/>
          <w:b/>
        </w:rPr>
      </w:pPr>
      <w:r w:rsidRPr="006F6E8E" w:rsidR="006128AB">
        <w:rPr>
          <w:rFonts w:ascii="Times New Roman" w:hAnsi="Times New Roman"/>
          <w:b/>
        </w:rPr>
        <w:t xml:space="preserve">Príloha č. 2: </w:t>
      </w:r>
      <w:r w:rsidR="00281E6A">
        <w:rPr>
          <w:rFonts w:ascii="Times New Roman" w:hAnsi="Times New Roman"/>
          <w:b/>
        </w:rPr>
        <w:tab/>
      </w:r>
      <w:r w:rsidRPr="006F6E8E" w:rsidR="006128AB">
        <w:rPr>
          <w:rFonts w:ascii="Times New Roman" w:hAnsi="Times New Roman"/>
          <w:b/>
        </w:rPr>
        <w:t>Zoznam indikátorov kvality</w:t>
      </w:r>
    </w:p>
    <w:p w:rsidR="006128AB">
      <w:pPr>
        <w:bidi w:val="0"/>
        <w:ind w:firstLine="0"/>
        <w:rPr>
          <w:rFonts w:ascii="Times New Roman" w:hAnsi="Times New Roman"/>
        </w:rPr>
      </w:pPr>
    </w:p>
    <w:p w:rsidR="006128AB" w:rsidP="006F6E8E">
      <w:pPr>
        <w:bidi w:val="0"/>
        <w:ind w:firstLine="709"/>
        <w:rPr>
          <w:rFonts w:ascii="Times New Roman" w:hAnsi="Times New Roman"/>
          <w:highlight w:val="yellow"/>
        </w:rPr>
      </w:pPr>
      <w:r>
        <w:rPr>
          <w:rFonts w:ascii="Times New Roman" w:hAnsi="Times New Roman"/>
        </w:rPr>
        <w:t>Indikátory vychádzajú z vestníka MZ SR, číslo S07496-2013, sú teda už v dnešnej dobe zaužívaným a dátovo bohatým zdrojom pre hodnotenie kvality prevádzky ústavnej zdravotnej starostlivosti. Z celého zoznamu boli pre účely ozdravných plánov vybrané nasledovné indikátory:</w:t>
      </w:r>
    </w:p>
    <w:p w:rsidR="006128AB" w:rsidP="006128AB">
      <w:pPr>
        <w:bidi w:val="0"/>
        <w:rPr>
          <w:rFonts w:ascii="Times New Roman" w:hAnsi="Times New Roman"/>
          <w:highlight w:val="yellow"/>
        </w:rPr>
      </w:pPr>
    </w:p>
    <w:tbl>
      <w:tblPr>
        <w:tblStyle w:val="TableNormal"/>
        <w:tblW w:w="9261" w:type="dxa"/>
        <w:tblCellMar>
          <w:top w:w="15" w:type="dxa"/>
          <w:left w:w="70" w:type="dxa"/>
          <w:bottom w:w="15" w:type="dxa"/>
          <w:right w:w="70" w:type="dxa"/>
        </w:tblCellMar>
        <w:tblLook w:val="04A0"/>
      </w:tblPr>
      <w:tblGrid>
        <w:gridCol w:w="9261"/>
      </w:tblGrid>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B.1.1. Úmrtnosť - celková</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B.1.13. Rehospitalizovanosť celková do 30 dní</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B.1.14. Rehospitalizovanosť celková do 90 dní</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B.1.15. Reoperovanosť</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B.1.17. Dekubity</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B.1.2. Úmrtnosť po per</w:t>
            </w:r>
            <w:r>
              <w:rPr>
                <w:rFonts w:ascii="Times New Roman" w:eastAsia="Times New Roman" w:hAnsi="Times New Roman"/>
                <w:iCs w:val="0"/>
                <w:color w:val="000000"/>
                <w:szCs w:val="22"/>
                <w:lang w:eastAsia="sk-SK"/>
              </w:rPr>
              <w:t xml:space="preserve">k </w:t>
            </w:r>
            <w:r w:rsidRPr="00281E6A">
              <w:rPr>
                <w:rFonts w:ascii="Times New Roman" w:eastAsia="Times New Roman" w:hAnsi="Times New Roman"/>
                <w:iCs w:val="0"/>
                <w:color w:val="000000"/>
                <w:szCs w:val="22"/>
                <w:lang w:eastAsia="sk-SK"/>
              </w:rPr>
              <w:t>koronárnej intervencii</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B.1.3. Úmrtnosť po zlomenine stehennej kosti (vek nad 65 rokov)</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B.1.4. Úmrtie na infarkt myokardu po neodkladnom prijatí (vek 35 - 74 rokov)</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B.1.5. Úmrtie na akútnu mozgovo-cievnu príhodu</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B.1.6. Úmrtie po náhrade bedrového kĺbu</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 xml:space="preserve">B.1.7. </w:t>
            </w:r>
            <w:r w:rsidRPr="006128AB">
              <w:rPr>
                <w:rFonts w:ascii="Times New Roman" w:eastAsia="Times New Roman" w:hAnsi="Times New Roman"/>
                <w:iCs w:val="0"/>
                <w:color w:val="000000"/>
                <w:szCs w:val="22"/>
                <w:lang w:eastAsia="sk-SK"/>
              </w:rPr>
              <w:t>Úmrtnosť</w:t>
            </w:r>
            <w:r w:rsidRPr="00281E6A">
              <w:rPr>
                <w:rFonts w:ascii="Times New Roman" w:eastAsia="Times New Roman" w:hAnsi="Times New Roman"/>
                <w:iCs w:val="0"/>
                <w:color w:val="000000"/>
                <w:szCs w:val="22"/>
                <w:lang w:eastAsia="sk-SK"/>
              </w:rPr>
              <w:t xml:space="preserve"> po intervenčných výkonoch</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B.1.8. Úmrtie po operačných výkonoch</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B.1.9. Materská úmrtnosť</w:t>
            </w:r>
          </w:p>
        </w:tc>
      </w:tr>
      <w:tr>
        <w:tblPrEx>
          <w:tblW w:w="9261" w:type="dxa"/>
          <w:tblCellMar>
            <w:top w:w="15" w:type="dxa"/>
            <w:left w:w="70" w:type="dxa"/>
            <w:bottom w:w="15" w:type="dxa"/>
            <w:right w:w="70" w:type="dxa"/>
          </w:tblCellMar>
          <w:tblLook w:val="04A0"/>
        </w:tblPrEx>
        <w:trPr>
          <w:trHeight w:val="353"/>
        </w:trPr>
        <w:tc>
          <w:tcPr>
            <w:tcW w:w="9261" w:type="dxa"/>
            <w:tcBorders>
              <w:top w:val="nil"/>
              <w:left w:val="nil"/>
              <w:bottom w:val="nil"/>
              <w:right w:val="nil"/>
            </w:tcBorders>
            <w:noWrap/>
            <w:textDirection w:val="lrTb"/>
            <w:vAlign w:val="bottom"/>
            <w:hideMark/>
          </w:tcPr>
          <w:p w:rsidR="006128AB" w:rsidRPr="00281E6A" w:rsidP="00443E97">
            <w:pPr>
              <w:bidi w:val="0"/>
              <w:spacing w:after="0" w:line="240" w:lineRule="auto"/>
              <w:ind w:firstLine="0"/>
              <w:jc w:val="left"/>
              <w:rPr>
                <w:rFonts w:ascii="Times New Roman" w:eastAsia="Times New Roman" w:hAnsi="Times New Roman"/>
                <w:iCs w:val="0"/>
                <w:color w:val="000000"/>
                <w:szCs w:val="22"/>
                <w:lang w:eastAsia="sk-SK"/>
              </w:rPr>
            </w:pPr>
            <w:r w:rsidRPr="00281E6A">
              <w:rPr>
                <w:rFonts w:ascii="Times New Roman" w:eastAsia="Times New Roman" w:hAnsi="Times New Roman"/>
                <w:iCs w:val="0"/>
                <w:color w:val="000000"/>
                <w:szCs w:val="22"/>
                <w:lang w:eastAsia="sk-SK"/>
              </w:rPr>
              <w:t>B.2.1. Operovanosť</w:t>
            </w:r>
          </w:p>
        </w:tc>
      </w:tr>
    </w:tbl>
    <w:p w:rsidR="006128AB" w:rsidP="006128AB">
      <w:pPr>
        <w:bidi w:val="0"/>
        <w:rPr>
          <w:rFonts w:ascii="Times New Roman" w:hAnsi="Times New Roman"/>
          <w:highlight w:val="yellow"/>
        </w:rPr>
      </w:pPr>
    </w:p>
    <w:p w:rsidR="006128AB" w:rsidP="006128AB">
      <w:pPr>
        <w:bidi w:val="0"/>
        <w:rPr>
          <w:rFonts w:ascii="Times New Roman" w:hAnsi="Times New Roman"/>
          <w:highlight w:val="yellow"/>
        </w:rPr>
      </w:pPr>
    </w:p>
    <w:p w:rsidR="006128AB" w:rsidRPr="006128AB">
      <w:pPr>
        <w:bidi w:val="0"/>
        <w:ind w:firstLine="0"/>
        <w:rPr>
          <w:rFonts w:ascii="Times New Roman" w:hAnsi="Times New Roman"/>
        </w:rPr>
      </w:pPr>
    </w:p>
    <w:sectPr w:rsidSect="00C10177">
      <w:pgSz w:w="11900" w:h="16820"/>
      <w:pgMar w:top="1418" w:right="1191" w:bottom="1418" w:left="1418" w:header="709" w:footer="709" w:gutter="0"/>
      <w:lnNumType w:distance="0"/>
      <w:pgNumType w:start="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Cambria">
    <w:panose1 w:val="00000000000000000000"/>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66" w:rsidRPr="00AD6E3C" w:rsidP="00C122A5">
    <w:pPr>
      <w:pStyle w:val="Footer"/>
      <w:bidi w:val="0"/>
      <w:jc w:val="right"/>
      <w:rPr>
        <w:rFonts w:ascii="Times New Roman" w:hAnsi="Times New Roman"/>
      </w:rPr>
    </w:pPr>
    <w:r w:rsidRPr="00AD6E3C">
      <w:rPr>
        <w:rFonts w:ascii="Times New Roman" w:hAnsi="Times New Roman"/>
      </w:rPr>
      <w:fldChar w:fldCharType="begin"/>
    </w:r>
    <w:r w:rsidRPr="00AD6E3C">
      <w:rPr>
        <w:rFonts w:ascii="Times New Roman" w:hAnsi="Times New Roman"/>
      </w:rPr>
      <w:instrText>PAGE   \* MERGEFORMAT</w:instrText>
    </w:r>
    <w:r w:rsidRPr="00AD6E3C">
      <w:rPr>
        <w:rFonts w:ascii="Times New Roman" w:hAnsi="Times New Roman"/>
      </w:rPr>
      <w:fldChar w:fldCharType="separate"/>
    </w:r>
    <w:r w:rsidR="003962A2">
      <w:rPr>
        <w:rFonts w:ascii="Times New Roman" w:hAnsi="Times New Roman"/>
        <w:noProof/>
      </w:rPr>
      <w:t>1</w:t>
    </w:r>
    <w:r w:rsidRPr="00AD6E3C">
      <w:rPr>
        <w:rFonts w:ascii="Times New Roman" w:hAnsi="Times New Roman"/>
      </w:rPr>
      <w:fldChar w:fldCharType="end"/>
    </w:r>
  </w:p>
  <w:p w:rsidR="00862E66" w:rsidP="00EF537B">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61F" w:rsidP="00EF537B">
      <w:pPr>
        <w:bidi w:val="0"/>
        <w:rPr>
          <w:rFonts w:ascii="Times New Roman" w:hAnsi="Times New Roman"/>
        </w:rPr>
      </w:pPr>
      <w:r>
        <w:rPr>
          <w:rFonts w:ascii="Times New Roman" w:hAnsi="Times New Roman"/>
        </w:rPr>
        <w:separator/>
      </w:r>
    </w:p>
  </w:footnote>
  <w:footnote w:type="continuationSeparator" w:id="1">
    <w:p w:rsidR="0041761F" w:rsidP="00EF537B">
      <w:pPr>
        <w:bidi w:val="0"/>
        <w:rPr>
          <w:rFonts w:ascii="Times New Roman" w:hAnsi="Times New Roman"/>
        </w:rPr>
      </w:pPr>
      <w:r>
        <w:rPr>
          <w:rFonts w:ascii="Times New Roman" w:hAnsi="Times New Roman"/>
        </w:rPr>
        <w:continuationSeparator/>
      </w:r>
    </w:p>
  </w:footnote>
  <w:footnote w:id="2">
    <w:p w:rsidP="00D714DB">
      <w:pPr>
        <w:pStyle w:val="FootnoteText"/>
        <w:bidi w:val="0"/>
        <w:ind w:firstLine="0"/>
      </w:pPr>
      <w:r w:rsidRPr="00154367" w:rsidR="00862E66">
        <w:rPr>
          <w:rStyle w:val="FootnoteReference"/>
          <w:rFonts w:ascii="Times New Roman" w:hAnsi="Times New Roman"/>
        </w:rPr>
        <w:footnoteRef/>
      </w:r>
      <w:r w:rsidRPr="00154367" w:rsidR="00862E66">
        <w:rPr>
          <w:rFonts w:ascii="Times New Roman" w:hAnsi="Times New Roman"/>
        </w:rPr>
        <w:t xml:space="preserve"> </w:t>
      </w:r>
      <w:r w:rsidRPr="00154367" w:rsidR="00862E66">
        <w:rPr>
          <w:rFonts w:ascii="Times New Roman" w:hAnsi="Times New Roman" w:hint="default"/>
          <w:sz w:val="16"/>
        </w:rPr>
        <w:t>Jedná</w:t>
      </w:r>
      <w:r w:rsidRPr="00154367" w:rsidR="00862E66">
        <w:rPr>
          <w:rFonts w:ascii="Times New Roman" w:hAnsi="Times New Roman" w:hint="default"/>
          <w:sz w:val="16"/>
        </w:rPr>
        <w:t xml:space="preserve"> sa o </w:t>
      </w:r>
      <w:r w:rsidRPr="00154367" w:rsidR="00862E66">
        <w:rPr>
          <w:rFonts w:ascii="Times New Roman" w:hAnsi="Times New Roman" w:hint="default"/>
          <w:sz w:val="16"/>
        </w:rPr>
        <w:t>zariadenia, ktoré</w:t>
      </w:r>
      <w:r w:rsidRPr="00154367" w:rsidR="00862E66">
        <w:rPr>
          <w:rFonts w:ascii="Times New Roman" w:hAnsi="Times New Roman" w:hint="default"/>
          <w:sz w:val="16"/>
        </w:rPr>
        <w:t xml:space="preserve"> majú</w:t>
      </w:r>
      <w:r w:rsidRPr="00154367" w:rsidR="00862E66">
        <w:rPr>
          <w:rFonts w:ascii="Times New Roman" w:hAnsi="Times New Roman" w:hint="default"/>
          <w:sz w:val="16"/>
        </w:rPr>
        <w:t xml:space="preserve"> povinnosť</w:t>
      </w:r>
      <w:r w:rsidRPr="00154367" w:rsidR="00862E66">
        <w:rPr>
          <w:rFonts w:ascii="Times New Roman" w:hAnsi="Times New Roman" w:hint="default"/>
          <w:sz w:val="16"/>
        </w:rPr>
        <w:t xml:space="preserve"> poskytovať</w:t>
      </w:r>
      <w:r w:rsidRPr="00154367" w:rsidR="00862E66">
        <w:rPr>
          <w:rFonts w:ascii="Times New Roman" w:hAnsi="Times New Roman" w:hint="default"/>
          <w:sz w:val="16"/>
        </w:rPr>
        <w:t xml:space="preserve"> ú</w:t>
      </w:r>
      <w:r w:rsidRPr="00154367" w:rsidR="00862E66">
        <w:rPr>
          <w:rFonts w:ascii="Times New Roman" w:hAnsi="Times New Roman" w:hint="default"/>
          <w:sz w:val="16"/>
        </w:rPr>
        <w:t>daje MZ SR</w:t>
      </w:r>
      <w:r w:rsidRPr="00154367" w:rsidR="00862E66">
        <w:rPr>
          <w:sz w:val="16"/>
        </w:rPr>
        <w:t xml:space="preserve"> </w:t>
      </w:r>
    </w:p>
  </w:footnote>
  <w:footnote w:id="3">
    <w:p w:rsidP="00042225">
      <w:pPr>
        <w:pStyle w:val="FootnoteText"/>
        <w:bidi w:val="0"/>
        <w:ind w:firstLine="0"/>
      </w:pPr>
      <w:r w:rsidRPr="00154367" w:rsidR="00862E66">
        <w:rPr>
          <w:rStyle w:val="FootnoteReference"/>
          <w:rFonts w:ascii="Times New Roman" w:hAnsi="Times New Roman"/>
          <w:sz w:val="18"/>
        </w:rPr>
        <w:footnoteRef/>
      </w:r>
      <w:r w:rsidRPr="00154367" w:rsidR="00862E66">
        <w:rPr>
          <w:rFonts w:ascii="Times New Roman" w:hAnsi="Times New Roman" w:hint="default"/>
          <w:sz w:val="18"/>
        </w:rPr>
        <w:t xml:space="preserve"> Mimo obstará</w:t>
      </w:r>
      <w:r w:rsidRPr="00154367" w:rsidR="00862E66">
        <w:rPr>
          <w:rFonts w:ascii="Times New Roman" w:hAnsi="Times New Roman" w:hint="default"/>
          <w:sz w:val="18"/>
        </w:rPr>
        <w:t>vania liekov, š</w:t>
      </w:r>
      <w:r w:rsidRPr="00154367" w:rsidR="00862E66">
        <w:rPr>
          <w:rFonts w:ascii="Times New Roman" w:hAnsi="Times New Roman" w:hint="default"/>
          <w:sz w:val="18"/>
        </w:rPr>
        <w:t>peciá</w:t>
      </w:r>
      <w:r w:rsidRPr="00154367" w:rsidR="00862E66">
        <w:rPr>
          <w:rFonts w:ascii="Times New Roman" w:hAnsi="Times New Roman" w:hint="default"/>
          <w:sz w:val="18"/>
        </w:rPr>
        <w:t>lneho zdravotní</w:t>
      </w:r>
      <w:r w:rsidRPr="00154367" w:rsidR="00862E66">
        <w:rPr>
          <w:rFonts w:ascii="Times New Roman" w:hAnsi="Times New Roman" w:hint="default"/>
          <w:sz w:val="18"/>
        </w:rPr>
        <w:t>ckeho materiá</w:t>
      </w:r>
      <w:r w:rsidRPr="00154367" w:rsidR="00862E66">
        <w:rPr>
          <w:rFonts w:ascii="Times New Roman" w:hAnsi="Times New Roman" w:hint="default"/>
          <w:sz w:val="18"/>
        </w:rPr>
        <w:t>lu a zdravotní</w:t>
      </w:r>
      <w:r w:rsidRPr="00154367" w:rsidR="00862E66">
        <w:rPr>
          <w:rFonts w:ascii="Times New Roman" w:hAnsi="Times New Roman" w:hint="default"/>
          <w:sz w:val="18"/>
        </w:rPr>
        <w:t>ckej techniky</w:t>
      </w:r>
    </w:p>
  </w:footnote>
  <w:footnote w:id="4">
    <w:p w:rsidP="003D12CC">
      <w:pPr>
        <w:pStyle w:val="FootnoteText"/>
        <w:bidi w:val="0"/>
        <w:ind w:firstLine="0"/>
      </w:pPr>
      <w:r w:rsidRPr="00C63C94" w:rsidR="00862E66">
        <w:rPr>
          <w:rStyle w:val="FootnoteReference"/>
          <w:sz w:val="16"/>
          <w:szCs w:val="16"/>
        </w:rPr>
        <w:footnoteRef/>
      </w:r>
      <w:r w:rsidRPr="00C63C94" w:rsidR="00862E66">
        <w:t xml:space="preserve"> </w:t>
      </w:r>
      <w:r w:rsidRPr="00C122A5" w:rsidR="00862E66">
        <w:rPr>
          <w:rFonts w:ascii="Times New Roman" w:hAnsi="Times New Roman" w:hint="default"/>
        </w:rPr>
        <w:t>5 nemocní</w:t>
      </w:r>
      <w:r w:rsidRPr="00C122A5" w:rsidR="00862E66">
        <w:rPr>
          <w:rFonts w:ascii="Times New Roman" w:hAnsi="Times New Roman" w:hint="default"/>
        </w:rPr>
        <w:t xml:space="preserve">c </w:t>
      </w:r>
      <w:r w:rsidRPr="00C122A5" w:rsidR="00862E66">
        <w:rPr>
          <w:rFonts w:ascii="Times New Roman" w:hAnsi="Times New Roman" w:hint="default"/>
        </w:rPr>
        <w:t>UNB uvaž</w:t>
      </w:r>
      <w:r w:rsidRPr="00C122A5" w:rsidR="00862E66">
        <w:rPr>
          <w:rFonts w:ascii="Times New Roman" w:hAnsi="Times New Roman" w:hint="default"/>
        </w:rPr>
        <w:t>ujeme ako jednu nemocnicu</w:t>
      </w:r>
    </w:p>
  </w:footnote>
  <w:footnote w:id="5">
    <w:p w:rsidR="00862E66" w:rsidRPr="00774A6E" w:rsidP="003D12CC">
      <w:pPr>
        <w:pStyle w:val="Obyajn"/>
        <w:bidi w:val="0"/>
        <w:ind w:firstLine="0"/>
        <w:rPr>
          <w:rFonts w:ascii="Times New Roman" w:hAnsi="Times New Roman"/>
          <w:lang w:eastAsia="en-GB"/>
        </w:rPr>
      </w:pPr>
      <w:r>
        <w:rPr>
          <w:rStyle w:val="FootnoteReference"/>
          <w:rFonts w:ascii="Times New Roman" w:hAnsi="Times New Roman"/>
        </w:rPr>
        <w:footnoteRef/>
      </w:r>
      <w:r>
        <w:rPr>
          <w:rFonts w:ascii="Times New Roman" w:hAnsi="Times New Roman"/>
        </w:rPr>
        <w:t xml:space="preserve"> </w:t>
      </w:r>
      <w:r w:rsidRPr="003D12CC">
        <w:rPr>
          <w:rFonts w:ascii="Times New Roman" w:eastAsia="Calibri" w:hAnsi="Times New Roman" w:hint="default"/>
          <w:sz w:val="20"/>
          <w:szCs w:val="20"/>
          <w:lang w:eastAsia="cs-CZ"/>
        </w:rPr>
        <w:t>v prí</w:t>
      </w:r>
      <w:r w:rsidRPr="003D12CC">
        <w:rPr>
          <w:rFonts w:ascii="Times New Roman" w:eastAsia="Calibri" w:hAnsi="Times New Roman" w:hint="default"/>
          <w:sz w:val="20"/>
          <w:szCs w:val="20"/>
          <w:lang w:eastAsia="cs-CZ"/>
        </w:rPr>
        <w:t>pade oddlž</w:t>
      </w:r>
      <w:r w:rsidRPr="003D12CC">
        <w:rPr>
          <w:rFonts w:ascii="Times New Roman" w:eastAsia="Calibri" w:hAnsi="Times New Roman" w:hint="default"/>
          <w:sz w:val="20"/>
          <w:szCs w:val="20"/>
          <w:lang w:eastAsia="cs-CZ"/>
        </w:rPr>
        <w:t>enia rá</w:t>
      </w:r>
      <w:r w:rsidRPr="003D12CC">
        <w:rPr>
          <w:rFonts w:ascii="Times New Roman" w:eastAsia="Calibri" w:hAnsi="Times New Roman" w:hint="default"/>
          <w:sz w:val="20"/>
          <w:szCs w:val="20"/>
          <w:lang w:eastAsia="cs-CZ"/>
        </w:rPr>
        <w:t>tame s </w:t>
      </w:r>
      <w:r w:rsidRPr="003D12CC">
        <w:rPr>
          <w:rFonts w:ascii="Times New Roman" w:eastAsia="Calibri" w:hAnsi="Times New Roman" w:hint="default"/>
          <w:sz w:val="20"/>
          <w:szCs w:val="20"/>
          <w:lang w:eastAsia="cs-CZ"/>
        </w:rPr>
        <w:t>dodatoč</w:t>
      </w:r>
      <w:r w:rsidRPr="003D12CC">
        <w:rPr>
          <w:rFonts w:ascii="Times New Roman" w:eastAsia="Calibri" w:hAnsi="Times New Roman" w:hint="default"/>
          <w:sz w:val="20"/>
          <w:szCs w:val="20"/>
          <w:lang w:eastAsia="cs-CZ"/>
        </w:rPr>
        <w:t>ný</w:t>
      </w:r>
      <w:r w:rsidRPr="003D12CC">
        <w:rPr>
          <w:rFonts w:ascii="Times New Roman" w:eastAsia="Calibri" w:hAnsi="Times New Roman" w:hint="default"/>
          <w:sz w:val="20"/>
          <w:szCs w:val="20"/>
          <w:lang w:eastAsia="cs-CZ"/>
        </w:rPr>
        <w:t>m poklesom ná</w:t>
      </w:r>
      <w:r w:rsidRPr="003D12CC">
        <w:rPr>
          <w:rFonts w:ascii="Times New Roman" w:eastAsia="Calibri" w:hAnsi="Times New Roman" w:hint="default"/>
          <w:sz w:val="20"/>
          <w:szCs w:val="20"/>
          <w:lang w:eastAsia="cs-CZ"/>
        </w:rPr>
        <w:t>kladov na lieky o</w:t>
      </w:r>
      <w:r>
        <w:rPr>
          <w:rFonts w:ascii="Times New Roman" w:eastAsia="Calibri" w:hAnsi="Times New Roman"/>
          <w:sz w:val="20"/>
          <w:szCs w:val="20"/>
          <w:lang w:eastAsia="cs-CZ"/>
        </w:rPr>
        <w:t xml:space="preserve"> min</w:t>
      </w:r>
      <w:r w:rsidRPr="003D12CC">
        <w:rPr>
          <w:rFonts w:ascii="Times New Roman" w:eastAsia="Calibri" w:hAnsi="Times New Roman"/>
          <w:sz w:val="20"/>
          <w:szCs w:val="20"/>
          <w:lang w:eastAsia="cs-CZ"/>
        </w:rPr>
        <w:t xml:space="preserve"> 5% a </w:t>
      </w:r>
      <w:r w:rsidRPr="003D12CC">
        <w:rPr>
          <w:rFonts w:ascii="Times New Roman" w:eastAsia="Calibri" w:hAnsi="Times New Roman" w:hint="default"/>
          <w:sz w:val="20"/>
          <w:szCs w:val="20"/>
          <w:lang w:eastAsia="cs-CZ"/>
        </w:rPr>
        <w:t>ná</w:t>
      </w:r>
      <w:r w:rsidRPr="003D12CC">
        <w:rPr>
          <w:rFonts w:ascii="Times New Roman" w:eastAsia="Calibri" w:hAnsi="Times New Roman" w:hint="default"/>
          <w:sz w:val="20"/>
          <w:szCs w:val="20"/>
          <w:lang w:eastAsia="cs-CZ"/>
        </w:rPr>
        <w:t>kladov na nekategorizovaný</w:t>
      </w:r>
      <w:r w:rsidRPr="003D12CC">
        <w:rPr>
          <w:rFonts w:ascii="Times New Roman" w:eastAsia="Calibri" w:hAnsi="Times New Roman" w:hint="default"/>
          <w:sz w:val="20"/>
          <w:szCs w:val="20"/>
          <w:lang w:eastAsia="cs-CZ"/>
        </w:rPr>
        <w:t xml:space="preserve"> Š</w:t>
      </w:r>
      <w:r w:rsidRPr="003D12CC">
        <w:rPr>
          <w:rFonts w:ascii="Times New Roman" w:eastAsia="Calibri" w:hAnsi="Times New Roman" w:hint="default"/>
          <w:sz w:val="20"/>
          <w:szCs w:val="20"/>
          <w:lang w:eastAsia="cs-CZ"/>
        </w:rPr>
        <w:t>ZM o</w:t>
      </w:r>
      <w:r>
        <w:rPr>
          <w:rFonts w:ascii="Times New Roman" w:eastAsia="Calibri" w:hAnsi="Times New Roman"/>
          <w:sz w:val="20"/>
          <w:szCs w:val="20"/>
          <w:lang w:eastAsia="cs-CZ"/>
        </w:rPr>
        <w:t> </w:t>
      </w:r>
      <w:r>
        <w:rPr>
          <w:rFonts w:ascii="Times New Roman" w:eastAsia="Calibri" w:hAnsi="Times New Roman"/>
          <w:sz w:val="20"/>
          <w:szCs w:val="20"/>
          <w:lang w:eastAsia="cs-CZ"/>
        </w:rPr>
        <w:t>min 10</w:t>
      </w:r>
      <w:r w:rsidRPr="003D12CC">
        <w:rPr>
          <w:rFonts w:ascii="Times New Roman" w:eastAsia="Calibri" w:hAnsi="Times New Roman"/>
          <w:sz w:val="20"/>
          <w:szCs w:val="20"/>
          <w:lang w:eastAsia="cs-CZ"/>
        </w:rPr>
        <w:t>%</w:t>
      </w:r>
    </w:p>
    <w:p w:rsidP="003D12CC">
      <w:pPr>
        <w:pStyle w:val="Obyajn"/>
        <w:bidi w:val="0"/>
        <w:ind w:firstLine="0"/>
        <w:rPr>
          <w:rFonts w:ascii="Times New Roman" w:hAnsi="Times New Roman"/>
        </w:rPr>
      </w:pPr>
    </w:p>
  </w:footnote>
  <w:footnote w:id="6">
    <w:p w:rsidP="00B539C6">
      <w:pPr>
        <w:pStyle w:val="FootnoteText"/>
        <w:bidi w:val="0"/>
        <w:ind w:firstLine="0"/>
      </w:pPr>
      <w:r w:rsidRPr="003D12CC" w:rsidR="00862E66">
        <w:rPr>
          <w:rStyle w:val="FootnoteReference"/>
          <w:rFonts w:ascii="Times New Roman" w:hAnsi="Times New Roman"/>
        </w:rPr>
        <w:footnoteRef/>
      </w:r>
      <w:r w:rsidRPr="003D12CC" w:rsidR="00862E66">
        <w:rPr>
          <w:rFonts w:ascii="Times New Roman" w:hAnsi="Times New Roman" w:hint="default"/>
        </w:rPr>
        <w:t xml:space="preserve"> EBITDA ukazovateľ</w:t>
      </w:r>
      <w:r w:rsidRPr="003D12CC" w:rsidR="00862E66">
        <w:rPr>
          <w:rFonts w:ascii="Times New Roman" w:hAnsi="Times New Roman" w:hint="default"/>
        </w:rPr>
        <w:t xml:space="preserve"> = zisk pred ú</w:t>
      </w:r>
      <w:r w:rsidRPr="003D12CC" w:rsidR="00862E66">
        <w:rPr>
          <w:rFonts w:ascii="Times New Roman" w:hAnsi="Times New Roman" w:hint="default"/>
        </w:rPr>
        <w:t>rokmi, zdanení</w:t>
      </w:r>
      <w:r w:rsidRPr="003D12CC" w:rsidR="00862E66">
        <w:rPr>
          <w:rFonts w:ascii="Times New Roman" w:hAnsi="Times New Roman" w:hint="default"/>
        </w:rPr>
        <w:t>m a odpismi</w:t>
      </w:r>
    </w:p>
  </w:footnote>
  <w:footnote w:id="7">
    <w:p w:rsidP="00921DFA">
      <w:pPr>
        <w:pStyle w:val="FootnoteText"/>
        <w:bidi w:val="0"/>
        <w:ind w:firstLine="0"/>
      </w:pPr>
      <w:r w:rsidR="00862E66">
        <w:rPr>
          <w:rStyle w:val="FootnoteReference"/>
        </w:rPr>
        <w:footnoteRef/>
      </w:r>
      <w:r w:rsidR="00862E66">
        <w:t xml:space="preserve"> </w:t>
      </w:r>
      <w:r w:rsidRPr="003D12CC" w:rsidR="00862E66">
        <w:rPr>
          <w:rFonts w:ascii="Times New Roman" w:hAnsi="Times New Roman"/>
          <w:sz w:val="18"/>
          <w:lang w:eastAsia="en-US"/>
        </w:rPr>
        <w:t>Tvorba záväzkov po splatnosti je posunutá oproti zlešpenie EBITDA v čase kvôli viacerým faktorom, ako sú napríklad odpisy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F6C66"/>
    <w:multiLevelType w:val="hybridMultilevel"/>
    <w:tmpl w:val="5B5C645A"/>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A7C402E"/>
    <w:multiLevelType w:val="hybridMultilevel"/>
    <w:tmpl w:val="CEB47DA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nsid w:val="209B0060"/>
    <w:multiLevelType w:val="hybridMultilevel"/>
    <w:tmpl w:val="079C3824"/>
    <w:lvl w:ilvl="0">
      <w:start w:val="1"/>
      <w:numFmt w:val="decimal"/>
      <w:lvlText w:val="%1)"/>
      <w:lvlJc w:val="left"/>
      <w:pPr>
        <w:ind w:left="1429" w:hanging="360"/>
      </w:pPr>
      <w:rPr>
        <w:rFonts w:cs="Times New Roman" w:hint="default"/>
        <w:rtl w:val="0"/>
        <w:cs w:val="0"/>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
    <w:nsid w:val="214E5EFF"/>
    <w:multiLevelType w:val="hybridMultilevel"/>
    <w:tmpl w:val="67489B42"/>
    <w:lvl w:ilvl="0">
      <w:start w:val="1"/>
      <w:numFmt w:val="lowerRoman"/>
      <w:lvlText w:val="%1."/>
      <w:lvlJc w:val="left"/>
      <w:pPr>
        <w:ind w:left="1428" w:hanging="72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48841AF"/>
    <w:multiLevelType w:val="hybridMultilevel"/>
    <w:tmpl w:val="281AC5C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5">
    <w:nsid w:val="254E6278"/>
    <w:multiLevelType w:val="hybridMultilevel"/>
    <w:tmpl w:val="ABEC2280"/>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
    <w:nsid w:val="282540D7"/>
    <w:multiLevelType w:val="hybridMultilevel"/>
    <w:tmpl w:val="8774CDA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28AC7E8A"/>
    <w:multiLevelType w:val="hybridMultilevel"/>
    <w:tmpl w:val="9E10537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
    <w:nsid w:val="36D003A6"/>
    <w:multiLevelType w:val="hybridMultilevel"/>
    <w:tmpl w:val="708AD74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
    <w:nsid w:val="38C52A5A"/>
    <w:multiLevelType w:val="hybridMultilevel"/>
    <w:tmpl w:val="F37C7F8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0">
    <w:nsid w:val="39B75B03"/>
    <w:multiLevelType w:val="hybridMultilevel"/>
    <w:tmpl w:val="AA3AE4DC"/>
    <w:lvl w:ilvl="0">
      <w:start w:val="1"/>
      <w:numFmt w:val="upperRoman"/>
      <w:lvlText w:val="%1."/>
      <w:lvlJc w:val="right"/>
      <w:pPr>
        <w:ind w:left="1429"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1">
    <w:nsid w:val="3A231C28"/>
    <w:multiLevelType w:val="hybridMultilevel"/>
    <w:tmpl w:val="CEA65CC6"/>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2">
    <w:nsid w:val="43C652C3"/>
    <w:multiLevelType w:val="hybridMultilevel"/>
    <w:tmpl w:val="ABEC2280"/>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49F0322E"/>
    <w:multiLevelType w:val="hybridMultilevel"/>
    <w:tmpl w:val="77AC8CB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4">
    <w:nsid w:val="4A124D81"/>
    <w:multiLevelType w:val="hybridMultilevel"/>
    <w:tmpl w:val="16A2C90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5">
    <w:nsid w:val="4BC87A80"/>
    <w:multiLevelType w:val="hybridMultilevel"/>
    <w:tmpl w:val="8FD8C33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6">
    <w:nsid w:val="4C4E7F4C"/>
    <w:multiLevelType w:val="hybridMultilevel"/>
    <w:tmpl w:val="BD248B88"/>
    <w:lvl w:ilvl="0">
      <w:start w:val="1"/>
      <w:numFmt w:val="decimal"/>
      <w:lvlText w:val="%1."/>
      <w:lvlJc w:val="left"/>
      <w:pPr>
        <w:ind w:left="1429" w:hanging="360"/>
      </w:pPr>
      <w:rPr>
        <w:rFonts w:cs="Times New Roman" w:hint="default"/>
        <w:rtl w:val="0"/>
        <w:cs w:val="0"/>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7">
    <w:nsid w:val="52501D07"/>
    <w:multiLevelType w:val="hybridMultilevel"/>
    <w:tmpl w:val="9DCC1740"/>
    <w:lvl w:ilvl="0">
      <w:start w:val="1"/>
      <w:numFmt w:val="lowerLetter"/>
      <w:lvlText w:val="%1)"/>
      <w:lvlJc w:val="left"/>
      <w:pPr>
        <w:ind w:left="1429" w:hanging="360"/>
      </w:pPr>
      <w:rPr>
        <w:rFonts w:cs="Times New Roman" w:hint="default"/>
        <w:rtl w:val="0"/>
        <w:cs w:val="0"/>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8">
    <w:nsid w:val="58E918AF"/>
    <w:multiLevelType w:val="hybridMultilevel"/>
    <w:tmpl w:val="6884F07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9">
    <w:nsid w:val="59AE1E32"/>
    <w:multiLevelType w:val="multilevel"/>
    <w:tmpl w:val="5DA2A7F0"/>
    <w:lvl w:ilvl="0">
      <w:start w:val="1"/>
      <w:numFmt w:val="decimal"/>
      <w:pStyle w:val="Heading1"/>
      <w:lvlText w:val="%1"/>
      <w:lvlJc w:val="left"/>
      <w:pPr>
        <w:ind w:left="432" w:hanging="432"/>
      </w:pPr>
      <w:rPr>
        <w:rFonts w:cs="Times New Roman"/>
        <w:rtl w:val="0"/>
        <w:cs w:val="0"/>
      </w:rPr>
    </w:lvl>
    <w:lvl w:ilvl="1">
      <w:start w:val="1"/>
      <w:numFmt w:val="decimal"/>
      <w:pStyle w:val="Heading2"/>
      <w:lvlText w:val="%1.%2"/>
      <w:lvlJc w:val="left"/>
      <w:pPr>
        <w:ind w:left="576" w:hanging="576"/>
      </w:pPr>
      <w:rPr>
        <w:rFonts w:cs="Times New Roman"/>
        <w:rtl w:val="0"/>
        <w:cs w:val="0"/>
      </w:rPr>
    </w:lvl>
    <w:lvl w:ilvl="2">
      <w:start w:val="1"/>
      <w:numFmt w:val="decimal"/>
      <w:pStyle w:val="Heading3"/>
      <w:lvlText w:val="%1.%2.%3"/>
      <w:lvlJc w:val="left"/>
      <w:pPr>
        <w:ind w:left="720" w:hanging="720"/>
      </w:pPr>
      <w:rPr>
        <w:rFonts w:cs="Times New Roman"/>
        <w:rtl w:val="0"/>
        <w:cs w:val="0"/>
      </w:rPr>
    </w:lvl>
    <w:lvl w:ilvl="3">
      <w:start w:val="1"/>
      <w:numFmt w:val="decimal"/>
      <w:pStyle w:val="Heading4"/>
      <w:lvlText w:val="%1.%2.%3.%4"/>
      <w:lvlJc w:val="left"/>
      <w:pPr>
        <w:ind w:left="864" w:hanging="864"/>
      </w:pPr>
      <w:rPr>
        <w:rFonts w:cs="Times New Roman"/>
        <w:rtl w:val="0"/>
        <w:cs w:val="0"/>
      </w:rPr>
    </w:lvl>
    <w:lvl w:ilvl="4">
      <w:start w:val="1"/>
      <w:numFmt w:val="decimal"/>
      <w:pStyle w:val="Heading5"/>
      <w:lvlText w:val="%1.%2.%3.%4.%5"/>
      <w:lvlJc w:val="left"/>
      <w:pPr>
        <w:ind w:left="1008" w:hanging="1008"/>
      </w:pPr>
      <w:rPr>
        <w:rFonts w:cs="Times New Roman"/>
        <w:rtl w:val="0"/>
        <w:cs w:val="0"/>
      </w:rPr>
    </w:lvl>
    <w:lvl w:ilvl="5">
      <w:start w:val="1"/>
      <w:numFmt w:val="decimal"/>
      <w:pStyle w:val="Heading6"/>
      <w:lvlText w:val="%1.%2.%3.%4.%5.%6"/>
      <w:lvlJc w:val="left"/>
      <w:pPr>
        <w:ind w:left="1152" w:hanging="1152"/>
      </w:pPr>
      <w:rPr>
        <w:rFonts w:cs="Times New Roman"/>
        <w:rtl w:val="0"/>
        <w:cs w:val="0"/>
      </w:rPr>
    </w:lvl>
    <w:lvl w:ilvl="6">
      <w:start w:val="1"/>
      <w:numFmt w:val="decimal"/>
      <w:pStyle w:val="Heading7"/>
      <w:lvlText w:val="%1.%2.%3.%4.%5.%6.%7"/>
      <w:lvlJc w:val="left"/>
      <w:pPr>
        <w:ind w:left="1296" w:hanging="1296"/>
      </w:pPr>
      <w:rPr>
        <w:rFonts w:cs="Times New Roman"/>
        <w:rtl w:val="0"/>
        <w:cs w:val="0"/>
      </w:rPr>
    </w:lvl>
    <w:lvl w:ilvl="7">
      <w:start w:val="1"/>
      <w:numFmt w:val="decimal"/>
      <w:pStyle w:val="Heading8"/>
      <w:lvlText w:val="%1.%2.%3.%4.%5.%6.%7.%8"/>
      <w:lvlJc w:val="left"/>
      <w:pPr>
        <w:ind w:left="1440" w:hanging="1440"/>
      </w:pPr>
      <w:rPr>
        <w:rFonts w:cs="Times New Roman"/>
        <w:rtl w:val="0"/>
        <w:cs w:val="0"/>
      </w:rPr>
    </w:lvl>
    <w:lvl w:ilvl="8">
      <w:start w:val="1"/>
      <w:numFmt w:val="decimal"/>
      <w:pStyle w:val="Heading9"/>
      <w:lvlText w:val="%1.%2.%3.%4.%5.%6.%7.%8.%9"/>
      <w:lvlJc w:val="left"/>
      <w:pPr>
        <w:ind w:left="1584" w:hanging="1584"/>
      </w:pPr>
      <w:rPr>
        <w:rFonts w:cs="Times New Roman"/>
        <w:rtl w:val="0"/>
        <w:cs w:val="0"/>
      </w:rPr>
    </w:lvl>
  </w:abstractNum>
  <w:abstractNum w:abstractNumId="20">
    <w:nsid w:val="68A377F1"/>
    <w:multiLevelType w:val="hybridMultilevel"/>
    <w:tmpl w:val="09AC7CA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1">
    <w:nsid w:val="69773C89"/>
    <w:multiLevelType w:val="hybridMultilevel"/>
    <w:tmpl w:val="C06EDEC8"/>
    <w:lvl w:ilvl="0">
      <w:start w:val="1"/>
      <w:numFmt w:val="upperRoman"/>
      <w:lvlText w:val="(%1)"/>
      <w:lvlJc w:val="right"/>
      <w:pPr>
        <w:ind w:left="720" w:hanging="360"/>
      </w:pPr>
      <w:rPr>
        <w:rFonts w:cs="Times New Roman" w:hint="default"/>
        <w:rtl w:val="0"/>
        <w:cs w:val="0"/>
      </w:rPr>
    </w:lvl>
    <w:lvl w:ilvl="1">
      <w:start w:val="0"/>
      <w:numFmt w:val="bullet"/>
      <w:lvlText w:val="–"/>
      <w:lvlJc w:val="left"/>
      <w:pPr>
        <w:ind w:left="1440" w:hanging="360"/>
      </w:pPr>
      <w:rPr>
        <w:rFonts w:ascii="Times New Roman" w:hAnsi="Times New Roman" w:eastAsiaTheme="minorHAnsi"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E365803"/>
    <w:multiLevelType w:val="hybridMultilevel"/>
    <w:tmpl w:val="49525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ABA002A"/>
    <w:multiLevelType w:val="hybridMultilevel"/>
    <w:tmpl w:val="DCF441A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4">
    <w:nsid w:val="7D975ADF"/>
    <w:multiLevelType w:val="hybridMultilevel"/>
    <w:tmpl w:val="D8F6087A"/>
    <w:lvl w:ilvl="0">
      <w:start w:val="1"/>
      <w:numFmt w:val="decimal"/>
      <w:lvlText w:val="%1."/>
      <w:lvlJc w:val="left"/>
      <w:pPr>
        <w:ind w:left="1429"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0"/>
  </w:num>
  <w:num w:numId="2">
    <w:abstractNumId w:val="3"/>
  </w:num>
  <w:num w:numId="3">
    <w:abstractNumId w:val="15"/>
  </w:num>
  <w:num w:numId="4">
    <w:abstractNumId w:val="9"/>
  </w:num>
  <w:num w:numId="5">
    <w:abstractNumId w:val="20"/>
  </w:num>
  <w:num w:numId="6">
    <w:abstractNumId w:val="14"/>
  </w:num>
  <w:num w:numId="7">
    <w:abstractNumId w:val="23"/>
  </w:num>
  <w:num w:numId="8">
    <w:abstractNumId w:val="7"/>
  </w:num>
  <w:num w:numId="9">
    <w:abstractNumId w:val="4"/>
  </w:num>
  <w:num w:numId="10">
    <w:abstractNumId w:val="1"/>
  </w:num>
  <w:num w:numId="11">
    <w:abstractNumId w:val="19"/>
  </w:num>
  <w:num w:numId="12">
    <w:abstractNumId w:val="17"/>
  </w:num>
  <w:num w:numId="13">
    <w:abstractNumId w:val="18"/>
  </w:num>
  <w:num w:numId="14">
    <w:abstractNumId w:val="16"/>
  </w:num>
  <w:num w:numId="15">
    <w:abstractNumId w:val="8"/>
  </w:num>
  <w:num w:numId="16">
    <w:abstractNumId w:val="2"/>
  </w:num>
  <w:num w:numId="17">
    <w:abstractNumId w:val="5"/>
  </w:num>
  <w:num w:numId="18">
    <w:abstractNumId w:val="12"/>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24"/>
  </w:num>
  <w:num w:numId="27">
    <w:abstractNumId w:val="10"/>
  </w:num>
  <w:num w:numId="28">
    <w:abstractNumId w:val="13"/>
  </w:num>
  <w:num w:numId="29">
    <w:abstractNumId w:val="21"/>
  </w:num>
  <w:num w:numId="30">
    <w:abstractNumId w:val="6"/>
  </w:num>
  <w:num w:numId="31">
    <w:abstractNumId w:val="11"/>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21"/>
  <w:trackRevisions/>
  <w:doNotTrackMoves/>
  <w:defaultTabStop w:val="709"/>
  <w:hyphenationZone w:val="425"/>
  <w:drawingGridHorizontalSpacing w:val="110"/>
  <w:displayHorizontalDrawingGridEvery w:val="2"/>
  <w:displayVerticalDrawingGridEvery w:val="2"/>
  <w:characterSpacingControl w:val="doNotCompress"/>
  <w:footnotePr>
    <w:footnote w:id="0"/>
    <w:footnote w:id="1"/>
  </w:footnotePr>
  <w:compat/>
  <w:rsids>
    <w:rsidRoot w:val="00251D02"/>
    <w:rsid w:val="00001F5C"/>
    <w:rsid w:val="00010867"/>
    <w:rsid w:val="00013319"/>
    <w:rsid w:val="00042225"/>
    <w:rsid w:val="0004721A"/>
    <w:rsid w:val="00060DE2"/>
    <w:rsid w:val="00092D54"/>
    <w:rsid w:val="000C1E49"/>
    <w:rsid w:val="001060A8"/>
    <w:rsid w:val="00122D63"/>
    <w:rsid w:val="00124C77"/>
    <w:rsid w:val="00130765"/>
    <w:rsid w:val="001445EE"/>
    <w:rsid w:val="00145B8A"/>
    <w:rsid w:val="00154367"/>
    <w:rsid w:val="001A06C5"/>
    <w:rsid w:val="001A52D4"/>
    <w:rsid w:val="001B0685"/>
    <w:rsid w:val="001B5BD7"/>
    <w:rsid w:val="001C5492"/>
    <w:rsid w:val="001D4F9B"/>
    <w:rsid w:val="001F5DF0"/>
    <w:rsid w:val="002051D2"/>
    <w:rsid w:val="00235E6C"/>
    <w:rsid w:val="0024218E"/>
    <w:rsid w:val="002515D4"/>
    <w:rsid w:val="00251D02"/>
    <w:rsid w:val="002636F2"/>
    <w:rsid w:val="00270CDF"/>
    <w:rsid w:val="00281E6A"/>
    <w:rsid w:val="002856C0"/>
    <w:rsid w:val="002971BC"/>
    <w:rsid w:val="002A6752"/>
    <w:rsid w:val="002B574F"/>
    <w:rsid w:val="002B738A"/>
    <w:rsid w:val="002D2F72"/>
    <w:rsid w:val="002E7D84"/>
    <w:rsid w:val="002F17AD"/>
    <w:rsid w:val="002F687D"/>
    <w:rsid w:val="003039CA"/>
    <w:rsid w:val="003104F2"/>
    <w:rsid w:val="00311CAA"/>
    <w:rsid w:val="00320AFB"/>
    <w:rsid w:val="00322616"/>
    <w:rsid w:val="00330466"/>
    <w:rsid w:val="00353C74"/>
    <w:rsid w:val="00363856"/>
    <w:rsid w:val="0038222D"/>
    <w:rsid w:val="00395BE8"/>
    <w:rsid w:val="003962A2"/>
    <w:rsid w:val="003A6347"/>
    <w:rsid w:val="003D12CC"/>
    <w:rsid w:val="003F5DC6"/>
    <w:rsid w:val="0041761F"/>
    <w:rsid w:val="00421F3A"/>
    <w:rsid w:val="00431134"/>
    <w:rsid w:val="00433613"/>
    <w:rsid w:val="00443245"/>
    <w:rsid w:val="00443E97"/>
    <w:rsid w:val="00456118"/>
    <w:rsid w:val="00461A19"/>
    <w:rsid w:val="00465573"/>
    <w:rsid w:val="00485DC1"/>
    <w:rsid w:val="004A03BF"/>
    <w:rsid w:val="004A42AD"/>
    <w:rsid w:val="00503A57"/>
    <w:rsid w:val="005241EB"/>
    <w:rsid w:val="00536A57"/>
    <w:rsid w:val="005719B9"/>
    <w:rsid w:val="00582D4F"/>
    <w:rsid w:val="0059034D"/>
    <w:rsid w:val="005C1636"/>
    <w:rsid w:val="005C50E2"/>
    <w:rsid w:val="005C7002"/>
    <w:rsid w:val="005E2001"/>
    <w:rsid w:val="005E46CD"/>
    <w:rsid w:val="005F3653"/>
    <w:rsid w:val="00602529"/>
    <w:rsid w:val="00604BC8"/>
    <w:rsid w:val="006128AB"/>
    <w:rsid w:val="0062168A"/>
    <w:rsid w:val="00627388"/>
    <w:rsid w:val="0063448A"/>
    <w:rsid w:val="00640EA9"/>
    <w:rsid w:val="00641041"/>
    <w:rsid w:val="00642387"/>
    <w:rsid w:val="00646A97"/>
    <w:rsid w:val="0069000D"/>
    <w:rsid w:val="0069385B"/>
    <w:rsid w:val="00694521"/>
    <w:rsid w:val="006B56B6"/>
    <w:rsid w:val="006B5CB4"/>
    <w:rsid w:val="006F6E8E"/>
    <w:rsid w:val="00702FC4"/>
    <w:rsid w:val="007143F3"/>
    <w:rsid w:val="00727D4E"/>
    <w:rsid w:val="00741DB3"/>
    <w:rsid w:val="00761021"/>
    <w:rsid w:val="00761B49"/>
    <w:rsid w:val="00764AB3"/>
    <w:rsid w:val="0076595D"/>
    <w:rsid w:val="00770E7E"/>
    <w:rsid w:val="00774A6E"/>
    <w:rsid w:val="0079175D"/>
    <w:rsid w:val="007930F6"/>
    <w:rsid w:val="007A2D71"/>
    <w:rsid w:val="007A6E70"/>
    <w:rsid w:val="007B0BC6"/>
    <w:rsid w:val="007B2103"/>
    <w:rsid w:val="007B74CC"/>
    <w:rsid w:val="007E3310"/>
    <w:rsid w:val="00804DAF"/>
    <w:rsid w:val="00813741"/>
    <w:rsid w:val="0083533D"/>
    <w:rsid w:val="00837563"/>
    <w:rsid w:val="0085259D"/>
    <w:rsid w:val="00862E66"/>
    <w:rsid w:val="00873AF4"/>
    <w:rsid w:val="008742EC"/>
    <w:rsid w:val="008940E7"/>
    <w:rsid w:val="008C4238"/>
    <w:rsid w:val="008C6DBB"/>
    <w:rsid w:val="008D0F99"/>
    <w:rsid w:val="008E44FF"/>
    <w:rsid w:val="008F5752"/>
    <w:rsid w:val="00905742"/>
    <w:rsid w:val="00921DFA"/>
    <w:rsid w:val="00945CF9"/>
    <w:rsid w:val="00946AAB"/>
    <w:rsid w:val="00950A8E"/>
    <w:rsid w:val="0098175B"/>
    <w:rsid w:val="00994794"/>
    <w:rsid w:val="0099553D"/>
    <w:rsid w:val="009C38DF"/>
    <w:rsid w:val="009D4CED"/>
    <w:rsid w:val="009D7016"/>
    <w:rsid w:val="009D7E0D"/>
    <w:rsid w:val="009E1BA9"/>
    <w:rsid w:val="009F04E6"/>
    <w:rsid w:val="009F12DF"/>
    <w:rsid w:val="00A1734F"/>
    <w:rsid w:val="00A17441"/>
    <w:rsid w:val="00A17CAA"/>
    <w:rsid w:val="00A21095"/>
    <w:rsid w:val="00A30D22"/>
    <w:rsid w:val="00A31366"/>
    <w:rsid w:val="00A45C71"/>
    <w:rsid w:val="00A46A91"/>
    <w:rsid w:val="00A95FD7"/>
    <w:rsid w:val="00AA5E41"/>
    <w:rsid w:val="00AA6B73"/>
    <w:rsid w:val="00AB2D1E"/>
    <w:rsid w:val="00AB5A15"/>
    <w:rsid w:val="00AB5CB6"/>
    <w:rsid w:val="00AD6B50"/>
    <w:rsid w:val="00AD6E3C"/>
    <w:rsid w:val="00AE3D32"/>
    <w:rsid w:val="00B01C65"/>
    <w:rsid w:val="00B22270"/>
    <w:rsid w:val="00B30034"/>
    <w:rsid w:val="00B41DF9"/>
    <w:rsid w:val="00B539C6"/>
    <w:rsid w:val="00B63466"/>
    <w:rsid w:val="00B70C30"/>
    <w:rsid w:val="00B80B43"/>
    <w:rsid w:val="00B85EAD"/>
    <w:rsid w:val="00B8775E"/>
    <w:rsid w:val="00B902B6"/>
    <w:rsid w:val="00B92850"/>
    <w:rsid w:val="00BB7D74"/>
    <w:rsid w:val="00BE10E3"/>
    <w:rsid w:val="00C04A1F"/>
    <w:rsid w:val="00C10177"/>
    <w:rsid w:val="00C122A5"/>
    <w:rsid w:val="00C12C46"/>
    <w:rsid w:val="00C21003"/>
    <w:rsid w:val="00C44F2B"/>
    <w:rsid w:val="00C63C94"/>
    <w:rsid w:val="00C65A9C"/>
    <w:rsid w:val="00C90CD0"/>
    <w:rsid w:val="00C91CB0"/>
    <w:rsid w:val="00CC2F61"/>
    <w:rsid w:val="00CF1BFF"/>
    <w:rsid w:val="00CF1C15"/>
    <w:rsid w:val="00CF2104"/>
    <w:rsid w:val="00CF4C50"/>
    <w:rsid w:val="00D35F54"/>
    <w:rsid w:val="00D419A7"/>
    <w:rsid w:val="00D448C8"/>
    <w:rsid w:val="00D61C63"/>
    <w:rsid w:val="00D714DB"/>
    <w:rsid w:val="00D72F57"/>
    <w:rsid w:val="00D72F59"/>
    <w:rsid w:val="00D80236"/>
    <w:rsid w:val="00DA3BDD"/>
    <w:rsid w:val="00DB21A5"/>
    <w:rsid w:val="00DC6296"/>
    <w:rsid w:val="00DD2FCD"/>
    <w:rsid w:val="00DD6651"/>
    <w:rsid w:val="00DE01E3"/>
    <w:rsid w:val="00E02A2B"/>
    <w:rsid w:val="00E02D0C"/>
    <w:rsid w:val="00E03F1D"/>
    <w:rsid w:val="00E07716"/>
    <w:rsid w:val="00E10C15"/>
    <w:rsid w:val="00E20A7B"/>
    <w:rsid w:val="00E23DC4"/>
    <w:rsid w:val="00E26ECA"/>
    <w:rsid w:val="00E52F16"/>
    <w:rsid w:val="00E83C6A"/>
    <w:rsid w:val="00E941F2"/>
    <w:rsid w:val="00EA360F"/>
    <w:rsid w:val="00EA664A"/>
    <w:rsid w:val="00EB1BB1"/>
    <w:rsid w:val="00EB26A7"/>
    <w:rsid w:val="00EC3C80"/>
    <w:rsid w:val="00EC59F2"/>
    <w:rsid w:val="00EF2A8D"/>
    <w:rsid w:val="00EF537B"/>
    <w:rsid w:val="00F768DC"/>
    <w:rsid w:val="00F86566"/>
    <w:rsid w:val="00FA3CF2"/>
    <w:rsid w:val="00FB4D20"/>
    <w:rsid w:val="00FC7BDB"/>
    <w:rsid w:val="00FD5E83"/>
    <w:rsid w:val="00FE612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37B"/>
    <w:pPr>
      <w:framePr w:wrap="auto"/>
      <w:widowControl/>
      <w:autoSpaceDE/>
      <w:autoSpaceDN/>
      <w:adjustRightInd/>
      <w:spacing w:line="259" w:lineRule="auto"/>
      <w:ind w:left="0" w:right="0" w:firstLine="708"/>
      <w:jc w:val="both"/>
      <w:textAlignment w:val="auto"/>
    </w:pPr>
    <w:rPr>
      <w:rFonts w:cs="Times New Roman"/>
      <w:iCs/>
      <w:sz w:val="22"/>
      <w:szCs w:val="20"/>
      <w:rtl w:val="0"/>
      <w:cs w:val="0"/>
      <w:lang w:val="sk-SK" w:eastAsia="en-US" w:bidi="ar-SA"/>
    </w:rPr>
  </w:style>
  <w:style w:type="paragraph" w:styleId="Heading1">
    <w:name w:val="heading 1"/>
    <w:basedOn w:val="Normal"/>
    <w:next w:val="Normal"/>
    <w:link w:val="Nadpis1Char"/>
    <w:uiPriority w:val="9"/>
    <w:qFormat/>
    <w:rsid w:val="00EF537B"/>
    <w:pPr>
      <w:keepNext/>
      <w:keepLines/>
      <w:numPr>
        <w:numId w:val="11"/>
      </w:numPr>
      <w:spacing w:before="240"/>
      <w:ind w:left="432" w:hanging="432"/>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Nadpis2Char"/>
    <w:uiPriority w:val="9"/>
    <w:unhideWhenUsed/>
    <w:qFormat/>
    <w:rsid w:val="00EF537B"/>
    <w:pPr>
      <w:keepNext/>
      <w:keepLines/>
      <w:numPr>
        <w:ilvl w:val="1"/>
        <w:numId w:val="11"/>
      </w:numPr>
      <w:spacing w:before="40"/>
      <w:ind w:left="576" w:hanging="576"/>
      <w:jc w:val="both"/>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Nadpis3Char"/>
    <w:uiPriority w:val="9"/>
    <w:unhideWhenUsed/>
    <w:qFormat/>
    <w:rsid w:val="00EF537B"/>
    <w:pPr>
      <w:keepNext/>
      <w:keepLines/>
      <w:numPr>
        <w:ilvl w:val="2"/>
        <w:numId w:val="11"/>
      </w:numPr>
      <w:spacing w:before="40"/>
      <w:ind w:left="720" w:hanging="720"/>
      <w:jc w:val="both"/>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Nadpis4Char"/>
    <w:uiPriority w:val="9"/>
    <w:semiHidden/>
    <w:unhideWhenUsed/>
    <w:qFormat/>
    <w:rsid w:val="00EF537B"/>
    <w:pPr>
      <w:keepNext/>
      <w:keepLines/>
      <w:numPr>
        <w:ilvl w:val="3"/>
        <w:numId w:val="11"/>
      </w:numPr>
      <w:spacing w:before="40"/>
      <w:ind w:left="864" w:hanging="864"/>
      <w:jc w:val="both"/>
      <w:outlineLvl w:val="3"/>
    </w:pPr>
    <w:rPr>
      <w:rFonts w:asciiTheme="majorHAnsi" w:eastAsiaTheme="majorEastAsia" w:hAnsiTheme="majorHAnsi" w:cstheme="majorBidi"/>
      <w:i/>
      <w:iCs w:val="0"/>
      <w:color w:val="365F91" w:themeColor="accent1" w:themeShade="BF"/>
    </w:rPr>
  </w:style>
  <w:style w:type="paragraph" w:styleId="Heading5">
    <w:name w:val="heading 5"/>
    <w:basedOn w:val="Normal"/>
    <w:next w:val="Normal"/>
    <w:link w:val="Nadpis5Char"/>
    <w:uiPriority w:val="9"/>
    <w:semiHidden/>
    <w:unhideWhenUsed/>
    <w:qFormat/>
    <w:rsid w:val="00EF537B"/>
    <w:pPr>
      <w:keepNext/>
      <w:keepLines/>
      <w:numPr>
        <w:ilvl w:val="4"/>
        <w:numId w:val="11"/>
      </w:numPr>
      <w:spacing w:before="40"/>
      <w:ind w:left="1008" w:hanging="1008"/>
      <w:jc w:val="both"/>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Nadpis6Char"/>
    <w:uiPriority w:val="9"/>
    <w:semiHidden/>
    <w:unhideWhenUsed/>
    <w:qFormat/>
    <w:rsid w:val="00EF537B"/>
    <w:pPr>
      <w:keepNext/>
      <w:keepLines/>
      <w:numPr>
        <w:ilvl w:val="5"/>
        <w:numId w:val="11"/>
      </w:numPr>
      <w:spacing w:before="40"/>
      <w:ind w:left="1152" w:hanging="1152"/>
      <w:jc w:val="both"/>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Nadpis7Char"/>
    <w:uiPriority w:val="9"/>
    <w:semiHidden/>
    <w:unhideWhenUsed/>
    <w:qFormat/>
    <w:rsid w:val="00EF537B"/>
    <w:pPr>
      <w:keepNext/>
      <w:keepLines/>
      <w:numPr>
        <w:ilvl w:val="6"/>
        <w:numId w:val="11"/>
      </w:numPr>
      <w:spacing w:before="40"/>
      <w:ind w:left="1296" w:hanging="1296"/>
      <w:jc w:val="both"/>
      <w:outlineLvl w:val="6"/>
    </w:pPr>
    <w:rPr>
      <w:rFonts w:asciiTheme="majorHAnsi" w:eastAsiaTheme="majorEastAsia" w:hAnsiTheme="majorHAnsi" w:cstheme="majorBidi"/>
      <w:i/>
      <w:iCs w:val="0"/>
      <w:color w:val="243F60" w:themeColor="accent1" w:themeShade="7F"/>
    </w:rPr>
  </w:style>
  <w:style w:type="paragraph" w:styleId="Heading8">
    <w:name w:val="heading 8"/>
    <w:basedOn w:val="Normal"/>
    <w:next w:val="Normal"/>
    <w:link w:val="Nadpis8Char"/>
    <w:uiPriority w:val="9"/>
    <w:semiHidden/>
    <w:unhideWhenUsed/>
    <w:qFormat/>
    <w:rsid w:val="00EF537B"/>
    <w:pPr>
      <w:keepNext/>
      <w:keepLines/>
      <w:numPr>
        <w:ilvl w:val="7"/>
        <w:numId w:val="11"/>
      </w:numPr>
      <w:spacing w:before="40"/>
      <w:ind w:left="1440" w:hanging="1440"/>
      <w:jc w:val="both"/>
      <w:outlineLvl w:val="7"/>
    </w:pPr>
    <w:rPr>
      <w:rFonts w:asciiTheme="majorHAnsi" w:eastAsiaTheme="majorEastAsia" w:hAnsiTheme="majorHAnsi" w:cstheme="majorBidi"/>
      <w:color w:val="272727" w:themeColor="tx1" w:themeShade="FF" w:themeTint="D8"/>
      <w:sz w:val="21"/>
      <w:szCs w:val="21"/>
    </w:rPr>
  </w:style>
  <w:style w:type="paragraph" w:styleId="Heading9">
    <w:name w:val="heading 9"/>
    <w:basedOn w:val="Normal"/>
    <w:next w:val="Normal"/>
    <w:link w:val="Nadpis9Char"/>
    <w:uiPriority w:val="9"/>
    <w:semiHidden/>
    <w:unhideWhenUsed/>
    <w:qFormat/>
    <w:rsid w:val="00EF537B"/>
    <w:pPr>
      <w:keepNext/>
      <w:keepLines/>
      <w:numPr>
        <w:ilvl w:val="8"/>
        <w:numId w:val="11"/>
      </w:numPr>
      <w:spacing w:before="40"/>
      <w:ind w:left="1584" w:hanging="1584"/>
      <w:jc w:val="both"/>
      <w:outlineLvl w:val="8"/>
    </w:pPr>
    <w:rPr>
      <w:rFonts w:asciiTheme="majorHAnsi" w:eastAsiaTheme="majorEastAsia" w:hAnsiTheme="majorHAnsi" w:cstheme="majorBidi"/>
      <w:i/>
      <w:iCs w:val="0"/>
      <w:color w:val="272727" w:themeColor="tx1" w:themeShade="FF"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251D02"/>
    <w:pPr>
      <w:ind w:left="720"/>
      <w:contextualSpacing/>
      <w:jc w:val="both"/>
    </w:pPr>
  </w:style>
  <w:style w:type="paragraph" w:styleId="Footer">
    <w:name w:val="footer"/>
    <w:basedOn w:val="Normal"/>
    <w:link w:val="PtaChar"/>
    <w:uiPriority w:val="99"/>
    <w:unhideWhenUsed/>
    <w:rsid w:val="00251D02"/>
    <w:pPr>
      <w:tabs>
        <w:tab w:val="center" w:pos="4536"/>
        <w:tab w:val="right" w:pos="9072"/>
      </w:tabs>
      <w:spacing w:line="240" w:lineRule="auto"/>
      <w:jc w:val="both"/>
    </w:pPr>
  </w:style>
  <w:style w:type="character" w:customStyle="1" w:styleId="PtaChar">
    <w:name w:val="Päta Char"/>
    <w:basedOn w:val="DefaultParagraphFont"/>
    <w:link w:val="Footer"/>
    <w:uiPriority w:val="99"/>
    <w:locked/>
    <w:rsid w:val="00251D02"/>
    <w:rPr>
      <w:rFonts w:ascii="Calibri" w:hAnsi="Calibri" w:cs="Times New Roman"/>
      <w:rtl w:val="0"/>
      <w:cs w:val="0"/>
    </w:rPr>
  </w:style>
  <w:style w:type="paragraph" w:customStyle="1" w:styleId="Obyajn">
    <w:name w:val="Obyčajný"/>
    <w:basedOn w:val="Normal"/>
    <w:qFormat/>
    <w:rsid w:val="00C122A5"/>
    <w:pPr>
      <w:spacing w:after="120" w:line="264" w:lineRule="auto"/>
      <w:ind w:firstLine="709"/>
      <w:jc w:val="both"/>
    </w:pPr>
    <w:rPr>
      <w:szCs w:val="24"/>
      <w:lang w:eastAsia="sk-SK"/>
    </w:rPr>
  </w:style>
  <w:style w:type="character" w:styleId="CommentReference">
    <w:name w:val="annotation reference"/>
    <w:uiPriority w:val="99"/>
    <w:semiHidden/>
    <w:unhideWhenUsed/>
    <w:rsid w:val="00013319"/>
    <w:rPr>
      <w:sz w:val="16"/>
    </w:rPr>
  </w:style>
  <w:style w:type="paragraph" w:styleId="CommentText">
    <w:name w:val="annotation text"/>
    <w:basedOn w:val="Normal"/>
    <w:link w:val="TextkomentraChar"/>
    <w:uiPriority w:val="99"/>
    <w:unhideWhenUsed/>
    <w:rsid w:val="00013319"/>
    <w:pPr>
      <w:spacing w:line="240" w:lineRule="auto"/>
      <w:jc w:val="left"/>
    </w:pPr>
    <w:rPr>
      <w:rFonts w:ascii="Arial" w:eastAsia="Calibri" w:hAnsi="Arial"/>
      <w:sz w:val="20"/>
      <w:lang w:eastAsia="cs-CZ"/>
    </w:rPr>
  </w:style>
  <w:style w:type="character" w:customStyle="1" w:styleId="TextkomentraChar">
    <w:name w:val="Text komentára Char"/>
    <w:basedOn w:val="DefaultParagraphFont"/>
    <w:link w:val="CommentText"/>
    <w:uiPriority w:val="99"/>
    <w:locked/>
    <w:rsid w:val="00013319"/>
    <w:rPr>
      <w:rFonts w:ascii="Arial" w:eastAsia="Calibri" w:hAnsi="Arial" w:cs="Times New Roman"/>
      <w:sz w:val="20"/>
      <w:szCs w:val="20"/>
      <w:rtl w:val="0"/>
      <w:cs w:val="0"/>
      <w:lang w:val="x-none" w:eastAsia="cs-CZ"/>
    </w:rPr>
  </w:style>
  <w:style w:type="paragraph" w:styleId="FootnoteText">
    <w:name w:val="footnote text"/>
    <w:basedOn w:val="Normal"/>
    <w:link w:val="TextpoznmkypodiarouChar"/>
    <w:uiPriority w:val="99"/>
    <w:unhideWhenUsed/>
    <w:rsid w:val="00013319"/>
    <w:pPr>
      <w:spacing w:line="240" w:lineRule="auto"/>
      <w:jc w:val="left"/>
    </w:pPr>
    <w:rPr>
      <w:rFonts w:ascii="Arial" w:eastAsia="Calibri" w:hAnsi="Arial"/>
      <w:sz w:val="20"/>
      <w:lang w:eastAsia="cs-CZ"/>
    </w:rPr>
  </w:style>
  <w:style w:type="character" w:customStyle="1" w:styleId="TextpoznmkypodiarouChar">
    <w:name w:val="Text poznámky pod čiarou Char"/>
    <w:basedOn w:val="DefaultParagraphFont"/>
    <w:link w:val="FootnoteText"/>
    <w:uiPriority w:val="99"/>
    <w:locked/>
    <w:rsid w:val="00013319"/>
    <w:rPr>
      <w:rFonts w:ascii="Arial" w:eastAsia="Calibri" w:hAnsi="Arial" w:cs="Times New Roman"/>
      <w:sz w:val="20"/>
      <w:szCs w:val="20"/>
      <w:rtl w:val="0"/>
      <w:cs w:val="0"/>
      <w:lang w:val="x-none" w:eastAsia="cs-CZ"/>
    </w:rPr>
  </w:style>
  <w:style w:type="character" w:styleId="FootnoteReference">
    <w:name w:val="footnote reference"/>
    <w:uiPriority w:val="99"/>
    <w:semiHidden/>
    <w:unhideWhenUsed/>
    <w:rsid w:val="00013319"/>
    <w:rPr>
      <w:vertAlign w:val="superscript"/>
    </w:rPr>
  </w:style>
  <w:style w:type="paragraph" w:styleId="NormalWeb">
    <w:name w:val="Normal (Web)"/>
    <w:basedOn w:val="Normal"/>
    <w:uiPriority w:val="99"/>
    <w:unhideWhenUsed/>
    <w:rsid w:val="00013319"/>
    <w:pPr>
      <w:spacing w:before="100" w:beforeAutospacing="1" w:after="100" w:afterAutospacing="1" w:line="240" w:lineRule="auto"/>
      <w:jc w:val="left"/>
    </w:pPr>
    <w:rPr>
      <w:sz w:val="24"/>
      <w:szCs w:val="24"/>
      <w:lang w:eastAsia="sk-SK"/>
    </w:rPr>
  </w:style>
  <w:style w:type="paragraph" w:styleId="BalloonText">
    <w:name w:val="Balloon Text"/>
    <w:basedOn w:val="Normal"/>
    <w:link w:val="TextbublinyChar"/>
    <w:uiPriority w:val="99"/>
    <w:semiHidden/>
    <w:unhideWhenUsed/>
    <w:rsid w:val="00013319"/>
    <w:pPr>
      <w:spacing w:line="240" w:lineRule="auto"/>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13319"/>
    <w:rPr>
      <w:rFonts w:ascii="Tahoma" w:hAnsi="Tahoma" w:cs="Tahoma"/>
      <w:sz w:val="16"/>
      <w:szCs w:val="16"/>
      <w:rtl w:val="0"/>
      <w:cs w:val="0"/>
    </w:rPr>
  </w:style>
  <w:style w:type="character" w:customStyle="1" w:styleId="Nadpis1Char">
    <w:name w:val="Nadpis 1 Char"/>
    <w:basedOn w:val="DefaultParagraphFont"/>
    <w:link w:val="Heading1"/>
    <w:uiPriority w:val="9"/>
    <w:locked/>
    <w:rsid w:val="00EF537B"/>
    <w:rPr>
      <w:rFonts w:asciiTheme="majorHAnsi" w:eastAsiaTheme="majorEastAsia" w:hAnsiTheme="majorHAnsi" w:cstheme="majorBidi"/>
      <w:iCs/>
      <w:color w:val="365F91" w:themeColor="accent1" w:themeShade="BF"/>
      <w:sz w:val="32"/>
      <w:szCs w:val="32"/>
      <w:rtl w:val="0"/>
      <w:cs w:val="0"/>
    </w:rPr>
  </w:style>
  <w:style w:type="character" w:customStyle="1" w:styleId="Nadpis2Char">
    <w:name w:val="Nadpis 2 Char"/>
    <w:basedOn w:val="DefaultParagraphFont"/>
    <w:link w:val="Heading2"/>
    <w:uiPriority w:val="9"/>
    <w:locked/>
    <w:rsid w:val="00EF537B"/>
    <w:rPr>
      <w:rFonts w:asciiTheme="majorHAnsi" w:eastAsiaTheme="majorEastAsia" w:hAnsiTheme="majorHAnsi" w:cstheme="majorBidi"/>
      <w:iCs/>
      <w:color w:val="365F91" w:themeColor="accent1" w:themeShade="BF"/>
      <w:sz w:val="26"/>
      <w:szCs w:val="26"/>
      <w:rtl w:val="0"/>
      <w:cs w:val="0"/>
    </w:rPr>
  </w:style>
  <w:style w:type="character" w:customStyle="1" w:styleId="Nadpis3Char">
    <w:name w:val="Nadpis 3 Char"/>
    <w:basedOn w:val="DefaultParagraphFont"/>
    <w:link w:val="Heading3"/>
    <w:uiPriority w:val="9"/>
    <w:locked/>
    <w:rsid w:val="00EF537B"/>
    <w:rPr>
      <w:rFonts w:asciiTheme="majorHAnsi" w:eastAsiaTheme="majorEastAsia" w:hAnsiTheme="majorHAnsi" w:cstheme="majorBidi"/>
      <w:iCs/>
      <w:color w:val="243F60" w:themeColor="accent1" w:themeShade="7F"/>
      <w:sz w:val="24"/>
      <w:szCs w:val="24"/>
      <w:rtl w:val="0"/>
      <w:cs w:val="0"/>
    </w:rPr>
  </w:style>
  <w:style w:type="character" w:customStyle="1" w:styleId="Nadpis4Char">
    <w:name w:val="Nadpis 4 Char"/>
    <w:basedOn w:val="DefaultParagraphFont"/>
    <w:link w:val="Heading4"/>
    <w:uiPriority w:val="9"/>
    <w:semiHidden/>
    <w:locked/>
    <w:rsid w:val="00EF537B"/>
    <w:rPr>
      <w:rFonts w:asciiTheme="majorHAnsi" w:eastAsiaTheme="majorEastAsia" w:hAnsiTheme="majorHAnsi" w:cstheme="majorBidi"/>
      <w:i/>
      <w:color w:val="365F91" w:themeColor="accent1" w:themeShade="BF"/>
      <w:sz w:val="20"/>
      <w:szCs w:val="20"/>
      <w:rtl w:val="0"/>
      <w:cs w:val="0"/>
    </w:rPr>
  </w:style>
  <w:style w:type="character" w:customStyle="1" w:styleId="Nadpis5Char">
    <w:name w:val="Nadpis 5 Char"/>
    <w:basedOn w:val="DefaultParagraphFont"/>
    <w:link w:val="Heading5"/>
    <w:uiPriority w:val="9"/>
    <w:semiHidden/>
    <w:locked/>
    <w:rsid w:val="00EF537B"/>
    <w:rPr>
      <w:rFonts w:asciiTheme="majorHAnsi" w:eastAsiaTheme="majorEastAsia" w:hAnsiTheme="majorHAnsi" w:cstheme="majorBidi"/>
      <w:iCs/>
      <w:color w:val="365F91" w:themeColor="accent1" w:themeShade="BF"/>
      <w:sz w:val="20"/>
      <w:szCs w:val="20"/>
      <w:rtl w:val="0"/>
      <w:cs w:val="0"/>
    </w:rPr>
  </w:style>
  <w:style w:type="character" w:customStyle="1" w:styleId="Nadpis6Char">
    <w:name w:val="Nadpis 6 Char"/>
    <w:basedOn w:val="DefaultParagraphFont"/>
    <w:link w:val="Heading6"/>
    <w:uiPriority w:val="9"/>
    <w:semiHidden/>
    <w:locked/>
    <w:rsid w:val="00EF537B"/>
    <w:rPr>
      <w:rFonts w:asciiTheme="majorHAnsi" w:eastAsiaTheme="majorEastAsia" w:hAnsiTheme="majorHAnsi" w:cstheme="majorBidi"/>
      <w:iCs/>
      <w:color w:val="243F60" w:themeColor="accent1" w:themeShade="7F"/>
      <w:sz w:val="20"/>
      <w:szCs w:val="20"/>
      <w:rtl w:val="0"/>
      <w:cs w:val="0"/>
    </w:rPr>
  </w:style>
  <w:style w:type="character" w:customStyle="1" w:styleId="Nadpis7Char">
    <w:name w:val="Nadpis 7 Char"/>
    <w:basedOn w:val="DefaultParagraphFont"/>
    <w:link w:val="Heading7"/>
    <w:uiPriority w:val="9"/>
    <w:semiHidden/>
    <w:locked/>
    <w:rsid w:val="00EF537B"/>
    <w:rPr>
      <w:rFonts w:asciiTheme="majorHAnsi" w:eastAsiaTheme="majorEastAsia" w:hAnsiTheme="majorHAnsi" w:cstheme="majorBidi"/>
      <w:i/>
      <w:color w:val="243F60" w:themeColor="accent1" w:themeShade="7F"/>
      <w:sz w:val="20"/>
      <w:szCs w:val="20"/>
      <w:rtl w:val="0"/>
      <w:cs w:val="0"/>
    </w:rPr>
  </w:style>
  <w:style w:type="character" w:customStyle="1" w:styleId="Nadpis8Char">
    <w:name w:val="Nadpis 8 Char"/>
    <w:basedOn w:val="DefaultParagraphFont"/>
    <w:link w:val="Heading8"/>
    <w:uiPriority w:val="9"/>
    <w:semiHidden/>
    <w:locked/>
    <w:rsid w:val="00EF537B"/>
    <w:rPr>
      <w:rFonts w:asciiTheme="majorHAnsi" w:eastAsiaTheme="majorEastAsia" w:hAnsiTheme="majorHAnsi" w:cstheme="majorBidi"/>
      <w:iCs/>
      <w:color w:val="272727" w:themeColor="tx1" w:themeShade="FF" w:themeTint="D8"/>
      <w:sz w:val="21"/>
      <w:szCs w:val="21"/>
      <w:rtl w:val="0"/>
      <w:cs w:val="0"/>
    </w:rPr>
  </w:style>
  <w:style w:type="character" w:customStyle="1" w:styleId="Nadpis9Char">
    <w:name w:val="Nadpis 9 Char"/>
    <w:basedOn w:val="DefaultParagraphFont"/>
    <w:link w:val="Heading9"/>
    <w:uiPriority w:val="9"/>
    <w:semiHidden/>
    <w:locked/>
    <w:rsid w:val="00EF537B"/>
    <w:rPr>
      <w:rFonts w:asciiTheme="majorHAnsi" w:eastAsiaTheme="majorEastAsia" w:hAnsiTheme="majorHAnsi" w:cstheme="majorBidi"/>
      <w:i/>
      <w:color w:val="272727" w:themeColor="tx1" w:themeShade="FF" w:themeTint="D8"/>
      <w:sz w:val="21"/>
      <w:szCs w:val="21"/>
      <w:rtl w:val="0"/>
      <w:cs w:val="0"/>
    </w:rPr>
  </w:style>
  <w:style w:type="table" w:styleId="TableGrid">
    <w:name w:val="Table Grid"/>
    <w:basedOn w:val="TableNormal"/>
    <w:uiPriority w:val="59"/>
    <w:rsid w:val="00791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NzovChar"/>
    <w:uiPriority w:val="10"/>
    <w:qFormat/>
    <w:rsid w:val="0004721A"/>
    <w:pPr>
      <w:spacing w:line="240" w:lineRule="auto"/>
      <w:contextualSpacing/>
      <w:jc w:val="both"/>
    </w:pPr>
    <w:rPr>
      <w:rFonts w:asciiTheme="majorHAnsi" w:eastAsiaTheme="majorEastAsia" w:hAnsiTheme="majorHAnsi" w:cstheme="majorBidi"/>
      <w:spacing w:val="-10"/>
      <w:kern w:val="28"/>
      <w:sz w:val="56"/>
      <w:szCs w:val="56"/>
    </w:rPr>
  </w:style>
  <w:style w:type="character" w:customStyle="1" w:styleId="NzovChar">
    <w:name w:val="Názov Char"/>
    <w:basedOn w:val="DefaultParagraphFont"/>
    <w:link w:val="Title"/>
    <w:uiPriority w:val="10"/>
    <w:locked/>
    <w:rsid w:val="0004721A"/>
    <w:rPr>
      <w:rFonts w:asciiTheme="majorHAnsi" w:eastAsiaTheme="majorEastAsia" w:hAnsiTheme="majorHAnsi" w:cstheme="majorBidi"/>
      <w:iCs/>
      <w:spacing w:val="-10"/>
      <w:kern w:val="28"/>
      <w:sz w:val="56"/>
      <w:szCs w:val="56"/>
      <w:rtl w:val="0"/>
      <w:cs w:val="0"/>
    </w:rPr>
  </w:style>
  <w:style w:type="paragraph" w:styleId="Header">
    <w:name w:val="header"/>
    <w:basedOn w:val="Normal"/>
    <w:link w:val="HlavikaChar"/>
    <w:uiPriority w:val="99"/>
    <w:unhideWhenUsed/>
    <w:rsid w:val="00C122A5"/>
    <w:pPr>
      <w:tabs>
        <w:tab w:val="center" w:pos="4536"/>
        <w:tab w:val="right" w:pos="9072"/>
      </w:tabs>
      <w:spacing w:line="240" w:lineRule="auto"/>
      <w:jc w:val="both"/>
    </w:pPr>
  </w:style>
  <w:style w:type="character" w:customStyle="1" w:styleId="HlavikaChar">
    <w:name w:val="Hlavička Char"/>
    <w:basedOn w:val="DefaultParagraphFont"/>
    <w:link w:val="Header"/>
    <w:uiPriority w:val="99"/>
    <w:locked/>
    <w:rsid w:val="00C122A5"/>
    <w:rPr>
      <w:rFonts w:ascii="Times New Roman" w:hAnsi="Times New Roman" w:cs="Times New Roman"/>
      <w:iCs/>
      <w:sz w:val="20"/>
      <w:szCs w:val="20"/>
      <w:rtl w:val="0"/>
      <w:cs w:val="0"/>
    </w:rPr>
  </w:style>
  <w:style w:type="paragraph" w:styleId="CommentSubject">
    <w:name w:val="annotation subject"/>
    <w:basedOn w:val="CommentText"/>
    <w:next w:val="CommentText"/>
    <w:link w:val="PredmetkomentraChar"/>
    <w:uiPriority w:val="99"/>
    <w:semiHidden/>
    <w:unhideWhenUsed/>
    <w:rsid w:val="00E10C15"/>
    <w:pPr>
      <w:spacing w:line="240" w:lineRule="auto"/>
      <w:jc w:val="both"/>
    </w:pPr>
    <w:rPr>
      <w:rFonts w:ascii="Times New Roman" w:eastAsia="Times New Roman" w:hAnsi="Times New Roman"/>
      <w:b/>
      <w:bCs/>
      <w:lang w:eastAsia="en-US"/>
    </w:rPr>
  </w:style>
  <w:style w:type="character" w:customStyle="1" w:styleId="PredmetkomentraChar">
    <w:name w:val="Predmet komentára Char"/>
    <w:basedOn w:val="TextkomentraChar"/>
    <w:link w:val="CommentSubject"/>
    <w:uiPriority w:val="99"/>
    <w:semiHidden/>
    <w:locked/>
    <w:rsid w:val="00E10C15"/>
    <w:rPr>
      <w:rFonts w:ascii="Times New Roman" w:hAnsi="Times New Roman"/>
      <w:b/>
      <w:bCs/>
      <w:iCs/>
    </w:rPr>
  </w:style>
  <w:style w:type="paragraph" w:styleId="Revision">
    <w:name w:val="Revision"/>
    <w:hidden/>
    <w:uiPriority w:val="99"/>
    <w:semiHidden/>
    <w:rsid w:val="00281E6A"/>
    <w:pPr>
      <w:framePr w:wrap="auto"/>
      <w:widowControl/>
      <w:autoSpaceDE/>
      <w:autoSpaceDN/>
      <w:adjustRightInd/>
      <w:ind w:left="0" w:right="0"/>
      <w:jc w:val="left"/>
      <w:textAlignment w:val="auto"/>
    </w:pPr>
    <w:rPr>
      <w:rFonts w:cs="Times New Roman"/>
      <w:iCs/>
      <w:sz w:val="22"/>
      <w:szCs w:val="20"/>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footer" Target="footer1.xml"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F95F539-9BA7-4DA0-82FA-EEBD9A882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34FB9A-6EAB-44F4-ABE9-C704A743140C}">
  <ds:schemaRefs>
    <ds:schemaRef ds:uri="http://schemas.openxmlformats.org/officeDocument/2006/bibliography"/>
  </ds:schemaRefs>
</ds:datastoreItem>
</file>

<file path=customXml/itemProps3.xml><?xml version="1.0" encoding="utf-8"?>
<ds:datastoreItem xmlns:ds="http://schemas.openxmlformats.org/officeDocument/2006/customXml" ds:itemID="{27D3EDE2-8A7D-4B14-AF59-854514369A56}">
  <ds:schemaRefs>
    <ds:schemaRef ds:uri="http://schemas.microsoft.com/sharepoint/v3/contenttype/forms"/>
  </ds:schemaRefs>
</ds:datastoreItem>
</file>

<file path=customXml/itemProps4.xml><?xml version="1.0" encoding="utf-8"?>
<ds:datastoreItem xmlns:ds="http://schemas.openxmlformats.org/officeDocument/2006/customXml" ds:itemID="{B922EFF8-16D3-4FD6-AE86-8916351CC88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otalTime>1</TotalTime>
  <Pages>22</Pages>
  <Words>6795</Words>
  <Characters>38733</Characters>
  <Application>Microsoft Office Word</Application>
  <DocSecurity>0</DocSecurity>
  <Lines>0</Lines>
  <Paragraphs>0</Paragraphs>
  <ScaleCrop>false</ScaleCrop>
  <Company>MZ SR</Company>
  <LinksUpToDate>false</LinksUpToDate>
  <CharactersWithSpaces>45438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Drucker</dc:creator>
  <cp:lastModifiedBy>Gašparíková, Jarmila</cp:lastModifiedBy>
  <cp:revision>2</cp:revision>
  <dcterms:created xsi:type="dcterms:W3CDTF">2017-11-06T14:01:00Z</dcterms:created>
  <dcterms:modified xsi:type="dcterms:W3CDTF">2017-11-06T14:01:00Z</dcterms:modified>
</cp:coreProperties>
</file>