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02539" w:rsidRPr="00D467C0" w:rsidP="008B26F6">
      <w:pPr>
        <w:bidi w:val="0"/>
        <w:jc w:val="center"/>
        <w:rPr>
          <w:rFonts w:ascii="Times New Roman" w:hAnsi="Times New Roman"/>
          <w:b/>
        </w:rPr>
      </w:pPr>
      <w:r w:rsidRPr="00D467C0">
        <w:rPr>
          <w:rFonts w:ascii="Times New Roman" w:hAnsi="Times New Roman"/>
          <w:b/>
        </w:rPr>
        <w:t>Predkladacia správa</w:t>
      </w:r>
    </w:p>
    <w:p w:rsidR="00653CAB" w:rsidRPr="00791B91" w:rsidP="00653CAB">
      <w:pPr>
        <w:bidi w:val="0"/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791B91">
        <w:rPr>
          <w:rFonts w:ascii="Times New Roman" w:hAnsi="Times New Roman"/>
          <w:szCs w:val="24"/>
        </w:rPr>
        <w:t>Návrh rozpočtu Sociálnej poisťovne na rok 201</w:t>
      </w:r>
      <w:r w:rsidR="0013488D">
        <w:rPr>
          <w:rFonts w:ascii="Times New Roman" w:hAnsi="Times New Roman"/>
          <w:szCs w:val="24"/>
        </w:rPr>
        <w:t>8</w:t>
      </w:r>
      <w:r w:rsidRPr="00791B91">
        <w:rPr>
          <w:rFonts w:ascii="Times New Roman" w:hAnsi="Times New Roman"/>
          <w:szCs w:val="24"/>
        </w:rPr>
        <w:t xml:space="preserve"> a rozpočtový výhľad na roky 20</w:t>
      </w:r>
      <w:r w:rsidR="0013488D">
        <w:rPr>
          <w:rFonts w:ascii="Times New Roman" w:hAnsi="Times New Roman"/>
          <w:szCs w:val="24"/>
        </w:rPr>
        <w:t xml:space="preserve">19 </w:t>
      </w:r>
      <w:r w:rsidRPr="00791B91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 </w:t>
      </w:r>
      <w:r w:rsidRPr="00791B91">
        <w:rPr>
          <w:rFonts w:ascii="Times New Roman" w:hAnsi="Times New Roman"/>
          <w:szCs w:val="24"/>
        </w:rPr>
        <w:t>20</w:t>
      </w:r>
      <w:r w:rsidR="0013488D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 xml:space="preserve"> (ďalej len „návrh rozpočtu na rok 2018“) </w:t>
      </w:r>
      <w:r w:rsidRPr="00791B91">
        <w:rPr>
          <w:rFonts w:ascii="Times New Roman" w:hAnsi="Times New Roman"/>
          <w:szCs w:val="24"/>
        </w:rPr>
        <w:t xml:space="preserve">sa predkladá na </w:t>
      </w:r>
      <w:r>
        <w:rPr>
          <w:rFonts w:ascii="Times New Roman" w:hAnsi="Times New Roman"/>
          <w:szCs w:val="24"/>
        </w:rPr>
        <w:t>rokovanie</w:t>
      </w:r>
      <w:r w:rsidRPr="00791B9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Národnej rady</w:t>
      </w:r>
      <w:r w:rsidRPr="00791B91">
        <w:rPr>
          <w:rFonts w:ascii="Times New Roman" w:hAnsi="Times New Roman"/>
          <w:szCs w:val="24"/>
        </w:rPr>
        <w:t xml:space="preserve"> Slovenskej republiky v súlade s § 122 ods. 4 písm. c) bod 2. zákona č. 461/2003 Z. z. o sociálnom poistení v znení neskorších predpisov (ďalej len „zákon o sociálnom poistení“)</w:t>
      </w:r>
      <w:r w:rsidRPr="00B601A3">
        <w:rPr>
          <w:rFonts w:ascii="Times New Roman" w:hAnsi="Times New Roman"/>
        </w:rPr>
        <w:t xml:space="preserve"> </w:t>
      </w:r>
      <w:r w:rsidRPr="00BA63ED">
        <w:rPr>
          <w:rFonts w:ascii="Times New Roman" w:hAnsi="Times New Roman"/>
        </w:rPr>
        <w:t>účinných k termínu spracovávania materiálu</w:t>
      </w:r>
      <w:r>
        <w:rPr>
          <w:rFonts w:ascii="Times New Roman" w:hAnsi="Times New Roman"/>
          <w:szCs w:val="24"/>
        </w:rPr>
        <w:t xml:space="preserve"> </w:t>
      </w:r>
      <w:r w:rsidRPr="00791B91">
        <w:rPr>
          <w:rFonts w:ascii="Times New Roman" w:hAnsi="Times New Roman"/>
          <w:szCs w:val="24"/>
        </w:rPr>
        <w:t>.</w:t>
      </w:r>
    </w:p>
    <w:p w:rsidR="0075576F" w:rsidP="0075576F">
      <w:pPr>
        <w:bidi w:val="0"/>
        <w:spacing w:before="240" w:after="120"/>
        <w:ind w:firstLine="709"/>
        <w:jc w:val="both"/>
        <w:rPr>
          <w:rFonts w:ascii="Times New Roman" w:hAnsi="Times New Roman"/>
        </w:rPr>
      </w:pPr>
      <w:r w:rsidR="00F03D2B">
        <w:rPr>
          <w:rFonts w:ascii="Times New Roman" w:hAnsi="Times New Roman"/>
          <w:szCs w:val="24"/>
        </w:rPr>
        <w:t>N</w:t>
      </w:r>
      <w:r w:rsidRPr="00D467C0" w:rsidR="00F03D2B">
        <w:rPr>
          <w:rFonts w:ascii="Times New Roman" w:hAnsi="Times New Roman"/>
          <w:szCs w:val="24"/>
        </w:rPr>
        <w:t>ávrh rozpočtu na rok 201</w:t>
      </w:r>
      <w:r w:rsidR="00F03D2B">
        <w:rPr>
          <w:rFonts w:ascii="Times New Roman" w:hAnsi="Times New Roman"/>
          <w:szCs w:val="24"/>
        </w:rPr>
        <w:t>8 z</w:t>
      </w:r>
      <w:r w:rsidRPr="004C7EC8">
        <w:rPr>
          <w:rFonts w:ascii="Times New Roman" w:hAnsi="Times New Roman"/>
        </w:rPr>
        <w:t>ohľadňuje skutočné výsledky hospodárenia Sociálnej poisťovne v roku 2016</w:t>
      </w:r>
      <w:r w:rsidR="00647A0F">
        <w:rPr>
          <w:rFonts w:ascii="Times New Roman" w:hAnsi="Times New Roman"/>
        </w:rPr>
        <w:t>,</w:t>
      </w:r>
      <w:r w:rsidRPr="004C7E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 mesiacoch január až </w:t>
      </w:r>
      <w:r w:rsidR="008D7882">
        <w:rPr>
          <w:rFonts w:ascii="Times New Roman" w:hAnsi="Times New Roman"/>
        </w:rPr>
        <w:t>august</w:t>
      </w:r>
      <w:r>
        <w:rPr>
          <w:rFonts w:ascii="Times New Roman" w:hAnsi="Times New Roman"/>
        </w:rPr>
        <w:t xml:space="preserve"> 2017 </w:t>
      </w:r>
      <w:r w:rsidRPr="004C7EC8">
        <w:rPr>
          <w:rFonts w:ascii="Times New Roman" w:hAnsi="Times New Roman"/>
        </w:rPr>
        <w:t xml:space="preserve">a predpoklad ich vývoja do konca roka 2017, vplyv makroekonomických ukazovateľov zverejnených Inštitútom finančnej politiky Ministerstva financií Slovenskej republiky </w:t>
      </w:r>
      <w:r w:rsidR="008D7882">
        <w:rPr>
          <w:rFonts w:ascii="Times New Roman" w:hAnsi="Times New Roman"/>
        </w:rPr>
        <w:t>21</w:t>
      </w:r>
      <w:r w:rsidRPr="004C7EC8">
        <w:rPr>
          <w:rFonts w:ascii="Times New Roman" w:hAnsi="Times New Roman"/>
        </w:rPr>
        <w:t>. </w:t>
      </w:r>
      <w:r w:rsidR="008D7882">
        <w:rPr>
          <w:rFonts w:ascii="Times New Roman" w:hAnsi="Times New Roman"/>
        </w:rPr>
        <w:t>septembra</w:t>
      </w:r>
      <w:r w:rsidRPr="004C7EC8">
        <w:rPr>
          <w:rFonts w:ascii="Times New Roman" w:hAnsi="Times New Roman"/>
        </w:rPr>
        <w:t xml:space="preserve"> 2017</w:t>
      </w:r>
      <w:r>
        <w:rPr>
          <w:rFonts w:ascii="Times New Roman" w:hAnsi="Times New Roman"/>
        </w:rPr>
        <w:t xml:space="preserve"> a </w:t>
      </w:r>
      <w:r w:rsidRPr="004C7EC8" w:rsidR="003D574D">
        <w:rPr>
          <w:rFonts w:ascii="Times New Roman" w:hAnsi="Times New Roman"/>
        </w:rPr>
        <w:t>Ministerstv</w:t>
      </w:r>
      <w:r w:rsidR="003D574D">
        <w:rPr>
          <w:rFonts w:ascii="Times New Roman" w:hAnsi="Times New Roman"/>
        </w:rPr>
        <w:t>om</w:t>
      </w:r>
      <w:r w:rsidRPr="004C7EC8" w:rsidR="003D574D">
        <w:rPr>
          <w:rFonts w:ascii="Times New Roman" w:hAnsi="Times New Roman"/>
        </w:rPr>
        <w:t xml:space="preserve"> financií Slovenskej republiky </w:t>
      </w:r>
      <w:r>
        <w:rPr>
          <w:rFonts w:ascii="Times New Roman" w:hAnsi="Times New Roman"/>
        </w:rPr>
        <w:t>navrhované limity príjmov a výdavkov Sociálnej poisťovne</w:t>
      </w:r>
      <w:r w:rsidR="007E3CC1">
        <w:rPr>
          <w:rFonts w:ascii="Times New Roman" w:hAnsi="Times New Roman"/>
        </w:rPr>
        <w:t>.</w:t>
      </w:r>
      <w:r w:rsidR="00F47C40">
        <w:rPr>
          <w:rFonts w:ascii="Times New Roman" w:hAnsi="Times New Roman"/>
        </w:rPr>
        <w:t xml:space="preserve"> </w:t>
      </w:r>
    </w:p>
    <w:p w:rsidR="0038514E" w:rsidP="0038514E">
      <w:pPr>
        <w:bidi w:val="0"/>
        <w:spacing w:before="240" w:after="120"/>
        <w:ind w:firstLine="709"/>
        <w:jc w:val="both"/>
        <w:rPr>
          <w:rFonts w:ascii="Times New Roman" w:hAnsi="Times New Roman"/>
        </w:rPr>
      </w:pPr>
      <w:r w:rsidR="00F47C40">
        <w:rPr>
          <w:rFonts w:ascii="Times New Roman" w:hAnsi="Times New Roman"/>
        </w:rPr>
        <w:t>Zároveň je v ňom premietnutý finančný dopad vládneho návrhu zákona, ktorým sa mení a dopĺňa zákon o sociálnom poistení</w:t>
      </w:r>
      <w:r w:rsidR="00625E1F">
        <w:rPr>
          <w:rFonts w:ascii="Times New Roman" w:hAnsi="Times New Roman"/>
        </w:rPr>
        <w:t xml:space="preserve"> s účinnosťou od 1. </w:t>
      </w:r>
      <w:r w:rsidR="00D35BB0">
        <w:rPr>
          <w:rFonts w:ascii="Times New Roman" w:hAnsi="Times New Roman"/>
        </w:rPr>
        <w:t>j</w:t>
      </w:r>
      <w:r w:rsidR="00625E1F">
        <w:rPr>
          <w:rFonts w:ascii="Times New Roman" w:hAnsi="Times New Roman"/>
        </w:rPr>
        <w:t>anuára 2018</w:t>
      </w:r>
      <w:r w:rsidR="00A52D00">
        <w:rPr>
          <w:rFonts w:ascii="Times New Roman" w:hAnsi="Times New Roman"/>
        </w:rPr>
        <w:t>:</w:t>
      </w:r>
    </w:p>
    <w:p w:rsidR="0038514E" w:rsidRPr="0038514E" w:rsidP="0038514E">
      <w:pPr>
        <w:pStyle w:val="ListParagraph"/>
        <w:numPr>
          <w:numId w:val="7"/>
        </w:numPr>
        <w:bidi w:val="0"/>
        <w:spacing w:after="120"/>
        <w:ind w:hanging="720"/>
        <w:contextualSpacing w:val="0"/>
        <w:jc w:val="both"/>
        <w:rPr>
          <w:rFonts w:ascii="Times New Roman" w:hAnsi="Times New Roman"/>
        </w:rPr>
      </w:pPr>
      <w:r w:rsidRPr="0038514E">
        <w:rPr>
          <w:rFonts w:ascii="Times New Roman" w:hAnsi="Times New Roman"/>
          <w:color w:val="000000"/>
          <w:szCs w:val="24"/>
        </w:rPr>
        <w:t>zjednotenie hraníc uplatňovaných v rámci konania o predpísaní poistného a penále a zavedenie hranice, od ktorej sa budú vymáhať preplatky na dávkach.</w:t>
      </w:r>
      <w:r w:rsidRPr="0038514E">
        <w:rPr>
          <w:rFonts w:ascii="Times New Roman" w:hAnsi="Times New Roman"/>
          <w:spacing w:val="-6"/>
          <w:szCs w:val="24"/>
        </w:rPr>
        <w:t xml:space="preserve"> Zvýšenie sumy úhrnu dlžného poistného, kedy Sociálna poisťovňa nepredpíše poistné/penále z doterajších 3,32 eur na 5 eur. Sociálna poisťovňa bude vymáhať preplatky na dávkach, ktoré sú minimálne vo výške 5 eur</w:t>
      </w:r>
      <w:r w:rsidR="004011B5">
        <w:rPr>
          <w:rFonts w:ascii="Times New Roman" w:hAnsi="Times New Roman"/>
          <w:spacing w:val="-6"/>
          <w:szCs w:val="24"/>
        </w:rPr>
        <w:t>;</w:t>
      </w:r>
    </w:p>
    <w:p w:rsidR="002B766D" w:rsidP="0038514E">
      <w:pPr>
        <w:pStyle w:val="ListParagraph"/>
        <w:numPr>
          <w:numId w:val="7"/>
        </w:numPr>
        <w:bidi w:val="0"/>
        <w:spacing w:after="120"/>
        <w:ind w:hanging="72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22553C">
        <w:rPr>
          <w:rFonts w:ascii="Times New Roman" w:hAnsi="Times New Roman"/>
          <w:color w:val="000000"/>
          <w:szCs w:val="24"/>
        </w:rPr>
        <w:t>ôchodkové dávky sa od</w:t>
      </w:r>
      <w:r>
        <w:rPr>
          <w:rFonts w:ascii="Times New Roman" w:hAnsi="Times New Roman"/>
          <w:color w:val="000000"/>
          <w:szCs w:val="24"/>
        </w:rPr>
        <w:t xml:space="preserve"> roku</w:t>
      </w:r>
      <w:r w:rsidRPr="0022553C">
        <w:rPr>
          <w:rFonts w:ascii="Times New Roman" w:hAnsi="Times New Roman"/>
          <w:color w:val="000000"/>
          <w:szCs w:val="24"/>
        </w:rPr>
        <w:t xml:space="preserve"> 2018</w:t>
      </w:r>
      <w:r>
        <w:rPr>
          <w:rFonts w:ascii="Times New Roman" w:hAnsi="Times New Roman"/>
          <w:color w:val="000000"/>
          <w:szCs w:val="24"/>
        </w:rPr>
        <w:t xml:space="preserve"> do roku 2021</w:t>
      </w:r>
      <w:r w:rsidRPr="0022553C">
        <w:rPr>
          <w:rFonts w:ascii="Times New Roman" w:hAnsi="Times New Roman"/>
          <w:color w:val="000000"/>
          <w:szCs w:val="24"/>
        </w:rPr>
        <w:t xml:space="preserve"> budú zvyšovať o percento medziročného rastu spotrebiteľských cien za domácnosti dôchod</w:t>
      </w:r>
      <w:r w:rsidR="00F03D2B">
        <w:rPr>
          <w:rFonts w:ascii="Times New Roman" w:hAnsi="Times New Roman"/>
          <w:color w:val="000000"/>
          <w:szCs w:val="24"/>
        </w:rPr>
        <w:t>c</w:t>
      </w:r>
      <w:r w:rsidRPr="0022553C">
        <w:rPr>
          <w:rFonts w:ascii="Times New Roman" w:hAnsi="Times New Roman"/>
          <w:color w:val="000000"/>
          <w:szCs w:val="24"/>
        </w:rPr>
        <w:t xml:space="preserve">ov, najmenej však o pevnú sumu určenú </w:t>
      </w:r>
      <w:r w:rsidR="00647A0F">
        <w:rPr>
          <w:rFonts w:ascii="Times New Roman" w:hAnsi="Times New Roman"/>
          <w:color w:val="000000"/>
          <w:szCs w:val="24"/>
        </w:rPr>
        <w:t xml:space="preserve">ako </w:t>
      </w:r>
      <w:r w:rsidRPr="0022553C">
        <w:rPr>
          <w:rFonts w:ascii="Times New Roman" w:hAnsi="Times New Roman"/>
          <w:color w:val="000000"/>
          <w:szCs w:val="24"/>
        </w:rPr>
        <w:t>2</w:t>
      </w:r>
      <w:r>
        <w:rPr>
          <w:rFonts w:ascii="Times New Roman" w:hAnsi="Times New Roman"/>
          <w:color w:val="000000"/>
          <w:szCs w:val="24"/>
        </w:rPr>
        <w:t> </w:t>
      </w:r>
      <w:r w:rsidRPr="0022553C">
        <w:t xml:space="preserve">% </w:t>
      </w:r>
      <w:r w:rsidRPr="0022553C">
        <w:rPr>
          <w:rFonts w:ascii="Times New Roman" w:hAnsi="Times New Roman"/>
        </w:rPr>
        <w:t xml:space="preserve">z priemernej sumy príslušného </w:t>
      </w:r>
      <w:r>
        <w:rPr>
          <w:rFonts w:ascii="Times New Roman" w:hAnsi="Times New Roman"/>
        </w:rPr>
        <w:t xml:space="preserve">druhu </w:t>
      </w:r>
      <w:r w:rsidRPr="0022553C">
        <w:rPr>
          <w:rFonts w:ascii="Times New Roman" w:hAnsi="Times New Roman"/>
        </w:rPr>
        <w:t>dôchodku</w:t>
      </w:r>
      <w:r w:rsidR="00306235">
        <w:rPr>
          <w:rFonts w:ascii="Times New Roman" w:hAnsi="Times New Roman"/>
        </w:rPr>
        <w:t>;</w:t>
      </w:r>
      <w:r w:rsidRPr="00A52D00" w:rsidR="00F47C40">
        <w:rPr>
          <w:rFonts w:ascii="Times New Roman" w:hAnsi="Times New Roman"/>
        </w:rPr>
        <w:t xml:space="preserve"> </w:t>
      </w:r>
    </w:p>
    <w:p w:rsidR="00A52D00" w:rsidRPr="00A52D00" w:rsidP="0038514E">
      <w:pPr>
        <w:pStyle w:val="ListParagraph"/>
        <w:numPr>
          <w:numId w:val="7"/>
        </w:numPr>
        <w:bidi w:val="0"/>
        <w:spacing w:after="120"/>
        <w:ind w:hanging="720"/>
        <w:contextualSpacing w:val="0"/>
        <w:jc w:val="both"/>
        <w:rPr>
          <w:rFonts w:ascii="Times New Roman" w:hAnsi="Times New Roman"/>
        </w:rPr>
      </w:pPr>
      <w:r w:rsidR="002B766D">
        <w:rPr>
          <w:rFonts w:ascii="Times New Roman" w:hAnsi="Times New Roman"/>
          <w:color w:val="000000"/>
          <w:szCs w:val="24"/>
        </w:rPr>
        <w:t>ú</w:t>
      </w:r>
      <w:r w:rsidRPr="00C6120C" w:rsidR="002B766D">
        <w:rPr>
          <w:rFonts w:ascii="Times New Roman" w:hAnsi="Times New Roman"/>
          <w:color w:val="000000"/>
          <w:szCs w:val="24"/>
        </w:rPr>
        <w:t>razové dávky</w:t>
      </w:r>
      <w:r w:rsidRPr="00BA63ED" w:rsidR="002B766D">
        <w:rPr>
          <w:rFonts w:ascii="Times New Roman" w:hAnsi="Times New Roman"/>
          <w:color w:val="000000"/>
          <w:szCs w:val="24"/>
        </w:rPr>
        <w:t xml:space="preserve"> sa v rok</w:t>
      </w:r>
      <w:r w:rsidR="002B766D">
        <w:rPr>
          <w:rFonts w:ascii="Times New Roman" w:hAnsi="Times New Roman"/>
          <w:color w:val="000000"/>
          <w:szCs w:val="24"/>
        </w:rPr>
        <w:t>och 2018 až 2021</w:t>
      </w:r>
      <w:r w:rsidRPr="00BA63ED" w:rsidR="002B766D">
        <w:rPr>
          <w:rFonts w:ascii="Times New Roman" w:hAnsi="Times New Roman"/>
          <w:color w:val="000000"/>
          <w:szCs w:val="24"/>
        </w:rPr>
        <w:t xml:space="preserve"> zvyšujú </w:t>
      </w:r>
      <w:r w:rsidR="002B766D">
        <w:rPr>
          <w:rFonts w:ascii="Times New Roman" w:hAnsi="Times New Roman"/>
          <w:color w:val="000000"/>
          <w:szCs w:val="24"/>
        </w:rPr>
        <w:t>o</w:t>
      </w:r>
      <w:r w:rsidR="00647A0F">
        <w:rPr>
          <w:rFonts w:ascii="Times New Roman" w:hAnsi="Times New Roman"/>
          <w:color w:val="000000"/>
          <w:szCs w:val="24"/>
        </w:rPr>
        <w:t> </w:t>
      </w:r>
      <w:r w:rsidR="002B766D">
        <w:rPr>
          <w:rFonts w:ascii="Times New Roman" w:hAnsi="Times New Roman"/>
          <w:color w:val="000000"/>
          <w:szCs w:val="24"/>
        </w:rPr>
        <w:t>2</w:t>
      </w:r>
      <w:r w:rsidR="00647A0F">
        <w:rPr>
          <w:rFonts w:ascii="Times New Roman" w:hAnsi="Times New Roman"/>
          <w:color w:val="000000"/>
          <w:szCs w:val="24"/>
        </w:rPr>
        <w:t> </w:t>
      </w:r>
      <w:r w:rsidR="002B766D">
        <w:rPr>
          <w:rFonts w:ascii="Times New Roman" w:hAnsi="Times New Roman"/>
          <w:color w:val="000000"/>
          <w:szCs w:val="24"/>
        </w:rPr>
        <w:t>%</w:t>
      </w:r>
      <w:r w:rsidR="00647A0F">
        <w:rPr>
          <w:rFonts w:ascii="Times New Roman" w:hAnsi="Times New Roman"/>
          <w:color w:val="000000"/>
          <w:szCs w:val="24"/>
        </w:rPr>
        <w:t xml:space="preserve"> (</w:t>
      </w:r>
      <w:r w:rsidR="002B766D">
        <w:rPr>
          <w:rFonts w:ascii="Times New Roman" w:hAnsi="Times New Roman"/>
          <w:color w:val="000000"/>
          <w:szCs w:val="24"/>
        </w:rPr>
        <w:t>minimálne valorizačné percento na zvyšovanie úrazových dávok</w:t>
      </w:r>
      <w:r w:rsidR="00647A0F">
        <w:rPr>
          <w:rFonts w:ascii="Times New Roman" w:hAnsi="Times New Roman"/>
          <w:color w:val="000000"/>
          <w:szCs w:val="24"/>
        </w:rPr>
        <w:t>)</w:t>
      </w:r>
      <w:r w:rsidR="004011B5">
        <w:rPr>
          <w:rFonts w:ascii="Times New Roman" w:hAnsi="Times New Roman"/>
          <w:color w:val="000000"/>
          <w:szCs w:val="24"/>
        </w:rPr>
        <w:t>;</w:t>
      </w:r>
      <w:r w:rsidRPr="00A52D00" w:rsidR="00F47C40">
        <w:rPr>
          <w:rFonts w:ascii="Times New Roman" w:hAnsi="Times New Roman"/>
        </w:rPr>
        <w:t xml:space="preserve"> </w:t>
      </w:r>
    </w:p>
    <w:p w:rsidR="00A52D00" w:rsidRPr="00A97DDE" w:rsidP="0038514E">
      <w:pPr>
        <w:pStyle w:val="ListParagraph"/>
        <w:numPr>
          <w:numId w:val="7"/>
        </w:numPr>
        <w:bidi w:val="0"/>
        <w:spacing w:after="120"/>
        <w:ind w:hanging="72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zjednotenie podmienok nároku na dávku v</w:t>
      </w:r>
      <w:r w:rsidR="00E33A7D">
        <w:rPr>
          <w:rFonts w:ascii="Times New Roman" w:hAnsi="Times New Roman"/>
        </w:rPr>
        <w:t> </w:t>
      </w:r>
      <w:r>
        <w:rPr>
          <w:rFonts w:ascii="Times New Roman" w:hAnsi="Times New Roman"/>
        </w:rPr>
        <w:t>nezamestnanosti</w:t>
      </w:r>
      <w:r w:rsidR="00E33A7D">
        <w:rPr>
          <w:rFonts w:ascii="Times New Roman" w:hAnsi="Times New Roman"/>
        </w:rPr>
        <w:t xml:space="preserve"> pre všetkých poistencov, ktorí platili poistné na poistenie v nezamestnanosti (najmenej dva roky v posledných štyroch rokoch pred zaradením do evidencie uchádzačov o zamestnanie)</w:t>
      </w:r>
      <w:r>
        <w:rPr>
          <w:rFonts w:ascii="Times New Roman" w:hAnsi="Times New Roman"/>
        </w:rPr>
        <w:t xml:space="preserve"> a</w:t>
      </w:r>
      <w:r w:rsidR="00E33A7D">
        <w:rPr>
          <w:rFonts w:ascii="Times New Roman" w:hAnsi="Times New Roman"/>
        </w:rPr>
        <w:t xml:space="preserve"> zjednotenie </w:t>
      </w:r>
      <w:r>
        <w:rPr>
          <w:rFonts w:ascii="Times New Roman" w:hAnsi="Times New Roman"/>
        </w:rPr>
        <w:t>dĺžky podporného obdobia v nezamestnanosti pre všetkých poistencov</w:t>
      </w:r>
      <w:r w:rsidR="00E33A7D">
        <w:rPr>
          <w:rFonts w:ascii="Times New Roman" w:hAnsi="Times New Roman"/>
        </w:rPr>
        <w:t xml:space="preserve"> </w:t>
      </w:r>
      <w:r w:rsidR="003713CA">
        <w:rPr>
          <w:rFonts w:ascii="Times New Roman" w:hAnsi="Times New Roman"/>
        </w:rPr>
        <w:t xml:space="preserve">na </w:t>
      </w:r>
      <w:r w:rsidR="00E33A7D">
        <w:rPr>
          <w:rFonts w:ascii="Times New Roman" w:hAnsi="Times New Roman"/>
        </w:rPr>
        <w:t>6 mesiacov</w:t>
      </w:r>
      <w:r w:rsidR="004011B5">
        <w:rPr>
          <w:rFonts w:ascii="Times New Roman" w:hAnsi="Times New Roman"/>
        </w:rPr>
        <w:t>;</w:t>
      </w:r>
    </w:p>
    <w:p w:rsidR="00F47C40" w:rsidP="0038514E">
      <w:pPr>
        <w:pStyle w:val="ListParagraph"/>
        <w:numPr>
          <w:numId w:val="7"/>
        </w:numPr>
        <w:bidi w:val="0"/>
        <w:spacing w:after="120"/>
        <w:ind w:hanging="720"/>
        <w:contextualSpacing w:val="0"/>
        <w:jc w:val="both"/>
        <w:rPr>
          <w:rFonts w:ascii="Times New Roman" w:hAnsi="Times New Roman"/>
        </w:rPr>
      </w:pPr>
      <w:r w:rsidRPr="00A52D00">
        <w:rPr>
          <w:rFonts w:ascii="Times New Roman" w:hAnsi="Times New Roman"/>
        </w:rPr>
        <w:t>návrh opatrenia Ministerstva práce, sociálnych vecí a rodiny Slovenskej republiky</w:t>
      </w:r>
      <w:r w:rsidR="00A97DDE">
        <w:rPr>
          <w:rFonts w:ascii="Times New Roman" w:hAnsi="Times New Roman"/>
        </w:rPr>
        <w:t xml:space="preserve"> o úprave dôch</w:t>
      </w:r>
      <w:r w:rsidR="00625E1F">
        <w:rPr>
          <w:rFonts w:ascii="Times New Roman" w:hAnsi="Times New Roman"/>
        </w:rPr>
        <w:t>o</w:t>
      </w:r>
      <w:r w:rsidR="00A97DDE">
        <w:rPr>
          <w:rFonts w:ascii="Times New Roman" w:hAnsi="Times New Roman"/>
        </w:rPr>
        <w:t>dkového veku a referenčného veku pre rok 2018 – dôchodkový vek sa zv</w:t>
      </w:r>
      <w:r w:rsidR="00625E1F">
        <w:rPr>
          <w:rFonts w:ascii="Times New Roman" w:hAnsi="Times New Roman"/>
        </w:rPr>
        <w:t>y</w:t>
      </w:r>
      <w:r w:rsidR="00A97DDE">
        <w:rPr>
          <w:rFonts w:ascii="Times New Roman" w:hAnsi="Times New Roman"/>
        </w:rPr>
        <w:t>šuje o 63 dní</w:t>
      </w:r>
      <w:r w:rsidR="00625E1F">
        <w:rPr>
          <w:rFonts w:ascii="Times New Roman" w:hAnsi="Times New Roman"/>
        </w:rPr>
        <w:t>, dôchodkový vek na kalendárny rok 2018 je 62 rokov a 139 dní. Referenčný vek na kalendárny rok 2018 je 62 rokov</w:t>
      </w:r>
      <w:r w:rsidR="004011B5">
        <w:rPr>
          <w:rFonts w:ascii="Times New Roman" w:hAnsi="Times New Roman"/>
        </w:rPr>
        <w:t>;</w:t>
      </w:r>
      <w:r w:rsidRPr="00A52D00">
        <w:rPr>
          <w:rFonts w:ascii="Times New Roman" w:hAnsi="Times New Roman"/>
        </w:rPr>
        <w:t xml:space="preserve"> </w:t>
      </w:r>
    </w:p>
    <w:p w:rsidR="00647A0F" w:rsidRPr="0038514E" w:rsidP="0038514E">
      <w:pPr>
        <w:pStyle w:val="ListParagraph"/>
        <w:numPr>
          <w:numId w:val="7"/>
        </w:numPr>
        <w:bidi w:val="0"/>
        <w:spacing w:after="120"/>
        <w:contextualSpacing w:val="0"/>
        <w:jc w:val="both"/>
        <w:rPr>
          <w:rFonts w:ascii="Times New Roman" w:hAnsi="Times New Roman"/>
        </w:rPr>
      </w:pPr>
      <w:r w:rsidRPr="0038514E" w:rsidR="0038514E">
        <w:rPr>
          <w:rFonts w:ascii="Times New Roman" w:hAnsi="Times New Roman"/>
        </w:rPr>
        <w:t>úprava možnosti použitia finančných prostriedkov základných fondov, v ktorých sa  vykazuje prebytok finančných prostriedkov, na po</w:t>
      </w:r>
      <w:r w:rsidR="00306235">
        <w:rPr>
          <w:rFonts w:ascii="Times New Roman" w:hAnsi="Times New Roman"/>
        </w:rPr>
        <w:t>skytnutie finančnej výpomoci do </w:t>
      </w:r>
      <w:r w:rsidRPr="0038514E" w:rsidR="0038514E">
        <w:rPr>
          <w:rFonts w:ascii="Times New Roman" w:hAnsi="Times New Roman"/>
        </w:rPr>
        <w:t>iného základného fondu, v ktorom nie je dost</w:t>
      </w:r>
      <w:r w:rsidR="00306235">
        <w:rPr>
          <w:rFonts w:ascii="Times New Roman" w:hAnsi="Times New Roman"/>
        </w:rPr>
        <w:t>atok finančných prostriedkov na </w:t>
      </w:r>
      <w:r w:rsidR="0038514E">
        <w:rPr>
          <w:rFonts w:ascii="Times New Roman" w:hAnsi="Times New Roman"/>
        </w:rPr>
        <w:t>dávky, aj po 31. decembri 2017.</w:t>
      </w:r>
    </w:p>
    <w:p w:rsidR="005C3EAA" w:rsidRPr="00D467C0" w:rsidP="00001E7A">
      <w:pPr>
        <w:bidi w:val="0"/>
        <w:spacing w:before="240"/>
        <w:ind w:firstLine="709"/>
        <w:jc w:val="both"/>
        <w:rPr>
          <w:rFonts w:ascii="Times New Roman" w:hAnsi="Times New Roman"/>
          <w:szCs w:val="24"/>
        </w:rPr>
      </w:pPr>
      <w:r w:rsidRPr="00D467C0" w:rsidR="00DB508D">
        <w:rPr>
          <w:rFonts w:ascii="Times New Roman" w:hAnsi="Times New Roman"/>
        </w:rPr>
        <w:t xml:space="preserve">Do príjmov </w:t>
      </w:r>
      <w:r w:rsidRPr="00D467C0" w:rsidR="00E45B49">
        <w:rPr>
          <w:rFonts w:ascii="Times New Roman" w:hAnsi="Times New Roman"/>
        </w:rPr>
        <w:t>Sociálnej poisťovne</w:t>
      </w:r>
      <w:r w:rsidRPr="00D467C0" w:rsidR="00DB508D">
        <w:rPr>
          <w:rFonts w:ascii="Times New Roman" w:hAnsi="Times New Roman"/>
        </w:rPr>
        <w:t xml:space="preserve"> bol zapracovaný transfer </w:t>
      </w:r>
      <w:r w:rsidRPr="00D467C0" w:rsidR="001D13B1">
        <w:rPr>
          <w:rFonts w:ascii="Times New Roman" w:hAnsi="Times New Roman"/>
          <w:szCs w:val="24"/>
        </w:rPr>
        <w:t xml:space="preserve">zo štátneho rozpočtu </w:t>
      </w:r>
      <w:r w:rsidRPr="00D467C0" w:rsidR="00DB508D">
        <w:rPr>
          <w:rFonts w:ascii="Times New Roman" w:hAnsi="Times New Roman"/>
          <w:szCs w:val="24"/>
        </w:rPr>
        <w:t>Slovenskej republiky</w:t>
      </w:r>
      <w:r w:rsidRPr="00D467C0" w:rsidR="00FC2D9D">
        <w:rPr>
          <w:rFonts w:ascii="Times New Roman" w:hAnsi="Times New Roman"/>
          <w:szCs w:val="24"/>
        </w:rPr>
        <w:t xml:space="preserve"> (ŠR SR):</w:t>
      </w:r>
    </w:p>
    <w:tbl>
      <w:tblPr>
        <w:tblStyle w:val="TableNormal"/>
        <w:tblW w:w="913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92"/>
        <w:gridCol w:w="2247"/>
        <w:gridCol w:w="1300"/>
        <w:gridCol w:w="1300"/>
        <w:gridCol w:w="1300"/>
      </w:tblGrid>
      <w:tr>
        <w:tblPrEx>
          <w:tblW w:w="913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6348B" w:rsidRPr="00D467C0" w:rsidP="00F6348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6348B" w:rsidRPr="00D467C0" w:rsidP="00F6348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6348B" w:rsidRPr="00D467C0" w:rsidP="00F6348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6348B" w:rsidRPr="00D467C0" w:rsidP="00F6348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F6348B" w:rsidRPr="00D467C0" w:rsidP="00F6348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>
        <w:tblPrEx>
          <w:tblW w:w="913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D5681" w:rsidRPr="00D467C0" w:rsidP="00F6348B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="002A65CE">
              <w:rPr>
                <w:rFonts w:ascii="Times New Roman" w:hAnsi="Times New Roman"/>
                <w:sz w:val="22"/>
                <w:szCs w:val="22"/>
              </w:rPr>
              <w:t>Ukazovateľ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D5681" w:rsidRPr="00D467C0" w:rsidP="0075576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Očakávaná skutočnosť rok 201</w:t>
            </w:r>
            <w:r w:rsidR="0075576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D5681" w:rsidRPr="00D467C0" w:rsidP="0075576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Rok 201</w:t>
            </w:r>
            <w:r w:rsidR="0075576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D5681" w:rsidRPr="00D467C0" w:rsidP="0075576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Rok 20</w:t>
            </w:r>
            <w:r w:rsidRPr="00D467C0" w:rsidR="00E20154">
              <w:rPr>
                <w:rFonts w:ascii="Times New Roman" w:hAnsi="Times New Roman"/>
                <w:sz w:val="22"/>
                <w:szCs w:val="22"/>
              </w:rPr>
              <w:t>1</w:t>
            </w:r>
            <w:r w:rsidR="0075576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D5681" w:rsidRPr="00D467C0" w:rsidP="0075576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Rok 20</w:t>
            </w:r>
            <w:r w:rsidR="0075576F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>
        <w:tblPrEx>
          <w:tblW w:w="913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4D3D49" w:rsidRPr="00D467C0" w:rsidP="002A65C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Transfer zo ŠR SR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3D49" w:rsidRPr="004D3D4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410 000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3D49" w:rsidRPr="004D3D4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255 392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3D49" w:rsidRPr="004D3D4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117 658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3D49" w:rsidRPr="004D3D4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EC0DE3" w:rsidRPr="00D467C0" w:rsidP="00EC0DE3">
      <w:pPr>
        <w:bidi w:val="0"/>
        <w:spacing w:before="360" w:after="120"/>
        <w:ind w:firstLine="720"/>
        <w:jc w:val="both"/>
        <w:rPr>
          <w:rFonts w:ascii="Times New Roman" w:hAnsi="Times New Roman"/>
          <w:szCs w:val="24"/>
        </w:rPr>
      </w:pPr>
      <w:r w:rsidRPr="00D467C0">
        <w:rPr>
          <w:rFonts w:ascii="Times New Roman" w:hAnsi="Times New Roman"/>
          <w:szCs w:val="24"/>
        </w:rPr>
        <w:t xml:space="preserve">Z hľadiska </w:t>
      </w:r>
      <w:r w:rsidRPr="00D467C0">
        <w:rPr>
          <w:rFonts w:ascii="Times New Roman" w:hAnsi="Times New Roman"/>
          <w:b/>
          <w:szCs w:val="24"/>
        </w:rPr>
        <w:t>celkového hospodárenia Sociálnej poisťovne</w:t>
      </w:r>
      <w:r w:rsidRPr="00D467C0">
        <w:rPr>
          <w:rFonts w:ascii="Times New Roman" w:hAnsi="Times New Roman"/>
          <w:szCs w:val="24"/>
        </w:rPr>
        <w:t xml:space="preserve"> je možné očakávať v rokoch 201</w:t>
      </w:r>
      <w:r w:rsidR="0075576F">
        <w:rPr>
          <w:rFonts w:ascii="Times New Roman" w:hAnsi="Times New Roman"/>
          <w:szCs w:val="24"/>
        </w:rPr>
        <w:t>7</w:t>
      </w:r>
      <w:r w:rsidRPr="00D467C0">
        <w:rPr>
          <w:rFonts w:ascii="Times New Roman" w:hAnsi="Times New Roman"/>
          <w:szCs w:val="24"/>
        </w:rPr>
        <w:t xml:space="preserve"> až 20</w:t>
      </w:r>
      <w:r w:rsidR="0075576F">
        <w:rPr>
          <w:rFonts w:ascii="Times New Roman" w:hAnsi="Times New Roman"/>
          <w:szCs w:val="24"/>
        </w:rPr>
        <w:t>20</w:t>
      </w:r>
      <w:r w:rsidRPr="00D467C0">
        <w:rPr>
          <w:rFonts w:ascii="Times New Roman" w:hAnsi="Times New Roman"/>
          <w:szCs w:val="24"/>
        </w:rPr>
        <w:t xml:space="preserve"> výsledky:</w:t>
      </w:r>
    </w:p>
    <w:tbl>
      <w:tblPr>
        <w:tblStyle w:val="TableNormal"/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75"/>
        <w:gridCol w:w="1159"/>
        <w:gridCol w:w="1159"/>
        <w:gridCol w:w="1160"/>
        <w:gridCol w:w="1159"/>
        <w:gridCol w:w="1160"/>
      </w:tblGrid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1D4A6B" w:rsidRPr="00D467C0" w:rsidP="00E5156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1D4A6B" w:rsidRPr="00D467C0" w:rsidP="00E5156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1D4A6B" w:rsidRPr="00D467C0" w:rsidP="00E5156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1D4A6B" w:rsidRPr="00D467C0" w:rsidP="00E5156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1D4A6B" w:rsidRPr="00D467C0" w:rsidP="00E5156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1D4A6B" w:rsidRPr="00D467C0" w:rsidP="00E5156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7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D4A6B" w:rsidRPr="00D467C0" w:rsidP="00E5156B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Ukazovateľ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D4A6B" w:rsidRPr="00D467C0" w:rsidP="00E5156B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Príjmy celkom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D4A6B" w:rsidRPr="00D467C0" w:rsidP="00E5156B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Príjmy v bežnom roku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D4A6B" w:rsidRPr="00D467C0" w:rsidP="00E5156B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Výdavky (náklady)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D4A6B" w:rsidRPr="00D467C0" w:rsidP="00E5156B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Bilančný rozdiel v bežnom roku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D4A6B" w:rsidRPr="00D467C0" w:rsidP="00E5156B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Bilančný rozdiel celkom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3D49" w:rsidRPr="00D467C0" w:rsidP="0075576F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Očakávaná skutočnosť rok 201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3D49" w:rsidRPr="004D3D4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8 217 561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D3D49" w:rsidRPr="004D3D4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7 688 453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D3D49" w:rsidRPr="004D3D4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7 702 534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3D49" w:rsidRPr="004D3D4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-14 081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3D49" w:rsidRPr="004D3D4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515 027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3D49" w:rsidRPr="00D467C0" w:rsidP="0075576F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Návrh rozpočtu na rok 201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3D49" w:rsidRPr="004D3D4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8 512 237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3D49" w:rsidRPr="004D3D4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7 997 210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3D49" w:rsidRPr="004D3D4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7 989 682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3D49" w:rsidRPr="004D3D4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7 528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3D49" w:rsidRPr="004D3D4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522 555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3D49" w:rsidRPr="00D467C0" w:rsidP="00E5156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Rozpočtový výhľad rok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4D3D49" w:rsidRPr="004D3D4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4D3D49" w:rsidRPr="004D3D4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4D3D49" w:rsidRPr="004D3D4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4D3D49" w:rsidRPr="004D3D4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4D3D49" w:rsidRPr="004D3D4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3D49" w:rsidRPr="00D467C0" w:rsidP="0075576F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4D3D49" w:rsidRPr="004D3D4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8 799 438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4D3D49" w:rsidRPr="004D3D4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8 276 883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4D3D49" w:rsidRPr="004D3D4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8 268 057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4D3D49" w:rsidRPr="004D3D4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8 826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4D3D49" w:rsidRPr="004D3D4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531 381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3D49" w:rsidRPr="00D467C0" w:rsidP="0075576F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3D49" w:rsidRPr="004D3D4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9 151 186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3D49" w:rsidRPr="004D3D4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8 619 805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3D49" w:rsidRPr="004D3D4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8 565 167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3D49" w:rsidRPr="004D3D4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54 638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3D49" w:rsidRPr="004D3D4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586 019</w:t>
            </w:r>
          </w:p>
        </w:tc>
      </w:tr>
    </w:tbl>
    <w:p w:rsidR="00BF276B" w:rsidRPr="00BA63ED" w:rsidP="00BF276B">
      <w:pPr>
        <w:bidi w:val="0"/>
        <w:spacing w:before="360" w:after="120"/>
        <w:ind w:firstLine="720"/>
        <w:jc w:val="both"/>
        <w:rPr>
          <w:rFonts w:ascii="Times New Roman" w:hAnsi="Times New Roman"/>
          <w:szCs w:val="24"/>
        </w:rPr>
      </w:pPr>
      <w:r w:rsidRPr="00BA63ED">
        <w:rPr>
          <w:rFonts w:ascii="Times New Roman" w:hAnsi="Times New Roman"/>
          <w:szCs w:val="24"/>
        </w:rPr>
        <w:t>Hospodárenie Sociálnej poisťovne bude v rokoch 201</w:t>
      </w:r>
      <w:r w:rsidR="0075576F">
        <w:rPr>
          <w:rFonts w:ascii="Times New Roman" w:hAnsi="Times New Roman"/>
          <w:szCs w:val="24"/>
        </w:rPr>
        <w:t>7</w:t>
      </w:r>
      <w:r w:rsidRPr="00BA63ED">
        <w:rPr>
          <w:rFonts w:ascii="Times New Roman" w:hAnsi="Times New Roman"/>
          <w:szCs w:val="24"/>
        </w:rPr>
        <w:t xml:space="preserve"> až 20</w:t>
      </w:r>
      <w:r w:rsidR="0075576F">
        <w:rPr>
          <w:rFonts w:ascii="Times New Roman" w:hAnsi="Times New Roman"/>
          <w:szCs w:val="24"/>
        </w:rPr>
        <w:t>20</w:t>
      </w:r>
      <w:r w:rsidRPr="00BA63ED">
        <w:rPr>
          <w:rFonts w:ascii="Times New Roman" w:hAnsi="Times New Roman"/>
          <w:szCs w:val="24"/>
        </w:rPr>
        <w:t xml:space="preserve"> ovplyvňovať deficitné hospodárenie v dôchodkovom poistení. Deficit bude Sociálna poisťovňa </w:t>
      </w:r>
      <w:r w:rsidR="00903CF9">
        <w:rPr>
          <w:rFonts w:ascii="Times New Roman" w:hAnsi="Times New Roman"/>
          <w:szCs w:val="24"/>
        </w:rPr>
        <w:t>riešiť</w:t>
      </w:r>
      <w:r w:rsidRPr="00BA63ED">
        <w:rPr>
          <w:rFonts w:ascii="Times New Roman" w:hAnsi="Times New Roman"/>
          <w:szCs w:val="24"/>
        </w:rPr>
        <w:t xml:space="preserve"> v zmysle § 167 ods. 1 zákona o sociálnom poistení </w:t>
      </w:r>
      <w:r w:rsidR="00903CF9">
        <w:rPr>
          <w:rFonts w:ascii="Times New Roman" w:hAnsi="Times New Roman"/>
          <w:szCs w:val="24"/>
        </w:rPr>
        <w:t>z rezervného fondu solidarity a </w:t>
      </w:r>
      <w:r w:rsidRPr="00BA63ED">
        <w:rPr>
          <w:rFonts w:ascii="Times New Roman" w:hAnsi="Times New Roman"/>
          <w:szCs w:val="24"/>
        </w:rPr>
        <w:t xml:space="preserve">aj z vnútorných zdrojov </w:t>
      </w:r>
      <w:r w:rsidR="002C31FF">
        <w:rPr>
          <w:rFonts w:ascii="Times New Roman" w:hAnsi="Times New Roman"/>
          <w:szCs w:val="24"/>
        </w:rPr>
        <w:t>na základe rozhodovania generálneho riaditeľa Sociálnej poisťovne o presúvaní finančných prostriedkov medzi základnými fondmi v prípade ich nedostatku v niektorom fonde</w:t>
      </w:r>
      <w:r w:rsidRPr="00BA63ED">
        <w:rPr>
          <w:rFonts w:ascii="Times New Roman" w:hAnsi="Times New Roman"/>
          <w:szCs w:val="24"/>
        </w:rPr>
        <w:t xml:space="preserve">. </w:t>
      </w:r>
    </w:p>
    <w:p w:rsidR="007E0EF4" w:rsidRPr="00647A0F" w:rsidP="00903CF9">
      <w:pPr>
        <w:pStyle w:val="BodyTextIndent2"/>
        <w:bidi w:val="0"/>
        <w:spacing w:before="240" w:line="240" w:lineRule="auto"/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22553C">
        <w:rPr>
          <w:rFonts w:ascii="Times New Roman" w:hAnsi="Times New Roman"/>
          <w:color w:val="000000"/>
          <w:szCs w:val="24"/>
        </w:rPr>
        <w:t>Dôchodkové dávky sa od</w:t>
      </w:r>
      <w:r w:rsidR="0022553C">
        <w:rPr>
          <w:rFonts w:ascii="Times New Roman" w:hAnsi="Times New Roman"/>
          <w:color w:val="000000"/>
          <w:szCs w:val="24"/>
        </w:rPr>
        <w:t xml:space="preserve"> roku</w:t>
      </w:r>
      <w:r w:rsidRPr="0022553C">
        <w:rPr>
          <w:rFonts w:ascii="Times New Roman" w:hAnsi="Times New Roman"/>
          <w:color w:val="000000"/>
          <w:szCs w:val="24"/>
        </w:rPr>
        <w:t xml:space="preserve"> 2018</w:t>
      </w:r>
      <w:r w:rsidR="0022553C">
        <w:rPr>
          <w:rFonts w:ascii="Times New Roman" w:hAnsi="Times New Roman"/>
          <w:color w:val="000000"/>
          <w:szCs w:val="24"/>
        </w:rPr>
        <w:t xml:space="preserve"> </w:t>
      </w:r>
      <w:r w:rsidRPr="0022553C" w:rsidR="0022553C">
        <w:rPr>
          <w:rFonts w:ascii="Times New Roman" w:hAnsi="Times New Roman"/>
          <w:color w:val="000000"/>
          <w:szCs w:val="24"/>
        </w:rPr>
        <w:t>budú zvyšovať o percento medziročného rastu spotrebiteľ</w:t>
      </w:r>
      <w:r w:rsidR="00F03D2B">
        <w:rPr>
          <w:rFonts w:ascii="Times New Roman" w:hAnsi="Times New Roman"/>
          <w:color w:val="000000"/>
          <w:szCs w:val="24"/>
        </w:rPr>
        <w:t>ských cien za domácnosti dôchodc</w:t>
      </w:r>
      <w:r w:rsidRPr="0022553C" w:rsidR="0022553C">
        <w:rPr>
          <w:rFonts w:ascii="Times New Roman" w:hAnsi="Times New Roman"/>
          <w:color w:val="000000"/>
          <w:szCs w:val="24"/>
        </w:rPr>
        <w:t xml:space="preserve">ov, najmenej však o pevnú sumu určenú </w:t>
      </w:r>
      <w:r w:rsidR="00647A0F">
        <w:rPr>
          <w:rFonts w:ascii="Times New Roman" w:hAnsi="Times New Roman"/>
          <w:color w:val="000000"/>
          <w:szCs w:val="24"/>
        </w:rPr>
        <w:t xml:space="preserve">ako </w:t>
      </w:r>
      <w:r w:rsidRPr="0022553C" w:rsidR="0022553C">
        <w:rPr>
          <w:rFonts w:ascii="Times New Roman" w:hAnsi="Times New Roman"/>
          <w:color w:val="000000"/>
          <w:szCs w:val="24"/>
        </w:rPr>
        <w:t>2</w:t>
      </w:r>
      <w:r w:rsidR="002B766D">
        <w:rPr>
          <w:rFonts w:ascii="Times New Roman" w:hAnsi="Times New Roman"/>
          <w:color w:val="000000"/>
          <w:szCs w:val="24"/>
        </w:rPr>
        <w:t> </w:t>
      </w:r>
      <w:r w:rsidRPr="0022553C" w:rsidR="0022553C">
        <w:t xml:space="preserve">% </w:t>
      </w:r>
      <w:r w:rsidRPr="0022553C" w:rsidR="0022553C">
        <w:rPr>
          <w:rFonts w:ascii="Times New Roman" w:hAnsi="Times New Roman"/>
        </w:rPr>
        <w:t xml:space="preserve">z priemernej sumy príslušného </w:t>
      </w:r>
      <w:r w:rsidR="002B766D">
        <w:rPr>
          <w:rFonts w:ascii="Times New Roman" w:hAnsi="Times New Roman"/>
        </w:rPr>
        <w:t xml:space="preserve">druhu </w:t>
      </w:r>
      <w:r w:rsidRPr="0022553C" w:rsidR="0022553C">
        <w:rPr>
          <w:rFonts w:ascii="Times New Roman" w:hAnsi="Times New Roman"/>
        </w:rPr>
        <w:t>dôchodku</w:t>
      </w:r>
      <w:r w:rsidR="002B766D">
        <w:rPr>
          <w:rFonts w:ascii="Times New Roman" w:hAnsi="Times New Roman"/>
        </w:rPr>
        <w:t>.</w:t>
      </w:r>
      <w:r w:rsidRPr="0022553C">
        <w:rPr>
          <w:rFonts w:ascii="Times New Roman" w:hAnsi="Times New Roman"/>
          <w:color w:val="000000"/>
          <w:szCs w:val="24"/>
        </w:rPr>
        <w:t xml:space="preserve"> </w:t>
      </w:r>
      <w:r w:rsidR="002B766D">
        <w:rPr>
          <w:rFonts w:ascii="Times New Roman" w:hAnsi="Times New Roman"/>
          <w:color w:val="000000"/>
          <w:szCs w:val="24"/>
        </w:rPr>
        <w:t xml:space="preserve">Výdavky na zvýšenie </w:t>
      </w:r>
      <w:r w:rsidRPr="00647A0F" w:rsidR="002B766D">
        <w:rPr>
          <w:rFonts w:ascii="Times New Roman" w:hAnsi="Times New Roman"/>
          <w:color w:val="000000"/>
          <w:szCs w:val="24"/>
        </w:rPr>
        <w:t>dôchodkov n</w:t>
      </w:r>
      <w:r w:rsidR="004011B5">
        <w:rPr>
          <w:rFonts w:ascii="Times New Roman" w:hAnsi="Times New Roman"/>
          <w:color w:val="000000"/>
          <w:szCs w:val="24"/>
        </w:rPr>
        <w:t>a </w:t>
      </w:r>
      <w:r w:rsidRPr="00647A0F" w:rsidR="002B766D">
        <w:rPr>
          <w:rFonts w:ascii="Times New Roman" w:hAnsi="Times New Roman"/>
          <w:color w:val="000000"/>
          <w:szCs w:val="24"/>
        </w:rPr>
        <w:t xml:space="preserve">roky 2018 až 2020 </w:t>
      </w:r>
      <w:r w:rsidRPr="00647A0F">
        <w:rPr>
          <w:rFonts w:ascii="Times New Roman" w:hAnsi="Times New Roman"/>
          <w:color w:val="000000"/>
          <w:szCs w:val="24"/>
        </w:rPr>
        <w:t xml:space="preserve"> sa rozpočtujú:</w:t>
      </w:r>
    </w:p>
    <w:tbl>
      <w:tblPr>
        <w:tblStyle w:val="TableNormal"/>
        <w:tblW w:w="8080" w:type="dxa"/>
        <w:tblInd w:w="5" w:type="dxa"/>
        <w:tblCellMar>
          <w:left w:w="70" w:type="dxa"/>
          <w:right w:w="70" w:type="dxa"/>
        </w:tblCellMar>
      </w:tblPr>
      <w:tblGrid>
        <w:gridCol w:w="4395"/>
        <w:gridCol w:w="1275"/>
        <w:gridCol w:w="1134"/>
        <w:gridCol w:w="1276"/>
      </w:tblGrid>
      <w:tr>
        <w:tblPrEx>
          <w:tblW w:w="8080" w:type="dxa"/>
          <w:tblInd w:w="5" w:type="dxa"/>
          <w:tblCellMar>
            <w:left w:w="70" w:type="dxa"/>
            <w:right w:w="70" w:type="dxa"/>
          </w:tblCellMar>
        </w:tblPrEx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D1278D" w:rsidRPr="00647A0F" w:rsidP="00215F7B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7A0F">
              <w:rPr>
                <w:rFonts w:ascii="Times New Roman" w:hAnsi="Times New Roman"/>
                <w:sz w:val="22"/>
                <w:szCs w:val="22"/>
              </w:rPr>
              <w:t>Text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D1278D" w:rsidRPr="00647A0F" w:rsidP="00215F7B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7A0F">
              <w:rPr>
                <w:rFonts w:ascii="Times New Roman" w:hAnsi="Times New Roman"/>
                <w:sz w:val="22"/>
                <w:szCs w:val="22"/>
              </w:rPr>
              <w:t>Rok 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D1278D" w:rsidRPr="00647A0F" w:rsidP="00215F7B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7A0F">
              <w:rPr>
                <w:rFonts w:ascii="Times New Roman" w:hAnsi="Times New Roman"/>
                <w:sz w:val="22"/>
                <w:szCs w:val="22"/>
              </w:rPr>
              <w:t>Rok 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1278D" w:rsidRPr="00647A0F" w:rsidP="00215F7B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7A0F">
              <w:rPr>
                <w:rFonts w:ascii="Times New Roman" w:hAnsi="Times New Roman"/>
                <w:sz w:val="22"/>
                <w:szCs w:val="22"/>
              </w:rPr>
              <w:t>Rok 2020</w:t>
            </w:r>
          </w:p>
        </w:tc>
      </w:tr>
      <w:tr>
        <w:tblPrEx>
          <w:tblW w:w="8080" w:type="dxa"/>
          <w:tblInd w:w="5" w:type="dxa"/>
          <w:tblCellMar>
            <w:left w:w="70" w:type="dxa"/>
            <w:right w:w="70" w:type="dxa"/>
          </w:tblCellMar>
        </w:tblPrEx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D1278D" w:rsidRPr="00647A0F" w:rsidP="00D1278D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647A0F">
              <w:rPr>
                <w:rFonts w:ascii="Times New Roman" w:hAnsi="Times New Roman"/>
                <w:sz w:val="22"/>
                <w:szCs w:val="22"/>
              </w:rPr>
              <w:t>Zvýšenie od  1.1.o min.2 % sumy (v%)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D1278D" w:rsidRPr="00647A0F" w:rsidP="00215F7B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7A0F">
              <w:rPr>
                <w:rFonts w:ascii="Times New Roman" w:hAnsi="Times New Roman"/>
                <w:sz w:val="22"/>
                <w:szCs w:val="22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D1278D" w:rsidRPr="00647A0F" w:rsidP="00215F7B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7A0F"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1278D" w:rsidRPr="00647A0F" w:rsidP="00215F7B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7A0F">
              <w:rPr>
                <w:rFonts w:ascii="Times New Roman" w:hAnsi="Times New Roman"/>
                <w:sz w:val="22"/>
                <w:szCs w:val="22"/>
              </w:rPr>
              <w:t>1,8</w:t>
            </w:r>
          </w:p>
        </w:tc>
      </w:tr>
      <w:tr>
        <w:tblPrEx>
          <w:tblW w:w="8080" w:type="dxa"/>
          <w:tblInd w:w="5" w:type="dxa"/>
          <w:tblCellMar>
            <w:left w:w="70" w:type="dxa"/>
            <w:right w:w="70" w:type="dxa"/>
          </w:tblCellMar>
        </w:tblPrEx>
        <w:trPr>
          <w:trHeight w:val="2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D1278D" w:rsidRPr="00647A0F" w:rsidP="00215F7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647A0F">
              <w:rPr>
                <w:rFonts w:ascii="Times New Roman" w:hAnsi="Times New Roman"/>
                <w:sz w:val="22"/>
                <w:szCs w:val="22"/>
              </w:rPr>
              <w:t xml:space="preserve">Výdavky na zvýšenie dôchodkov </w:t>
            </w:r>
            <w:r w:rsidRPr="00647A0F" w:rsidR="00647A0F">
              <w:rPr>
                <w:rFonts w:ascii="Times New Roman" w:hAnsi="Times New Roman"/>
                <w:sz w:val="22"/>
                <w:szCs w:val="22"/>
              </w:rPr>
              <w:t>(v tis. Eur)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D1278D" w:rsidRPr="00647A0F" w:rsidP="00215F7B">
            <w:pPr>
              <w:bidi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47A0F">
              <w:rPr>
                <w:rFonts w:ascii="Times New Roman" w:hAnsi="Times New Roman"/>
                <w:color w:val="000000"/>
                <w:sz w:val="22"/>
                <w:szCs w:val="22"/>
              </w:rPr>
              <w:t>141 356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D1278D" w:rsidRPr="00647A0F" w:rsidP="00215F7B">
            <w:pPr>
              <w:bidi w:val="0"/>
              <w:ind w:left="-193" w:firstLine="19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47A0F">
              <w:rPr>
                <w:rFonts w:ascii="Times New Roman" w:hAnsi="Times New Roman"/>
                <w:color w:val="000000"/>
                <w:sz w:val="22"/>
                <w:szCs w:val="22"/>
              </w:rPr>
              <w:t>156 176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1278D" w:rsidRPr="00647A0F" w:rsidP="00215F7B">
            <w:pPr>
              <w:bidi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47A0F">
              <w:rPr>
                <w:rFonts w:ascii="Times New Roman" w:hAnsi="Times New Roman"/>
                <w:color w:val="000000"/>
                <w:sz w:val="22"/>
                <w:szCs w:val="22"/>
              </w:rPr>
              <w:t>166 224</w:t>
            </w:r>
          </w:p>
        </w:tc>
      </w:tr>
    </w:tbl>
    <w:p w:rsidR="00D7306D" w:rsidRPr="00D467C0" w:rsidP="00647A0F">
      <w:pPr>
        <w:pStyle w:val="BodyTextIndent2"/>
        <w:bidi w:val="0"/>
        <w:spacing w:before="240" w:line="240" w:lineRule="auto"/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C6120C" w:rsidR="00A52D00">
        <w:rPr>
          <w:rFonts w:ascii="Times New Roman" w:hAnsi="Times New Roman"/>
          <w:color w:val="000000"/>
          <w:szCs w:val="24"/>
        </w:rPr>
        <w:t>Úrazové dávky</w:t>
      </w:r>
      <w:r w:rsidRPr="00BA63ED" w:rsidR="00A52D00">
        <w:rPr>
          <w:rFonts w:ascii="Times New Roman" w:hAnsi="Times New Roman"/>
          <w:color w:val="000000"/>
          <w:szCs w:val="24"/>
        </w:rPr>
        <w:t xml:space="preserve"> sa </w:t>
      </w:r>
      <w:r w:rsidR="00647A0F">
        <w:rPr>
          <w:rFonts w:ascii="Times New Roman" w:hAnsi="Times New Roman"/>
          <w:color w:val="000000"/>
          <w:szCs w:val="24"/>
        </w:rPr>
        <w:t>od roku</w:t>
      </w:r>
      <w:r w:rsidR="00A52D00">
        <w:rPr>
          <w:rFonts w:ascii="Times New Roman" w:hAnsi="Times New Roman"/>
          <w:color w:val="000000"/>
          <w:szCs w:val="24"/>
        </w:rPr>
        <w:t xml:space="preserve"> 2018 </w:t>
      </w:r>
      <w:r w:rsidRPr="00BA63ED" w:rsidR="00A52D00">
        <w:rPr>
          <w:rFonts w:ascii="Times New Roman" w:hAnsi="Times New Roman"/>
          <w:color w:val="000000"/>
          <w:szCs w:val="24"/>
        </w:rPr>
        <w:t xml:space="preserve">zvyšujú </w:t>
      </w:r>
      <w:r w:rsidR="00A52D00">
        <w:rPr>
          <w:rFonts w:ascii="Times New Roman" w:hAnsi="Times New Roman"/>
          <w:color w:val="000000"/>
          <w:szCs w:val="24"/>
        </w:rPr>
        <w:t>o 2 % na základe vládneho návrhu zákona, ktorým sa ustanovuje minimálne valorizačné percento na zvyšovanie úrazových dávok.</w:t>
      </w:r>
      <w:r w:rsidRPr="00BA63ED" w:rsidR="00A52D00">
        <w:rPr>
          <w:rFonts w:ascii="Times New Roman" w:hAnsi="Times New Roman"/>
          <w:color w:val="000000"/>
          <w:szCs w:val="24"/>
        </w:rPr>
        <w:t xml:space="preserve"> </w:t>
      </w:r>
      <w:r w:rsidRPr="00D467C0">
        <w:rPr>
          <w:rFonts w:ascii="Times New Roman" w:hAnsi="Times New Roman"/>
          <w:color w:val="000000"/>
          <w:szCs w:val="24"/>
        </w:rPr>
        <w:t xml:space="preserve">Výdavky na valorizáciu </w:t>
      </w:r>
      <w:r w:rsidRPr="00D467C0">
        <w:rPr>
          <w:rFonts w:ascii="Times New Roman" w:hAnsi="Times New Roman"/>
          <w:szCs w:val="24"/>
        </w:rPr>
        <w:t>úrazových dávok</w:t>
      </w:r>
      <w:r w:rsidRPr="00D467C0">
        <w:rPr>
          <w:rFonts w:ascii="Times New Roman" w:hAnsi="Times New Roman"/>
          <w:color w:val="000000"/>
          <w:szCs w:val="24"/>
        </w:rPr>
        <w:t xml:space="preserve"> v rokoch 201</w:t>
      </w:r>
      <w:r w:rsidR="00CA54BB">
        <w:rPr>
          <w:rFonts w:ascii="Times New Roman" w:hAnsi="Times New Roman"/>
          <w:color w:val="000000"/>
          <w:szCs w:val="24"/>
        </w:rPr>
        <w:t>8</w:t>
      </w:r>
      <w:r w:rsidRPr="00D467C0">
        <w:rPr>
          <w:rFonts w:ascii="Times New Roman" w:hAnsi="Times New Roman"/>
          <w:color w:val="000000"/>
          <w:szCs w:val="24"/>
        </w:rPr>
        <w:t xml:space="preserve"> až 20</w:t>
      </w:r>
      <w:r w:rsidR="00903CF9">
        <w:rPr>
          <w:rFonts w:ascii="Times New Roman" w:hAnsi="Times New Roman"/>
          <w:color w:val="000000"/>
          <w:szCs w:val="24"/>
        </w:rPr>
        <w:t>20</w:t>
      </w:r>
      <w:r w:rsidRPr="00D467C0">
        <w:rPr>
          <w:rFonts w:ascii="Times New Roman" w:hAnsi="Times New Roman"/>
          <w:color w:val="000000"/>
          <w:szCs w:val="24"/>
        </w:rPr>
        <w:t xml:space="preserve"> sa v jednotlivých rokoch rozpočtujú:</w:t>
      </w:r>
    </w:p>
    <w:tbl>
      <w:tblPr>
        <w:tblStyle w:val="TableNormal"/>
        <w:tblW w:w="8080" w:type="dxa"/>
        <w:tblInd w:w="70" w:type="dxa"/>
        <w:tblLayout w:type="fixed"/>
        <w:tblCellMar>
          <w:left w:w="70" w:type="dxa"/>
          <w:right w:w="70" w:type="dxa"/>
        </w:tblCellMar>
      </w:tblPr>
      <w:tblGrid>
        <w:gridCol w:w="4395"/>
        <w:gridCol w:w="1275"/>
        <w:gridCol w:w="1134"/>
        <w:gridCol w:w="1276"/>
      </w:tblGrid>
      <w:tr>
        <w:tblPrEx>
          <w:tblW w:w="808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3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D4A6B" w:rsidRPr="00D467C0" w:rsidP="00E5156B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Text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D4A6B" w:rsidRPr="00D467C0" w:rsidP="0075576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Rok 201</w:t>
            </w:r>
            <w:r w:rsidR="0075576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D4A6B" w:rsidRPr="00D467C0" w:rsidP="0075576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Rok 201</w:t>
            </w:r>
            <w:r w:rsidR="0075576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D4A6B" w:rsidRPr="00D467C0" w:rsidP="0075576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Rok 20</w:t>
            </w:r>
            <w:r w:rsidR="0075576F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>
        <w:tblPrEx>
          <w:tblW w:w="808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3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D4A6B" w:rsidRPr="00D467C0" w:rsidP="004758C3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Výdavky na zvýšenie úrazových dávok</w:t>
            </w:r>
            <w:r w:rsidR="004758C3">
              <w:rPr>
                <w:rFonts w:ascii="Times New Roman" w:hAnsi="Times New Roman"/>
                <w:sz w:val="22"/>
                <w:szCs w:val="22"/>
              </w:rPr>
              <w:br/>
            </w:r>
            <w:r w:rsidRPr="00D467C0">
              <w:rPr>
                <w:rFonts w:ascii="Times New Roman" w:hAnsi="Times New Roman"/>
                <w:sz w:val="22"/>
                <w:szCs w:val="22"/>
              </w:rPr>
              <w:t>(v tis. Eur)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D4A6B" w:rsidRPr="00D467C0" w:rsidP="00E5156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="00261D99">
              <w:rPr>
                <w:rFonts w:ascii="Times New Roman" w:hAnsi="Times New Roman"/>
                <w:sz w:val="22"/>
                <w:szCs w:val="22"/>
              </w:rPr>
              <w:t>597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D4A6B" w:rsidRPr="00D467C0" w:rsidP="00E5156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="00261D99">
              <w:rPr>
                <w:rFonts w:ascii="Times New Roman" w:hAnsi="Times New Roman"/>
                <w:sz w:val="22"/>
                <w:szCs w:val="22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D4A6B" w:rsidRPr="00D467C0" w:rsidP="00E5156B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="00261D99">
              <w:rPr>
                <w:rFonts w:ascii="Times New Roman" w:hAnsi="Times New Roman"/>
                <w:sz w:val="22"/>
                <w:szCs w:val="22"/>
              </w:rPr>
              <w:t>684</w:t>
            </w:r>
          </w:p>
        </w:tc>
      </w:tr>
    </w:tbl>
    <w:p w:rsidR="000E64AF" w:rsidRPr="00D467C0" w:rsidP="001D4A6B">
      <w:pPr>
        <w:bidi w:val="0"/>
        <w:spacing w:before="360" w:after="120"/>
        <w:ind w:firstLine="720"/>
        <w:jc w:val="both"/>
        <w:rPr>
          <w:rFonts w:ascii="Times New Roman" w:hAnsi="Times New Roman"/>
          <w:szCs w:val="24"/>
        </w:rPr>
      </w:pPr>
      <w:r w:rsidRPr="00D467C0">
        <w:rPr>
          <w:rFonts w:ascii="Times New Roman" w:hAnsi="Times New Roman"/>
          <w:szCs w:val="24"/>
        </w:rPr>
        <w:t>Jednotlivé ukazovatele sú detailnejšie zdôvodnené priamo v materiáli.</w:t>
      </w:r>
    </w:p>
    <w:sectPr w:rsidSect="00001E7A">
      <w:footerReference w:type="even" r:id="rId5"/>
      <w:footerReference w:type="default" r:id="rId6"/>
      <w:pgSz w:w="11906" w:h="16838"/>
      <w:pgMar w:top="1417" w:right="1417" w:bottom="1276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DFA" w:rsidP="00194EA0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0DFA" w:rsidP="00676CF3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DFA" w:rsidRPr="00001E7A" w:rsidP="00194EA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Pr="00001E7A">
      <w:rPr>
        <w:rStyle w:val="PageNumber"/>
        <w:rFonts w:ascii="Times New Roman" w:hAnsi="Times New Roman"/>
      </w:rPr>
      <w:fldChar w:fldCharType="begin"/>
    </w:r>
    <w:r w:rsidRPr="00001E7A">
      <w:rPr>
        <w:rStyle w:val="PageNumber"/>
        <w:rFonts w:ascii="Times New Roman" w:hAnsi="Times New Roman"/>
      </w:rPr>
      <w:instrText xml:space="preserve">PAGE  </w:instrText>
    </w:r>
    <w:r w:rsidRPr="00001E7A">
      <w:rPr>
        <w:rStyle w:val="PageNumber"/>
        <w:rFonts w:ascii="Times New Roman" w:hAnsi="Times New Roman"/>
      </w:rPr>
      <w:fldChar w:fldCharType="separate"/>
    </w:r>
    <w:r w:rsidR="00D17E5F">
      <w:rPr>
        <w:rStyle w:val="PageNumber"/>
        <w:rFonts w:ascii="Times New Roman" w:hAnsi="Times New Roman"/>
        <w:noProof/>
      </w:rPr>
      <w:t>2</w:t>
    </w:r>
    <w:r w:rsidRPr="00001E7A">
      <w:rPr>
        <w:rStyle w:val="PageNumber"/>
        <w:rFonts w:ascii="Times New Roman" w:hAnsi="Times New Roman"/>
      </w:rPr>
      <w:fldChar w:fldCharType="end"/>
    </w:r>
  </w:p>
  <w:p w:rsidR="00BE0DFA" w:rsidP="00676CF3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13750"/>
    <w:multiLevelType w:val="hybridMultilevel"/>
    <w:tmpl w:val="0F9881E2"/>
    <w:lvl w:ilvl="0">
      <w:start w:val="216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B766440"/>
    <w:multiLevelType w:val="hybridMultilevel"/>
    <w:tmpl w:val="2B1421B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D6019"/>
    <w:multiLevelType w:val="hybridMultilevel"/>
    <w:tmpl w:val="CB1C7D0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B4619"/>
    <w:multiLevelType w:val="hybridMultilevel"/>
    <w:tmpl w:val="DB4E0106"/>
    <w:lvl w:ilvl="0">
      <w:start w:val="0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5CFD15F6"/>
    <w:multiLevelType w:val="hybridMultilevel"/>
    <w:tmpl w:val="810C471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05D29A3"/>
    <w:multiLevelType w:val="hybridMultilevel"/>
    <w:tmpl w:val="B93E37D4"/>
    <w:lvl w:ilvl="0">
      <w:start w:val="218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5577618"/>
    <w:multiLevelType w:val="hybridMultilevel"/>
    <w:tmpl w:val="87D0A1C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74D56EE7"/>
    <w:multiLevelType w:val="hybridMultilevel"/>
    <w:tmpl w:val="A8EE3FA2"/>
    <w:lvl w:ilvl="0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802539"/>
    <w:rsid w:val="00001E7A"/>
    <w:rsid w:val="000041CD"/>
    <w:rsid w:val="000105E9"/>
    <w:rsid w:val="00012782"/>
    <w:rsid w:val="00015CDD"/>
    <w:rsid w:val="00016871"/>
    <w:rsid w:val="00032C25"/>
    <w:rsid w:val="00044228"/>
    <w:rsid w:val="0005668C"/>
    <w:rsid w:val="0006208B"/>
    <w:rsid w:val="00073F68"/>
    <w:rsid w:val="00074C2B"/>
    <w:rsid w:val="00080EC4"/>
    <w:rsid w:val="0009233A"/>
    <w:rsid w:val="000A7C55"/>
    <w:rsid w:val="000B1777"/>
    <w:rsid w:val="000C4C58"/>
    <w:rsid w:val="000D0D34"/>
    <w:rsid w:val="000E2A73"/>
    <w:rsid w:val="000E3FD1"/>
    <w:rsid w:val="000E64AF"/>
    <w:rsid w:val="000F034C"/>
    <w:rsid w:val="000F6EB5"/>
    <w:rsid w:val="001006F8"/>
    <w:rsid w:val="001114E8"/>
    <w:rsid w:val="00112CB4"/>
    <w:rsid w:val="0011485F"/>
    <w:rsid w:val="0013488D"/>
    <w:rsid w:val="00161FB3"/>
    <w:rsid w:val="00177AF1"/>
    <w:rsid w:val="00194748"/>
    <w:rsid w:val="00194EA0"/>
    <w:rsid w:val="001A2207"/>
    <w:rsid w:val="001B0FCC"/>
    <w:rsid w:val="001C4ED1"/>
    <w:rsid w:val="001C7BEC"/>
    <w:rsid w:val="001D13B1"/>
    <w:rsid w:val="001D28F2"/>
    <w:rsid w:val="001D4A6B"/>
    <w:rsid w:val="001E72A9"/>
    <w:rsid w:val="001F44E0"/>
    <w:rsid w:val="00215F7B"/>
    <w:rsid w:val="00223EBA"/>
    <w:rsid w:val="0022417D"/>
    <w:rsid w:val="0022553C"/>
    <w:rsid w:val="00231424"/>
    <w:rsid w:val="00235263"/>
    <w:rsid w:val="00246822"/>
    <w:rsid w:val="00261D99"/>
    <w:rsid w:val="0026283B"/>
    <w:rsid w:val="0028271C"/>
    <w:rsid w:val="00297C38"/>
    <w:rsid w:val="002A65CE"/>
    <w:rsid w:val="002A6769"/>
    <w:rsid w:val="002B61D9"/>
    <w:rsid w:val="002B766D"/>
    <w:rsid w:val="002B790C"/>
    <w:rsid w:val="002C05ED"/>
    <w:rsid w:val="002C31FF"/>
    <w:rsid w:val="002D3D80"/>
    <w:rsid w:val="002E0AD0"/>
    <w:rsid w:val="002E6BD9"/>
    <w:rsid w:val="00306235"/>
    <w:rsid w:val="0031062A"/>
    <w:rsid w:val="00317C98"/>
    <w:rsid w:val="00320820"/>
    <w:rsid w:val="003442DC"/>
    <w:rsid w:val="00356721"/>
    <w:rsid w:val="00360289"/>
    <w:rsid w:val="003667BA"/>
    <w:rsid w:val="003713CA"/>
    <w:rsid w:val="0037230B"/>
    <w:rsid w:val="0038514E"/>
    <w:rsid w:val="0039596F"/>
    <w:rsid w:val="003B7EDD"/>
    <w:rsid w:val="003D574D"/>
    <w:rsid w:val="003E4685"/>
    <w:rsid w:val="003F4ED3"/>
    <w:rsid w:val="003F66EB"/>
    <w:rsid w:val="004011B5"/>
    <w:rsid w:val="0041056E"/>
    <w:rsid w:val="0041080D"/>
    <w:rsid w:val="00414B4C"/>
    <w:rsid w:val="00420C02"/>
    <w:rsid w:val="004274D6"/>
    <w:rsid w:val="004378D1"/>
    <w:rsid w:val="00451B96"/>
    <w:rsid w:val="004633CB"/>
    <w:rsid w:val="004758C3"/>
    <w:rsid w:val="0047749C"/>
    <w:rsid w:val="00480600"/>
    <w:rsid w:val="004869A9"/>
    <w:rsid w:val="004B1551"/>
    <w:rsid w:val="004B2391"/>
    <w:rsid w:val="004B4483"/>
    <w:rsid w:val="004C7EC8"/>
    <w:rsid w:val="004D3D49"/>
    <w:rsid w:val="004D45CB"/>
    <w:rsid w:val="004E0DB9"/>
    <w:rsid w:val="004E1EA6"/>
    <w:rsid w:val="004E2743"/>
    <w:rsid w:val="00506FF3"/>
    <w:rsid w:val="005267E6"/>
    <w:rsid w:val="005331AB"/>
    <w:rsid w:val="00546D31"/>
    <w:rsid w:val="00550C07"/>
    <w:rsid w:val="00591679"/>
    <w:rsid w:val="00594F70"/>
    <w:rsid w:val="00595A80"/>
    <w:rsid w:val="005A344C"/>
    <w:rsid w:val="005A5459"/>
    <w:rsid w:val="005A61B7"/>
    <w:rsid w:val="005C3EAA"/>
    <w:rsid w:val="005D5681"/>
    <w:rsid w:val="005E3658"/>
    <w:rsid w:val="006169D7"/>
    <w:rsid w:val="0062245B"/>
    <w:rsid w:val="00625E1F"/>
    <w:rsid w:val="006275D6"/>
    <w:rsid w:val="00630B43"/>
    <w:rsid w:val="00632D7D"/>
    <w:rsid w:val="006343D9"/>
    <w:rsid w:val="00647A0F"/>
    <w:rsid w:val="00650D54"/>
    <w:rsid w:val="00651176"/>
    <w:rsid w:val="00652A37"/>
    <w:rsid w:val="00653CAB"/>
    <w:rsid w:val="00676CF3"/>
    <w:rsid w:val="00676D71"/>
    <w:rsid w:val="00681487"/>
    <w:rsid w:val="006911EC"/>
    <w:rsid w:val="006977BB"/>
    <w:rsid w:val="00697C5D"/>
    <w:rsid w:val="00697F4F"/>
    <w:rsid w:val="006B7BA6"/>
    <w:rsid w:val="006D0619"/>
    <w:rsid w:val="006D3137"/>
    <w:rsid w:val="0071445F"/>
    <w:rsid w:val="00716241"/>
    <w:rsid w:val="00723E44"/>
    <w:rsid w:val="00746CA9"/>
    <w:rsid w:val="00754A0A"/>
    <w:rsid w:val="0075576F"/>
    <w:rsid w:val="00764E5D"/>
    <w:rsid w:val="00774E7E"/>
    <w:rsid w:val="007900C5"/>
    <w:rsid w:val="00791B91"/>
    <w:rsid w:val="00791BAC"/>
    <w:rsid w:val="00795EAF"/>
    <w:rsid w:val="007A4321"/>
    <w:rsid w:val="007D6463"/>
    <w:rsid w:val="007D6C4A"/>
    <w:rsid w:val="007E0EF4"/>
    <w:rsid w:val="007E3CC1"/>
    <w:rsid w:val="00801F91"/>
    <w:rsid w:val="00802539"/>
    <w:rsid w:val="0080742A"/>
    <w:rsid w:val="008152BC"/>
    <w:rsid w:val="008515FB"/>
    <w:rsid w:val="008543A8"/>
    <w:rsid w:val="008652D5"/>
    <w:rsid w:val="00865F60"/>
    <w:rsid w:val="008677E0"/>
    <w:rsid w:val="00872D03"/>
    <w:rsid w:val="008A50DB"/>
    <w:rsid w:val="008A7681"/>
    <w:rsid w:val="008A7F92"/>
    <w:rsid w:val="008B26F6"/>
    <w:rsid w:val="008B571A"/>
    <w:rsid w:val="008B7E37"/>
    <w:rsid w:val="008C3786"/>
    <w:rsid w:val="008D7882"/>
    <w:rsid w:val="008E5E86"/>
    <w:rsid w:val="008F3D12"/>
    <w:rsid w:val="008F41FF"/>
    <w:rsid w:val="0090122C"/>
    <w:rsid w:val="009039D3"/>
    <w:rsid w:val="00903AFF"/>
    <w:rsid w:val="00903CF9"/>
    <w:rsid w:val="00910AB4"/>
    <w:rsid w:val="00966FCB"/>
    <w:rsid w:val="00992B1E"/>
    <w:rsid w:val="009A5225"/>
    <w:rsid w:val="009A7CE2"/>
    <w:rsid w:val="009E1753"/>
    <w:rsid w:val="00A0000E"/>
    <w:rsid w:val="00A00818"/>
    <w:rsid w:val="00A05BA6"/>
    <w:rsid w:val="00A15282"/>
    <w:rsid w:val="00A52D00"/>
    <w:rsid w:val="00A64C96"/>
    <w:rsid w:val="00A733A0"/>
    <w:rsid w:val="00A9067F"/>
    <w:rsid w:val="00A97DDE"/>
    <w:rsid w:val="00AA11C7"/>
    <w:rsid w:val="00AA266C"/>
    <w:rsid w:val="00AA7731"/>
    <w:rsid w:val="00AB0CA6"/>
    <w:rsid w:val="00AC3855"/>
    <w:rsid w:val="00AC5034"/>
    <w:rsid w:val="00AD4CBE"/>
    <w:rsid w:val="00AD74F8"/>
    <w:rsid w:val="00AD76CE"/>
    <w:rsid w:val="00AE4857"/>
    <w:rsid w:val="00AF052C"/>
    <w:rsid w:val="00AF7BBB"/>
    <w:rsid w:val="00B0470A"/>
    <w:rsid w:val="00B118BE"/>
    <w:rsid w:val="00B34127"/>
    <w:rsid w:val="00B47F4B"/>
    <w:rsid w:val="00B53330"/>
    <w:rsid w:val="00B601A3"/>
    <w:rsid w:val="00B82191"/>
    <w:rsid w:val="00B94080"/>
    <w:rsid w:val="00BA1047"/>
    <w:rsid w:val="00BA63ED"/>
    <w:rsid w:val="00BC6981"/>
    <w:rsid w:val="00BE0DFA"/>
    <w:rsid w:val="00BE1A2D"/>
    <w:rsid w:val="00BF276B"/>
    <w:rsid w:val="00C03452"/>
    <w:rsid w:val="00C0713C"/>
    <w:rsid w:val="00C17A26"/>
    <w:rsid w:val="00C34347"/>
    <w:rsid w:val="00C34A88"/>
    <w:rsid w:val="00C6120C"/>
    <w:rsid w:val="00C7125D"/>
    <w:rsid w:val="00C73439"/>
    <w:rsid w:val="00C76D64"/>
    <w:rsid w:val="00C809B2"/>
    <w:rsid w:val="00C8105D"/>
    <w:rsid w:val="00C84DBF"/>
    <w:rsid w:val="00C94A20"/>
    <w:rsid w:val="00C97464"/>
    <w:rsid w:val="00CA54BB"/>
    <w:rsid w:val="00CB11FF"/>
    <w:rsid w:val="00CB6D6D"/>
    <w:rsid w:val="00CF18C9"/>
    <w:rsid w:val="00D11606"/>
    <w:rsid w:val="00D1278D"/>
    <w:rsid w:val="00D14C89"/>
    <w:rsid w:val="00D17E5F"/>
    <w:rsid w:val="00D20F5D"/>
    <w:rsid w:val="00D35BB0"/>
    <w:rsid w:val="00D467C0"/>
    <w:rsid w:val="00D47FBC"/>
    <w:rsid w:val="00D50DAE"/>
    <w:rsid w:val="00D57914"/>
    <w:rsid w:val="00D643E9"/>
    <w:rsid w:val="00D7306D"/>
    <w:rsid w:val="00DA2B5E"/>
    <w:rsid w:val="00DB1530"/>
    <w:rsid w:val="00DB4266"/>
    <w:rsid w:val="00DB508D"/>
    <w:rsid w:val="00DC7AA4"/>
    <w:rsid w:val="00DE2BAB"/>
    <w:rsid w:val="00DE61C0"/>
    <w:rsid w:val="00DE745C"/>
    <w:rsid w:val="00DF25A0"/>
    <w:rsid w:val="00E001DD"/>
    <w:rsid w:val="00E00281"/>
    <w:rsid w:val="00E05018"/>
    <w:rsid w:val="00E051AF"/>
    <w:rsid w:val="00E11A58"/>
    <w:rsid w:val="00E136D2"/>
    <w:rsid w:val="00E1487F"/>
    <w:rsid w:val="00E20154"/>
    <w:rsid w:val="00E21DDB"/>
    <w:rsid w:val="00E33A7D"/>
    <w:rsid w:val="00E41FCB"/>
    <w:rsid w:val="00E45B49"/>
    <w:rsid w:val="00E5156B"/>
    <w:rsid w:val="00E51E22"/>
    <w:rsid w:val="00E62B2A"/>
    <w:rsid w:val="00E65995"/>
    <w:rsid w:val="00E664D9"/>
    <w:rsid w:val="00E71E67"/>
    <w:rsid w:val="00E77C55"/>
    <w:rsid w:val="00E911EC"/>
    <w:rsid w:val="00E92061"/>
    <w:rsid w:val="00EA1CF4"/>
    <w:rsid w:val="00EA372C"/>
    <w:rsid w:val="00EC0DE3"/>
    <w:rsid w:val="00EC4264"/>
    <w:rsid w:val="00EF2CDD"/>
    <w:rsid w:val="00F03D2B"/>
    <w:rsid w:val="00F45A44"/>
    <w:rsid w:val="00F47C40"/>
    <w:rsid w:val="00F5630E"/>
    <w:rsid w:val="00F6348B"/>
    <w:rsid w:val="00F663BA"/>
    <w:rsid w:val="00F6674E"/>
    <w:rsid w:val="00F74F08"/>
    <w:rsid w:val="00FA665A"/>
    <w:rsid w:val="00FC2D9D"/>
    <w:rsid w:val="00FD188F"/>
    <w:rsid w:val="00FE1D8A"/>
    <w:rsid w:val="00FE2297"/>
    <w:rsid w:val="00FF5FC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25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802539"/>
    <w:pPr>
      <w:tabs>
        <w:tab w:val="right" w:pos="9071"/>
      </w:tabs>
      <w:ind w:firstLine="709"/>
      <w:jc w:val="both"/>
    </w:pPr>
  </w:style>
  <w:style w:type="paragraph" w:styleId="BodyTextIndent2">
    <w:name w:val="Body Text Indent 2"/>
    <w:basedOn w:val="Normal"/>
    <w:link w:val="Zarkazkladnhotextu2Char"/>
    <w:rsid w:val="00802539"/>
    <w:pPr>
      <w:spacing w:after="120" w:line="480" w:lineRule="auto"/>
      <w:ind w:left="283"/>
      <w:jc w:val="left"/>
    </w:pPr>
  </w:style>
  <w:style w:type="paragraph" w:customStyle="1" w:styleId="CarCharChar">
    <w:name w:val="Car Char Char"/>
    <w:basedOn w:val="Normal"/>
    <w:rsid w:val="00802539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styleId="BalloonText">
    <w:name w:val="Balloon Text"/>
    <w:basedOn w:val="Normal"/>
    <w:semiHidden/>
    <w:rsid w:val="00DA2B5E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76CF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76CF3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FE1D8A"/>
    <w:pPr>
      <w:ind w:left="720"/>
      <w:contextualSpacing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locked/>
    <w:rsid w:val="00EC0DE3"/>
    <w:rPr>
      <w:rFonts w:ascii="Arial" w:hAnsi="Arial" w:cs="Times New Roman"/>
      <w:sz w:val="24"/>
      <w:rtl w:val="0"/>
      <w:cs w:val="0"/>
    </w:rPr>
  </w:style>
  <w:style w:type="paragraph" w:styleId="Header">
    <w:name w:val="header"/>
    <w:basedOn w:val="Normal"/>
    <w:link w:val="HlavikaChar"/>
    <w:rsid w:val="0023526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locked/>
    <w:rsid w:val="00235263"/>
    <w:rPr>
      <w:rFonts w:ascii="Arial" w:hAnsi="Arial" w:cs="Times New Roman"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3F125-5488-4E30-A25E-72C95704F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692</Words>
  <Characters>3947</Characters>
  <Application>Microsoft Office Word</Application>
  <DocSecurity>0</DocSecurity>
  <Lines>0</Lines>
  <Paragraphs>0</Paragraphs>
  <ScaleCrop>false</ScaleCrop>
  <Company>Sociálna poisťovňa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FARKASOVA_K</dc:creator>
  <cp:lastModifiedBy>SP</cp:lastModifiedBy>
  <cp:revision>2</cp:revision>
  <cp:lastPrinted>2017-09-27T10:22:00Z</cp:lastPrinted>
  <dcterms:created xsi:type="dcterms:W3CDTF">2017-10-12T09:37:00Z</dcterms:created>
  <dcterms:modified xsi:type="dcterms:W3CDTF">2017-10-12T09:37:00Z</dcterms:modified>
</cp:coreProperties>
</file>