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8746B" w:rsidRPr="0048746B" w:rsidP="00B1357D">
      <w:pPr>
        <w:bidi w:val="0"/>
        <w:spacing w:after="0" w:line="240" w:lineRule="auto"/>
        <w:rPr>
          <w:rFonts w:ascii="Times New Roman" w:hAnsi="Times New Roman"/>
          <w:b/>
          <w:bCs/>
          <w:sz w:val="24"/>
          <w:szCs w:val="24"/>
        </w:rPr>
      </w:pPr>
    </w:p>
    <w:p w:rsidR="0048746B" w:rsidRPr="00B1357D" w:rsidP="00B1357D">
      <w:pPr>
        <w:bidi w:val="0"/>
        <w:spacing w:after="0" w:line="240" w:lineRule="auto"/>
        <w:rPr>
          <w:rFonts w:ascii="Times New Roman" w:hAnsi="Times New Roman"/>
          <w:b/>
          <w:bCs/>
          <w:sz w:val="24"/>
          <w:szCs w:val="24"/>
        </w:rPr>
      </w:pPr>
    </w:p>
    <w:p w:rsidR="0048746B" w:rsidRPr="00B1357D" w:rsidP="00B1357D">
      <w:pPr>
        <w:bidi w:val="0"/>
        <w:spacing w:after="0" w:line="240" w:lineRule="auto"/>
        <w:rPr>
          <w:rFonts w:ascii="Times New Roman" w:hAnsi="Times New Roman"/>
          <w:b/>
          <w:bCs/>
          <w:sz w:val="24"/>
          <w:szCs w:val="24"/>
        </w:rPr>
      </w:pPr>
    </w:p>
    <w:p w:rsidR="0048746B" w:rsidRPr="00B1357D" w:rsidP="00B1357D">
      <w:pPr>
        <w:bidi w:val="0"/>
        <w:spacing w:after="0" w:line="240" w:lineRule="auto"/>
        <w:rPr>
          <w:rFonts w:ascii="Times New Roman" w:hAnsi="Times New Roman"/>
          <w:b/>
          <w:bCs/>
          <w:sz w:val="24"/>
          <w:szCs w:val="24"/>
        </w:rPr>
      </w:pPr>
    </w:p>
    <w:p w:rsidR="0048746B" w:rsidRPr="00B1357D" w:rsidP="00B1357D">
      <w:pPr>
        <w:bidi w:val="0"/>
        <w:spacing w:after="0" w:line="240" w:lineRule="auto"/>
        <w:rPr>
          <w:rFonts w:ascii="Times New Roman" w:hAnsi="Times New Roman"/>
          <w:b/>
          <w:bCs/>
          <w:sz w:val="24"/>
          <w:szCs w:val="24"/>
        </w:rPr>
      </w:pPr>
    </w:p>
    <w:p w:rsidR="0048746B" w:rsidRPr="00B1357D" w:rsidP="00B1357D">
      <w:pPr>
        <w:bidi w:val="0"/>
        <w:spacing w:after="0" w:line="240" w:lineRule="auto"/>
        <w:rPr>
          <w:rFonts w:ascii="Times New Roman" w:hAnsi="Times New Roman"/>
          <w:b/>
          <w:bCs/>
          <w:sz w:val="24"/>
          <w:szCs w:val="24"/>
        </w:rPr>
      </w:pPr>
    </w:p>
    <w:p w:rsidR="0048746B" w:rsidP="00B1357D">
      <w:pPr>
        <w:bidi w:val="0"/>
        <w:spacing w:after="0" w:line="240" w:lineRule="auto"/>
        <w:rPr>
          <w:rFonts w:ascii="Times New Roman" w:hAnsi="Times New Roman"/>
          <w:b/>
          <w:bCs/>
          <w:sz w:val="24"/>
          <w:szCs w:val="24"/>
        </w:rPr>
      </w:pPr>
    </w:p>
    <w:p w:rsidR="0048746B" w:rsidP="00B1357D">
      <w:pPr>
        <w:bidi w:val="0"/>
        <w:spacing w:after="0" w:line="240" w:lineRule="auto"/>
        <w:rPr>
          <w:rFonts w:ascii="Times New Roman" w:hAnsi="Times New Roman"/>
          <w:b/>
          <w:bCs/>
          <w:sz w:val="24"/>
          <w:szCs w:val="24"/>
        </w:rPr>
      </w:pPr>
    </w:p>
    <w:p w:rsidR="0048746B" w:rsidP="00B1357D">
      <w:pPr>
        <w:bidi w:val="0"/>
        <w:spacing w:after="0" w:line="240" w:lineRule="auto"/>
        <w:rPr>
          <w:rFonts w:ascii="Times New Roman" w:hAnsi="Times New Roman"/>
          <w:b/>
          <w:bCs/>
          <w:sz w:val="24"/>
          <w:szCs w:val="24"/>
        </w:rPr>
      </w:pPr>
    </w:p>
    <w:p w:rsidR="0048746B" w:rsidP="00B1357D">
      <w:pPr>
        <w:bidi w:val="0"/>
        <w:spacing w:after="0" w:line="240" w:lineRule="auto"/>
        <w:rPr>
          <w:rFonts w:ascii="Times New Roman" w:hAnsi="Times New Roman"/>
          <w:b/>
          <w:bCs/>
          <w:sz w:val="24"/>
          <w:szCs w:val="24"/>
        </w:rPr>
      </w:pPr>
    </w:p>
    <w:p w:rsidR="0048746B" w:rsidRPr="00B1357D" w:rsidP="00B1357D">
      <w:pPr>
        <w:bidi w:val="0"/>
        <w:spacing w:after="0" w:line="240" w:lineRule="auto"/>
        <w:rPr>
          <w:rFonts w:ascii="Times New Roman" w:hAnsi="Times New Roman"/>
          <w:b/>
          <w:bCs/>
          <w:sz w:val="24"/>
          <w:szCs w:val="24"/>
        </w:rPr>
      </w:pPr>
    </w:p>
    <w:p w:rsidR="0048746B" w:rsidRPr="00B1357D" w:rsidP="00B1357D">
      <w:pPr>
        <w:bidi w:val="0"/>
        <w:spacing w:after="0" w:line="240" w:lineRule="auto"/>
        <w:rPr>
          <w:rFonts w:ascii="Times New Roman" w:hAnsi="Times New Roman"/>
          <w:b/>
          <w:bCs/>
          <w:sz w:val="24"/>
          <w:szCs w:val="24"/>
        </w:rPr>
      </w:pPr>
    </w:p>
    <w:p w:rsidR="0048746B" w:rsidRPr="00B1357D" w:rsidP="00B1357D">
      <w:pPr>
        <w:bidi w:val="0"/>
        <w:spacing w:after="0" w:line="240" w:lineRule="auto"/>
        <w:rPr>
          <w:rFonts w:ascii="Times New Roman" w:hAnsi="Times New Roman"/>
          <w:b/>
          <w:bCs/>
          <w:sz w:val="24"/>
          <w:szCs w:val="24"/>
        </w:rPr>
      </w:pPr>
    </w:p>
    <w:p w:rsidR="0048746B" w:rsidRPr="00B1357D" w:rsidP="00B1357D">
      <w:pPr>
        <w:bidi w:val="0"/>
        <w:spacing w:after="0" w:line="240" w:lineRule="auto"/>
        <w:jc w:val="center"/>
        <w:rPr>
          <w:rFonts w:ascii="Times New Roman" w:hAnsi="Times New Roman"/>
          <w:b/>
          <w:bCs/>
          <w:sz w:val="24"/>
          <w:szCs w:val="24"/>
        </w:rPr>
      </w:pPr>
    </w:p>
    <w:p w:rsidR="00866C28" w:rsidRPr="00B1357D" w:rsidP="00B1357D">
      <w:pPr>
        <w:bidi w:val="0"/>
        <w:spacing w:after="0" w:line="240" w:lineRule="auto"/>
        <w:jc w:val="center"/>
        <w:rPr>
          <w:rFonts w:ascii="Times New Roman" w:hAnsi="Times New Roman"/>
          <w:b/>
          <w:sz w:val="24"/>
          <w:szCs w:val="24"/>
        </w:rPr>
      </w:pPr>
    </w:p>
    <w:p w:rsidR="00866C28" w:rsidRPr="00B1357D" w:rsidP="00B1357D">
      <w:pPr>
        <w:pStyle w:val="NormalWeb"/>
        <w:bidi w:val="0"/>
        <w:spacing w:before="0" w:beforeAutospacing="0" w:after="0" w:afterAutospacing="0"/>
        <w:jc w:val="center"/>
        <w:rPr>
          <w:rFonts w:ascii="Times New Roman" w:hAnsi="Times New Roman"/>
          <w:b/>
        </w:rPr>
      </w:pPr>
      <w:r w:rsidRPr="00B1357D">
        <w:rPr>
          <w:rFonts w:ascii="Times New Roman" w:hAnsi="Times New Roman"/>
          <w:b/>
        </w:rPr>
        <w:t>z</w:t>
      </w:r>
      <w:r w:rsidRPr="00B1357D" w:rsidR="0048746B">
        <w:rPr>
          <w:rFonts w:ascii="Times New Roman" w:hAnsi="Times New Roman"/>
          <w:b/>
        </w:rPr>
        <w:t xml:space="preserve"> 10. októbra </w:t>
      </w:r>
      <w:r w:rsidRPr="00B1357D">
        <w:rPr>
          <w:rFonts w:ascii="Times New Roman" w:hAnsi="Times New Roman"/>
          <w:b/>
        </w:rPr>
        <w:t>2017,</w:t>
      </w:r>
    </w:p>
    <w:p w:rsidR="00866C28" w:rsidRPr="00B1357D" w:rsidP="00B1357D">
      <w:pPr>
        <w:pStyle w:val="NormalWeb"/>
        <w:bidi w:val="0"/>
        <w:spacing w:before="0" w:beforeAutospacing="0" w:after="0" w:afterAutospacing="0"/>
        <w:jc w:val="center"/>
        <w:rPr>
          <w:rFonts w:ascii="Times New Roman" w:hAnsi="Times New Roman"/>
          <w:b/>
        </w:rPr>
      </w:pPr>
    </w:p>
    <w:p w:rsidR="00866C28" w:rsidRPr="00B1357D" w:rsidP="00B1357D">
      <w:pPr>
        <w:pStyle w:val="NormalWeb"/>
        <w:bidi w:val="0"/>
        <w:spacing w:before="0" w:beforeAutospacing="0" w:after="0" w:afterAutospacing="0"/>
        <w:jc w:val="center"/>
        <w:rPr>
          <w:rFonts w:ascii="Times New Roman" w:hAnsi="Times New Roman"/>
          <w:b/>
          <w:bCs/>
        </w:rPr>
      </w:pPr>
      <w:r w:rsidRPr="00B1357D">
        <w:rPr>
          <w:rFonts w:ascii="Times New Roman" w:hAnsi="Times New Roman"/>
          <w:b/>
          <w:bCs/>
        </w:rPr>
        <w:t>ktorým sa</w:t>
      </w:r>
      <w:r w:rsidRPr="00B1357D" w:rsidR="00ED0559">
        <w:rPr>
          <w:rFonts w:ascii="Times New Roman" w:hAnsi="Times New Roman"/>
          <w:b/>
          <w:bCs/>
        </w:rPr>
        <w:t xml:space="preserve"> mení a </w:t>
      </w:r>
      <w:r w:rsidRPr="00B1357D">
        <w:rPr>
          <w:rFonts w:ascii="Times New Roman" w:hAnsi="Times New Roman"/>
          <w:b/>
          <w:bCs/>
        </w:rPr>
        <w:t xml:space="preserve"> dopĺňa zákon č. 580/2004 Z. z. o zdravotnom poistení a o zmene a doplnení zákona č. 95/2002 Z. z. o poisťovníctve a o zmene a doplnení niektorých zákonov v znení neskorších predpisov</w:t>
      </w:r>
    </w:p>
    <w:p w:rsidR="00866C28" w:rsidRPr="00B1357D" w:rsidP="00B1357D">
      <w:pPr>
        <w:pStyle w:val="NormalWeb"/>
        <w:bidi w:val="0"/>
        <w:spacing w:before="0" w:beforeAutospacing="0" w:after="0" w:afterAutospacing="0"/>
        <w:jc w:val="center"/>
        <w:rPr>
          <w:rFonts w:ascii="Times New Roman" w:hAnsi="Times New Roman"/>
          <w:bCs/>
        </w:rPr>
      </w:pPr>
    </w:p>
    <w:p w:rsidR="00866C28" w:rsidRPr="00B1357D" w:rsidP="00B1357D">
      <w:pPr>
        <w:pStyle w:val="NormalWeb"/>
        <w:bidi w:val="0"/>
        <w:spacing w:before="0" w:beforeAutospacing="0" w:after="0" w:afterAutospacing="0"/>
        <w:jc w:val="center"/>
        <w:rPr>
          <w:rFonts w:ascii="Times New Roman" w:hAnsi="Times New Roman"/>
        </w:rPr>
      </w:pPr>
      <w:r w:rsidRPr="00B1357D">
        <w:rPr>
          <w:rFonts w:ascii="Times New Roman" w:hAnsi="Times New Roman"/>
        </w:rPr>
        <w:t>Národná rada Slovenskej republiky sa uzniesla na tomto zákone:</w:t>
      </w:r>
    </w:p>
    <w:p w:rsidR="00866C28" w:rsidRPr="00B1357D" w:rsidP="00B1357D">
      <w:pPr>
        <w:pStyle w:val="NormalWeb"/>
        <w:bidi w:val="0"/>
        <w:spacing w:before="0" w:beforeAutospacing="0" w:after="0" w:afterAutospacing="0"/>
        <w:jc w:val="center"/>
        <w:rPr>
          <w:rFonts w:ascii="Times New Roman" w:hAnsi="Times New Roman"/>
        </w:rPr>
      </w:pPr>
    </w:p>
    <w:p w:rsidR="00866C28" w:rsidRPr="00B1357D" w:rsidP="00B1357D">
      <w:pPr>
        <w:pStyle w:val="Heading3"/>
        <w:bidi w:val="0"/>
        <w:spacing w:before="0" w:line="240" w:lineRule="auto"/>
        <w:jc w:val="center"/>
        <w:rPr>
          <w:rFonts w:ascii="Times New Roman" w:hAnsi="Times New Roman" w:hint="default"/>
          <w:color w:val="auto"/>
          <w:sz w:val="24"/>
          <w:szCs w:val="24"/>
        </w:rPr>
      </w:pPr>
      <w:r w:rsidRPr="00B1357D">
        <w:rPr>
          <w:rFonts w:ascii="Times New Roman" w:hAnsi="Times New Roman" w:hint="default"/>
          <w:color w:val="auto"/>
          <w:sz w:val="24"/>
          <w:szCs w:val="24"/>
        </w:rPr>
        <w:t>Č</w:t>
      </w:r>
      <w:r w:rsidRPr="00B1357D">
        <w:rPr>
          <w:rFonts w:ascii="Times New Roman" w:hAnsi="Times New Roman" w:hint="default"/>
          <w:color w:val="auto"/>
          <w:sz w:val="24"/>
          <w:szCs w:val="24"/>
        </w:rPr>
        <w:t>l. I</w:t>
      </w:r>
    </w:p>
    <w:p w:rsidR="00866C28" w:rsidRPr="00B1357D" w:rsidP="00B1357D">
      <w:pPr>
        <w:pStyle w:val="NormalWeb"/>
        <w:bidi w:val="0"/>
        <w:spacing w:before="0" w:beforeAutospacing="0" w:after="0" w:afterAutospacing="0"/>
        <w:jc w:val="both"/>
        <w:rPr>
          <w:rFonts w:ascii="Times New Roman" w:hAnsi="Times New Roman"/>
          <w:bCs/>
          <w:kern w:val="36"/>
        </w:rPr>
      </w:pPr>
    </w:p>
    <w:p w:rsidR="00866C28" w:rsidRPr="00B1357D" w:rsidP="00B1357D">
      <w:pPr>
        <w:autoSpaceDE w:val="0"/>
        <w:autoSpaceDN w:val="0"/>
        <w:bidi w:val="0"/>
        <w:adjustRightInd w:val="0"/>
        <w:spacing w:after="0" w:line="240" w:lineRule="auto"/>
        <w:ind w:firstLine="708"/>
        <w:rPr>
          <w:rFonts w:ascii="Times New Roman" w:hAnsi="Times New Roman"/>
          <w:sz w:val="24"/>
          <w:szCs w:val="24"/>
        </w:rPr>
      </w:pPr>
      <w:r w:rsidRPr="00B1357D">
        <w:rPr>
          <w:rFonts w:ascii="Times New Roman" w:hAnsi="Times New Roman"/>
          <w:sz w:val="24"/>
          <w:szCs w:val="24"/>
        </w:rPr>
        <w:t xml:space="preserve">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a zákona č. 41/2017 Z. z. sa </w:t>
      </w:r>
      <w:r w:rsidRPr="00B1357D" w:rsidR="00ED0559">
        <w:rPr>
          <w:rFonts w:ascii="Times New Roman" w:hAnsi="Times New Roman"/>
          <w:sz w:val="24"/>
          <w:szCs w:val="24"/>
        </w:rPr>
        <w:t xml:space="preserve">mení a </w:t>
      </w:r>
      <w:r w:rsidRPr="00B1357D">
        <w:rPr>
          <w:rFonts w:ascii="Times New Roman" w:hAnsi="Times New Roman"/>
          <w:sz w:val="24"/>
          <w:szCs w:val="24"/>
        </w:rPr>
        <w:t>dopĺňa takto:</w:t>
      </w:r>
    </w:p>
    <w:p w:rsidR="00F77531" w:rsidRPr="00B1357D" w:rsidP="00B1357D">
      <w:pPr>
        <w:bidi w:val="0"/>
        <w:rPr>
          <w:rFonts w:ascii="Times New Roman" w:hAnsi="Times New Roman"/>
          <w:b/>
          <w:sz w:val="24"/>
          <w:szCs w:val="24"/>
        </w:rPr>
      </w:pPr>
    </w:p>
    <w:p w:rsidR="00F77531" w:rsidRPr="00B1357D" w:rsidP="00B1357D">
      <w:pPr>
        <w:bidi w:val="0"/>
        <w:spacing w:after="0" w:line="240" w:lineRule="auto"/>
        <w:rPr>
          <w:rFonts w:ascii="Times New Roman" w:hAnsi="Times New Roman"/>
          <w:sz w:val="24"/>
          <w:szCs w:val="24"/>
        </w:rPr>
      </w:pPr>
      <w:r w:rsidRPr="00B1357D">
        <w:rPr>
          <w:rFonts w:ascii="Times New Roman" w:hAnsi="Times New Roman"/>
          <w:b/>
          <w:sz w:val="24"/>
          <w:szCs w:val="24"/>
        </w:rPr>
        <w:t>1.</w:t>
      </w:r>
      <w:r w:rsidRPr="00B1357D">
        <w:rPr>
          <w:rFonts w:ascii="Times New Roman" w:hAnsi="Times New Roman"/>
          <w:sz w:val="24"/>
          <w:szCs w:val="24"/>
        </w:rPr>
        <w:t xml:space="preserve"> </w:t>
      </w:r>
      <w:r w:rsidRPr="00B1357D" w:rsidR="003C27B9">
        <w:rPr>
          <w:rFonts w:ascii="Times New Roman" w:hAnsi="Times New Roman"/>
          <w:sz w:val="24"/>
          <w:szCs w:val="24"/>
        </w:rPr>
        <w:t xml:space="preserve"> </w:t>
      </w:r>
      <w:r w:rsidRPr="00B1357D">
        <w:rPr>
          <w:rFonts w:ascii="Times New Roman" w:hAnsi="Times New Roman"/>
          <w:sz w:val="24"/>
          <w:szCs w:val="24"/>
        </w:rPr>
        <w:t>V § 27 sa odsek 2 dopĺňa písmenom f), ktoré znie:</w:t>
      </w:r>
    </w:p>
    <w:p w:rsidR="00F77531" w:rsidRPr="00B1357D" w:rsidP="00B1357D">
      <w:pPr>
        <w:bidi w:val="0"/>
        <w:spacing w:after="0" w:line="240" w:lineRule="auto"/>
        <w:ind w:left="426" w:hanging="142"/>
        <w:rPr>
          <w:rFonts w:ascii="Times New Roman" w:hAnsi="Times New Roman"/>
          <w:sz w:val="24"/>
          <w:szCs w:val="24"/>
        </w:rPr>
      </w:pPr>
      <w:r w:rsidRPr="00B1357D">
        <w:rPr>
          <w:rFonts w:ascii="Times New Roman" w:hAnsi="Times New Roman"/>
          <w:sz w:val="24"/>
          <w:szCs w:val="24"/>
        </w:rPr>
        <w:t>„f) zoznam poistencov podľa písmena b) a zoznam poistencov podľa písmena c), ktorý obsahuje</w:t>
      </w:r>
    </w:p>
    <w:p w:rsidR="00F77531" w:rsidRPr="00B1357D" w:rsidP="00B1357D">
      <w:pPr>
        <w:pStyle w:val="ListParagraph"/>
        <w:numPr>
          <w:numId w:val="2"/>
        </w:numPr>
        <w:bidi w:val="0"/>
        <w:ind w:left="567" w:hanging="283"/>
        <w:jc w:val="both"/>
        <w:rPr>
          <w:rFonts w:ascii="Times New Roman" w:hAnsi="Times New Roman"/>
        </w:rPr>
      </w:pPr>
      <w:r w:rsidRPr="00B1357D">
        <w:rPr>
          <w:rFonts w:ascii="Times New Roman" w:hAnsi="Times New Roman"/>
        </w:rPr>
        <w:t xml:space="preserve">rodné číslo poistenca, ak ho má poistenec pridelené, alebo bezvýznamové identifikačné číslo, alebo osobné identifikačné číslo poistenca iného členského štátu s bydliskom v Slovenskej republike, </w:t>
      </w:r>
    </w:p>
    <w:p w:rsidR="00F77531" w:rsidRPr="00B1357D" w:rsidP="00B1357D">
      <w:pPr>
        <w:pStyle w:val="ListParagraph"/>
        <w:numPr>
          <w:numId w:val="2"/>
        </w:numPr>
        <w:bidi w:val="0"/>
        <w:ind w:left="567" w:hanging="283"/>
        <w:jc w:val="both"/>
        <w:rPr>
          <w:rFonts w:ascii="Times New Roman" w:hAnsi="Times New Roman"/>
        </w:rPr>
      </w:pPr>
      <w:r w:rsidRPr="00B1357D">
        <w:rPr>
          <w:rFonts w:ascii="Times New Roman" w:hAnsi="Times New Roman"/>
        </w:rPr>
        <w:t>pohlavie poistenca,</w:t>
      </w:r>
    </w:p>
    <w:p w:rsidR="00F77531" w:rsidRPr="00B1357D" w:rsidP="00B1357D">
      <w:pPr>
        <w:pStyle w:val="ListParagraph"/>
        <w:numPr>
          <w:numId w:val="2"/>
        </w:numPr>
        <w:bidi w:val="0"/>
        <w:ind w:left="567" w:hanging="283"/>
        <w:jc w:val="both"/>
        <w:rPr>
          <w:rFonts w:ascii="Times New Roman" w:hAnsi="Times New Roman"/>
        </w:rPr>
      </w:pPr>
      <w:r w:rsidRPr="00B1357D">
        <w:rPr>
          <w:rFonts w:ascii="Times New Roman" w:hAnsi="Times New Roman"/>
        </w:rPr>
        <w:t>vek poistenca.”.</w:t>
      </w:r>
    </w:p>
    <w:p w:rsidR="00F77531" w:rsidRPr="00B1357D" w:rsidP="00B1357D">
      <w:pPr>
        <w:bidi w:val="0"/>
        <w:spacing w:after="0" w:line="240" w:lineRule="auto"/>
        <w:rPr>
          <w:rFonts w:ascii="Times New Roman" w:hAnsi="Times New Roman"/>
          <w:sz w:val="24"/>
          <w:szCs w:val="24"/>
        </w:rPr>
      </w:pPr>
    </w:p>
    <w:p w:rsidR="00F77531" w:rsidRPr="00B1357D" w:rsidP="00B1357D">
      <w:pPr>
        <w:bidi w:val="0"/>
        <w:spacing w:after="0" w:line="240" w:lineRule="auto"/>
        <w:ind w:left="284" w:hanging="284"/>
        <w:rPr>
          <w:rFonts w:ascii="Times New Roman" w:hAnsi="Times New Roman"/>
          <w:sz w:val="24"/>
          <w:szCs w:val="24"/>
        </w:rPr>
      </w:pPr>
      <w:r w:rsidRPr="00B1357D">
        <w:rPr>
          <w:rFonts w:ascii="Times New Roman" w:hAnsi="Times New Roman"/>
          <w:b/>
          <w:sz w:val="24"/>
          <w:szCs w:val="24"/>
        </w:rPr>
        <w:t>2</w:t>
      </w:r>
      <w:r w:rsidRPr="00B1357D">
        <w:rPr>
          <w:rFonts w:ascii="Times New Roman" w:hAnsi="Times New Roman"/>
          <w:sz w:val="24"/>
          <w:szCs w:val="24"/>
        </w:rPr>
        <w:t>. V § 27 ods. 8 písm. b) piatom bode sa slová „§ 28 ods. 13“ nahrádzajú slovami „§ 28 ods. 15“.</w:t>
      </w:r>
    </w:p>
    <w:p w:rsidR="00F77531" w:rsidRPr="00B1357D" w:rsidP="00B1357D">
      <w:pPr>
        <w:bidi w:val="0"/>
        <w:spacing w:after="0" w:line="240" w:lineRule="auto"/>
        <w:contextualSpacing/>
        <w:rPr>
          <w:rFonts w:ascii="Times New Roman" w:hAnsi="Times New Roman"/>
          <w:sz w:val="24"/>
          <w:szCs w:val="24"/>
        </w:rPr>
      </w:pPr>
    </w:p>
    <w:p w:rsidR="00F77531" w:rsidRPr="00B1357D" w:rsidP="00B1357D">
      <w:pPr>
        <w:pStyle w:val="ListParagraph"/>
        <w:bidi w:val="0"/>
        <w:ind w:left="567" w:hanging="567"/>
        <w:jc w:val="both"/>
        <w:rPr>
          <w:rFonts w:ascii="Times New Roman" w:hAnsi="Times New Roman"/>
        </w:rPr>
      </w:pPr>
      <w:r w:rsidRPr="00B1357D">
        <w:rPr>
          <w:rFonts w:ascii="Times New Roman" w:hAnsi="Times New Roman"/>
          <w:b/>
        </w:rPr>
        <w:t>3.</w:t>
      </w:r>
      <w:r w:rsidRPr="00B1357D">
        <w:rPr>
          <w:rFonts w:ascii="Times New Roman" w:hAnsi="Times New Roman"/>
        </w:rPr>
        <w:t xml:space="preserve"> V § 27a ods. 2 sa vypúšťajú písmená b) a c). </w:t>
      </w:r>
    </w:p>
    <w:p w:rsidR="00F77531" w:rsidRPr="00B1357D" w:rsidP="00B1357D">
      <w:pPr>
        <w:pStyle w:val="ListParagraph"/>
        <w:bidi w:val="0"/>
        <w:ind w:left="502"/>
        <w:jc w:val="both"/>
        <w:rPr>
          <w:rFonts w:ascii="Times New Roman" w:hAnsi="Times New Roman"/>
        </w:rPr>
      </w:pPr>
    </w:p>
    <w:p w:rsidR="00F77531" w:rsidRPr="00B1357D" w:rsidP="00B1357D">
      <w:pPr>
        <w:pStyle w:val="ListParagraph"/>
        <w:bidi w:val="0"/>
        <w:ind w:left="502"/>
        <w:jc w:val="both"/>
        <w:rPr>
          <w:rFonts w:ascii="Times New Roman" w:hAnsi="Times New Roman"/>
        </w:rPr>
      </w:pPr>
      <w:r w:rsidRPr="00B1357D">
        <w:rPr>
          <w:rFonts w:ascii="Times New Roman" w:hAnsi="Times New Roman"/>
        </w:rPr>
        <w:t>Doterajšie písmeno d) sa označuje ako písmeno b).</w:t>
      </w:r>
    </w:p>
    <w:p w:rsidR="00F77531" w:rsidRPr="00B1357D" w:rsidP="00B1357D">
      <w:pPr>
        <w:pStyle w:val="ListParagraph"/>
        <w:bidi w:val="0"/>
        <w:ind w:left="502"/>
        <w:jc w:val="both"/>
        <w:rPr>
          <w:rFonts w:ascii="Times New Roman" w:hAnsi="Times New Roman"/>
        </w:rPr>
      </w:pPr>
    </w:p>
    <w:p w:rsidR="00F77531" w:rsidRPr="00B1357D" w:rsidP="00B1357D">
      <w:pPr>
        <w:bidi w:val="0"/>
        <w:spacing w:after="0" w:line="240" w:lineRule="auto"/>
        <w:ind w:left="284" w:hanging="284"/>
        <w:rPr>
          <w:rFonts w:ascii="Times New Roman" w:hAnsi="Times New Roman"/>
          <w:sz w:val="24"/>
          <w:szCs w:val="24"/>
        </w:rPr>
      </w:pPr>
      <w:r w:rsidRPr="00B1357D">
        <w:rPr>
          <w:rFonts w:ascii="Times New Roman" w:hAnsi="Times New Roman"/>
          <w:b/>
          <w:sz w:val="24"/>
          <w:szCs w:val="24"/>
        </w:rPr>
        <w:t>4.</w:t>
      </w:r>
      <w:r w:rsidRPr="00B1357D">
        <w:rPr>
          <w:rFonts w:ascii="Times New Roman" w:hAnsi="Times New Roman"/>
          <w:sz w:val="24"/>
          <w:szCs w:val="24"/>
        </w:rPr>
        <w:t xml:space="preserve"> V § 27a ods. 9 písm. a) druhom bode sa slová „odseku 2 písm. b) až d)“ nahrádzajú slovami „odseku 2 písm. b) a odseku 12“.</w:t>
      </w:r>
    </w:p>
    <w:p w:rsidR="00F77531" w:rsidRPr="00B1357D" w:rsidP="00B1357D">
      <w:pPr>
        <w:pStyle w:val="ListParagraph"/>
        <w:bidi w:val="0"/>
        <w:ind w:left="862"/>
        <w:jc w:val="both"/>
        <w:rPr>
          <w:rFonts w:ascii="Times New Roman" w:hAnsi="Times New Roman"/>
        </w:rPr>
      </w:pPr>
    </w:p>
    <w:p w:rsidR="00F77531" w:rsidRPr="00B1357D" w:rsidP="00B1357D">
      <w:pPr>
        <w:pStyle w:val="ListParagraph"/>
        <w:numPr>
          <w:numId w:val="3"/>
        </w:numPr>
        <w:bidi w:val="0"/>
        <w:ind w:left="284" w:hanging="284"/>
        <w:jc w:val="both"/>
        <w:rPr>
          <w:rFonts w:ascii="Times New Roman" w:hAnsi="Times New Roman"/>
        </w:rPr>
      </w:pPr>
      <w:r w:rsidRPr="00B1357D">
        <w:rPr>
          <w:rFonts w:ascii="Times New Roman" w:hAnsi="Times New Roman"/>
        </w:rPr>
        <w:t>V § 27a ods. 9 písm. b) šiestom bode sa slová „§ 28 ods. 13“ nahrádzajú slovami „§ 28 ods. 15“.</w:t>
      </w:r>
    </w:p>
    <w:p w:rsidR="00F77531" w:rsidRPr="00B1357D" w:rsidP="00B1357D">
      <w:pPr>
        <w:pStyle w:val="ListParagraph"/>
        <w:bidi w:val="0"/>
        <w:jc w:val="both"/>
        <w:rPr>
          <w:rFonts w:ascii="Times New Roman" w:hAnsi="Times New Roman"/>
        </w:rPr>
      </w:pPr>
    </w:p>
    <w:p w:rsidR="00F77531" w:rsidRPr="00B1357D" w:rsidP="00B1357D">
      <w:pPr>
        <w:pStyle w:val="ListParagraph"/>
        <w:numPr>
          <w:numId w:val="3"/>
        </w:numPr>
        <w:bidi w:val="0"/>
        <w:ind w:left="284" w:hanging="284"/>
        <w:jc w:val="both"/>
        <w:rPr>
          <w:rFonts w:ascii="Times New Roman" w:hAnsi="Times New Roman"/>
        </w:rPr>
      </w:pPr>
      <w:r w:rsidRPr="00B1357D">
        <w:rPr>
          <w:rFonts w:ascii="Times New Roman" w:hAnsi="Times New Roman"/>
        </w:rPr>
        <w:t>§ 27a sa dopĺňa odsekom 12, ktorý znie:</w:t>
      </w:r>
    </w:p>
    <w:p w:rsidR="00F77531" w:rsidRPr="00B1357D" w:rsidP="00B1357D">
      <w:pPr>
        <w:pStyle w:val="ListParagraph"/>
        <w:bidi w:val="0"/>
        <w:ind w:left="502"/>
        <w:jc w:val="both"/>
        <w:rPr>
          <w:rFonts w:ascii="Times New Roman" w:hAnsi="Times New Roman"/>
        </w:rPr>
      </w:pPr>
      <w:r w:rsidRPr="00B1357D">
        <w:rPr>
          <w:rFonts w:ascii="Times New Roman" w:hAnsi="Times New Roman"/>
        </w:rPr>
        <w:t>„(12) Údaje o počte poistencov podľa pohlavia a veku, za ktorých platiteľom poistného nie je štát (§ 11 ods. 1 písm. a) až c) a § 11 ods. 2) za rozhodujúce obdobie a údaje o počte  poistencov podľa pohlavia a veku, za ktorých platiteľom poistného je štát [§ 11 ods. 1 písm. d)] za rozhodujúce obdobie úrad získava z údajov z centrálneho registra poistencov.”.</w:t>
      </w:r>
    </w:p>
    <w:p w:rsidR="00F77531" w:rsidRPr="00B1357D" w:rsidP="00B1357D">
      <w:pPr>
        <w:pStyle w:val="ListParagraph"/>
        <w:bidi w:val="0"/>
        <w:ind w:left="502"/>
        <w:jc w:val="both"/>
        <w:rPr>
          <w:rFonts w:ascii="Times New Roman" w:hAnsi="Times New Roman"/>
        </w:rPr>
      </w:pPr>
    </w:p>
    <w:p w:rsidR="00F77531" w:rsidRPr="00B1357D" w:rsidP="00B1357D">
      <w:pPr>
        <w:pStyle w:val="ListParagraph"/>
        <w:numPr>
          <w:numId w:val="3"/>
        </w:numPr>
        <w:bidi w:val="0"/>
        <w:ind w:left="284" w:hanging="284"/>
        <w:jc w:val="both"/>
        <w:rPr>
          <w:rFonts w:ascii="Times New Roman" w:hAnsi="Times New Roman"/>
        </w:rPr>
      </w:pPr>
      <w:r w:rsidRPr="00B1357D">
        <w:rPr>
          <w:rFonts w:ascii="Times New Roman" w:hAnsi="Times New Roman"/>
        </w:rPr>
        <w:t>V § 28 sa za odsek 4 vkladá nový odsek 5, ktorý znie:</w:t>
      </w:r>
    </w:p>
    <w:p w:rsidR="00F77531" w:rsidRPr="00B1357D" w:rsidP="00B1357D">
      <w:pPr>
        <w:pStyle w:val="ListParagraph"/>
        <w:bidi w:val="0"/>
        <w:ind w:left="426"/>
        <w:jc w:val="both"/>
        <w:rPr>
          <w:rFonts w:ascii="Times New Roman" w:hAnsi="Times New Roman"/>
        </w:rPr>
      </w:pPr>
      <w:r w:rsidRPr="00B1357D">
        <w:rPr>
          <w:rFonts w:ascii="Times New Roman" w:hAnsi="Times New Roman"/>
        </w:rPr>
        <w:t xml:space="preserve">„(5) Ministerstvo zdravotníctva doručí údaje predložené zdravotnou poisťovňou podľa odseku 4, okrem rodného čísla poistenca, ak ide o cudzinca, ktorý nemá pridelené rodné číslo, mena, priezviska a dátumu narodenia, v elektronicky spracovateľnej podobe, ostatným zdravotným poisťovniam do 15. júla kalendárneho roka. Ministerstvo zdravotníctva nahradí rodné číslo poistenca, ak ide o cudzinca, ktorý nemá pridelené rodné číslo, meno, priezvisko a dátum narodenia, osobitným identifikačným údajom poistenca, ktorým zabezpečí jednoznačnosť identifikácie poistenca vo všetkých údajoch doručených ministerstvom zdravotníctva podľa predchádzajúcej vety. Ak z osobitného identifikačného údaja poistenca nie je možné zistiť mesiac a rok narodenia poistenca a pohlavie poistenca,  ministerstvo zdravotníctva je povinné doručiť údaje o mesiaci, roku narodenia a pohlaví poistenca samostatne s uvedením, ku ktorému osobitnému identifikačnému údaju poistenca sa príslušný mesiac, rok a pohlavie poistenca viaže.“. </w:t>
      </w:r>
    </w:p>
    <w:p w:rsidR="00F77531" w:rsidRPr="00B1357D" w:rsidP="00B1357D">
      <w:pPr>
        <w:pStyle w:val="ListParagraph"/>
        <w:bidi w:val="0"/>
        <w:ind w:left="502"/>
        <w:jc w:val="both"/>
        <w:rPr>
          <w:rFonts w:ascii="Times New Roman" w:hAnsi="Times New Roman"/>
        </w:rPr>
      </w:pPr>
    </w:p>
    <w:p w:rsidR="00F77531" w:rsidRPr="00B1357D" w:rsidP="00B1357D">
      <w:pPr>
        <w:pStyle w:val="ListParagraph"/>
        <w:bidi w:val="0"/>
        <w:ind w:left="502"/>
        <w:jc w:val="both"/>
        <w:rPr>
          <w:rFonts w:ascii="Times New Roman" w:hAnsi="Times New Roman"/>
        </w:rPr>
      </w:pPr>
      <w:r w:rsidRPr="00B1357D">
        <w:rPr>
          <w:rFonts w:ascii="Times New Roman" w:hAnsi="Times New Roman"/>
        </w:rPr>
        <w:t>Doterajšie odseky 5 až 14 sa označujú ako</w:t>
      </w:r>
      <w:r w:rsidR="00F91E17">
        <w:rPr>
          <w:rFonts w:ascii="Times New Roman" w:hAnsi="Times New Roman"/>
        </w:rPr>
        <w:t xml:space="preserve"> odseky</w:t>
      </w:r>
      <w:r w:rsidRPr="00B1357D">
        <w:rPr>
          <w:rFonts w:ascii="Times New Roman" w:hAnsi="Times New Roman"/>
        </w:rPr>
        <w:t xml:space="preserve"> 6 až 15. </w:t>
      </w:r>
    </w:p>
    <w:p w:rsidR="00F77531" w:rsidRPr="00B1357D" w:rsidP="00B1357D">
      <w:pPr>
        <w:pStyle w:val="ListParagraph"/>
        <w:bidi w:val="0"/>
        <w:ind w:left="502"/>
        <w:jc w:val="both"/>
        <w:rPr>
          <w:rFonts w:ascii="Times New Roman" w:hAnsi="Times New Roman"/>
        </w:rPr>
      </w:pPr>
    </w:p>
    <w:p w:rsidR="00F77531" w:rsidRPr="00B1357D" w:rsidP="00B1357D">
      <w:pPr>
        <w:pStyle w:val="ListParagraph"/>
        <w:numPr>
          <w:numId w:val="3"/>
        </w:numPr>
        <w:bidi w:val="0"/>
        <w:ind w:left="284" w:hanging="284"/>
        <w:jc w:val="both"/>
        <w:rPr>
          <w:rFonts w:ascii="Times New Roman" w:hAnsi="Times New Roman"/>
        </w:rPr>
      </w:pPr>
      <w:r w:rsidRPr="00B1357D">
        <w:rPr>
          <w:rFonts w:ascii="Times New Roman" w:hAnsi="Times New Roman"/>
        </w:rPr>
        <w:t xml:space="preserve">V § 28 sa za odsek 8 vkladá nový odsek 9, ktorý znie: </w:t>
      </w:r>
    </w:p>
    <w:p w:rsidR="00F77531" w:rsidRPr="00B1357D" w:rsidP="00B1357D">
      <w:pPr>
        <w:pStyle w:val="ListParagraph"/>
        <w:bidi w:val="0"/>
        <w:ind w:left="502"/>
        <w:jc w:val="both"/>
        <w:rPr>
          <w:rFonts w:ascii="Times New Roman" w:hAnsi="Times New Roman"/>
        </w:rPr>
      </w:pPr>
      <w:r w:rsidRPr="00B1357D">
        <w:rPr>
          <w:rFonts w:ascii="Times New Roman" w:hAnsi="Times New Roman"/>
        </w:rPr>
        <w:t xml:space="preserve">„(9) Ministerstvo zdravotníctva doručí konečné údaje podľa odseku 4 po opravách podľa odseku 8 zdravotným poisťovniam najneskôr do 31. augusta kalendárneho roka.“. </w:t>
      </w:r>
    </w:p>
    <w:p w:rsidR="00F77531" w:rsidRPr="00B1357D" w:rsidP="00B1357D">
      <w:pPr>
        <w:pStyle w:val="ListParagraph"/>
        <w:bidi w:val="0"/>
        <w:ind w:left="502"/>
        <w:jc w:val="both"/>
        <w:rPr>
          <w:rFonts w:ascii="Times New Roman" w:hAnsi="Times New Roman"/>
        </w:rPr>
      </w:pPr>
    </w:p>
    <w:p w:rsidR="00F77531" w:rsidRPr="00B1357D" w:rsidP="00B1357D">
      <w:pPr>
        <w:pStyle w:val="ListParagraph"/>
        <w:bidi w:val="0"/>
        <w:ind w:left="502"/>
        <w:jc w:val="both"/>
        <w:rPr>
          <w:rFonts w:ascii="Times New Roman" w:hAnsi="Times New Roman"/>
        </w:rPr>
      </w:pPr>
      <w:r w:rsidRPr="00B1357D">
        <w:rPr>
          <w:rFonts w:ascii="Times New Roman" w:hAnsi="Times New Roman"/>
        </w:rPr>
        <w:t xml:space="preserve">Doterajšie odseky 9 až 15 sa označujú ako </w:t>
      </w:r>
      <w:r w:rsidR="00F91E17">
        <w:rPr>
          <w:rFonts w:ascii="Times New Roman" w:hAnsi="Times New Roman"/>
        </w:rPr>
        <w:t xml:space="preserve">odseky </w:t>
      </w:r>
      <w:r w:rsidRPr="00B1357D">
        <w:rPr>
          <w:rFonts w:ascii="Times New Roman" w:hAnsi="Times New Roman"/>
        </w:rPr>
        <w:t>10 až 16.</w:t>
      </w:r>
    </w:p>
    <w:p w:rsidR="00F77531" w:rsidRPr="00B1357D" w:rsidP="00B1357D">
      <w:pPr>
        <w:pStyle w:val="ListParagraph"/>
        <w:bidi w:val="0"/>
        <w:ind w:left="502"/>
        <w:jc w:val="both"/>
        <w:rPr>
          <w:rFonts w:ascii="Times New Roman" w:hAnsi="Times New Roman"/>
        </w:rPr>
      </w:pPr>
    </w:p>
    <w:p w:rsidR="00F77531" w:rsidRPr="00B1357D" w:rsidP="00B1357D">
      <w:pPr>
        <w:pStyle w:val="ListParagraph"/>
        <w:numPr>
          <w:numId w:val="3"/>
        </w:numPr>
        <w:bidi w:val="0"/>
        <w:ind w:left="284" w:hanging="284"/>
        <w:jc w:val="both"/>
        <w:rPr>
          <w:rFonts w:ascii="Times New Roman" w:hAnsi="Times New Roman"/>
        </w:rPr>
      </w:pPr>
      <w:r w:rsidRPr="00B1357D">
        <w:rPr>
          <w:rFonts w:ascii="Times New Roman" w:hAnsi="Times New Roman"/>
        </w:rPr>
        <w:t>V § 28 ods. 16 písm. e) sa slová „7 a 8“ nahrádzajú slovami „9 a 10“.</w:t>
      </w:r>
    </w:p>
    <w:p w:rsidR="00F77531" w:rsidRPr="00B1357D" w:rsidP="00B1357D">
      <w:pPr>
        <w:pStyle w:val="ListParagraph"/>
        <w:bidi w:val="0"/>
        <w:ind w:left="502"/>
        <w:jc w:val="both"/>
        <w:rPr>
          <w:rFonts w:ascii="Times New Roman" w:hAnsi="Times New Roman"/>
        </w:rPr>
      </w:pPr>
      <w:r w:rsidRPr="00B1357D">
        <w:rPr>
          <w:rFonts w:ascii="Times New Roman" w:hAnsi="Times New Roman"/>
        </w:rPr>
        <w:t xml:space="preserve"> </w:t>
      </w:r>
    </w:p>
    <w:p w:rsidR="00F77531" w:rsidRPr="00B1357D" w:rsidP="00B1357D">
      <w:pPr>
        <w:pStyle w:val="ListParagraph"/>
        <w:numPr>
          <w:numId w:val="3"/>
        </w:numPr>
        <w:bidi w:val="0"/>
        <w:ind w:left="426" w:hanging="426"/>
        <w:jc w:val="both"/>
        <w:rPr>
          <w:rFonts w:ascii="Times New Roman" w:hAnsi="Times New Roman"/>
        </w:rPr>
      </w:pPr>
      <w:r w:rsidRPr="00B1357D">
        <w:rPr>
          <w:rFonts w:ascii="Times New Roman" w:hAnsi="Times New Roman"/>
        </w:rPr>
        <w:t>V § 28a sa za odsek 1 vkladajú nové odseky 2 a 3, ktoré znejú:</w:t>
      </w:r>
    </w:p>
    <w:p w:rsidR="00F77531" w:rsidRPr="00B1357D" w:rsidP="00B1357D">
      <w:pPr>
        <w:pStyle w:val="ListParagraph"/>
        <w:bidi w:val="0"/>
        <w:ind w:left="502"/>
        <w:jc w:val="both"/>
        <w:rPr>
          <w:rFonts w:ascii="Times New Roman" w:hAnsi="Times New Roman"/>
        </w:rPr>
      </w:pPr>
      <w:r w:rsidRPr="00B1357D">
        <w:rPr>
          <w:rFonts w:ascii="Times New Roman" w:hAnsi="Times New Roman"/>
        </w:rPr>
        <w:t xml:space="preserve">„(2) Úrad je povinný vykonávať najmenej raz za kalendárny rok dohľad nad údajmi oznamovanými zdravotnou poisťovňou </w:t>
      </w:r>
      <w:r w:rsidR="00F91E17">
        <w:rPr>
          <w:rFonts w:ascii="Times New Roman" w:hAnsi="Times New Roman"/>
        </w:rPr>
        <w:t>na</w:t>
      </w:r>
      <w:r w:rsidRPr="00B1357D">
        <w:rPr>
          <w:rFonts w:ascii="Times New Roman" w:hAnsi="Times New Roman"/>
        </w:rPr>
        <w:t xml:space="preserve"> účely vykonania mesačného prerozdeľovania poistného (§ 27), pričom údaje podľa § 27 ods. 2 písm. b) a c) skontroluje najmenej na vzorke náhodne vybratých 0,1 ‰ poistencov, u ktorých skontroluje správnosť zaradenia poistenca v skupinách podľa pohlavia, veku a platiteľa poistného podľa stavu v tom kalendárnom mesiaci, za ktorý vykonáva dohľad. </w:t>
      </w:r>
    </w:p>
    <w:p w:rsidR="00F77531" w:rsidRPr="00B1357D" w:rsidP="00B1357D">
      <w:pPr>
        <w:bidi w:val="0"/>
        <w:spacing w:after="0" w:line="240" w:lineRule="auto"/>
        <w:ind w:left="142"/>
        <w:rPr>
          <w:rFonts w:ascii="Times New Roman" w:hAnsi="Times New Roman"/>
          <w:sz w:val="24"/>
          <w:szCs w:val="24"/>
        </w:rPr>
      </w:pPr>
    </w:p>
    <w:p w:rsidR="00F77531" w:rsidRPr="00B1357D" w:rsidP="00B1357D">
      <w:pPr>
        <w:pStyle w:val="ListParagraph"/>
        <w:bidi w:val="0"/>
        <w:ind w:left="502"/>
        <w:jc w:val="both"/>
        <w:rPr>
          <w:rFonts w:ascii="Times New Roman" w:hAnsi="Times New Roman"/>
        </w:rPr>
      </w:pPr>
      <w:r w:rsidRPr="00B1357D">
        <w:rPr>
          <w:rFonts w:ascii="Times New Roman" w:hAnsi="Times New Roman"/>
        </w:rPr>
        <w:t xml:space="preserve">(3) Úrad je povinný vykonávať najmenej raz za kalendárny rok na účely vykonania ročného prerozdeľovania poistného (§ 27a) dohľad nad údajmi oznamovanými zdravotnou poisťovňou do centrálneho registra poistencov, pričom správnosť poskytnutých údajov zdravotnými poisťovňami do centrálneho registra poistencov skontroluje najmenej na vzorke náhodne vybratých 0,1 ‰ poistencov podľa stavu údajov v centrálnom registri poistencov v čase vykonávania dohľadu nad údajmi poistencov týkajúcich sa kalendárneho roka, ktorý predchádza kalendárnemu roku vykonávania dohľadu.“. </w:t>
      </w:r>
    </w:p>
    <w:p w:rsidR="00F77531" w:rsidRPr="00B1357D" w:rsidP="00B1357D">
      <w:pPr>
        <w:pStyle w:val="ListParagraph"/>
        <w:bidi w:val="0"/>
        <w:ind w:left="502"/>
        <w:jc w:val="both"/>
        <w:rPr>
          <w:rFonts w:ascii="Times New Roman" w:hAnsi="Times New Roman"/>
        </w:rPr>
      </w:pPr>
    </w:p>
    <w:p w:rsidR="00F77531" w:rsidRPr="00B1357D" w:rsidP="00B1357D">
      <w:pPr>
        <w:pStyle w:val="ListParagraph"/>
        <w:bidi w:val="0"/>
        <w:ind w:left="502"/>
        <w:jc w:val="both"/>
        <w:rPr>
          <w:rFonts w:ascii="Times New Roman" w:hAnsi="Times New Roman"/>
        </w:rPr>
      </w:pPr>
      <w:r w:rsidRPr="00B1357D">
        <w:rPr>
          <w:rFonts w:ascii="Times New Roman" w:hAnsi="Times New Roman"/>
        </w:rPr>
        <w:t>Doterajší o</w:t>
      </w:r>
      <w:r w:rsidRPr="00B1357D" w:rsidR="006A40D6">
        <w:rPr>
          <w:rFonts w:ascii="Times New Roman" w:hAnsi="Times New Roman"/>
        </w:rPr>
        <w:t>dsek 2 sa označuje ako odsek 4.</w:t>
      </w:r>
    </w:p>
    <w:p w:rsidR="00866C28" w:rsidRPr="00B1357D" w:rsidP="00B1357D">
      <w:pPr>
        <w:bidi w:val="0"/>
        <w:spacing w:after="0" w:line="240" w:lineRule="auto"/>
        <w:rPr>
          <w:rFonts w:ascii="Times New Roman" w:hAnsi="Times New Roman"/>
          <w:sz w:val="24"/>
          <w:szCs w:val="24"/>
        </w:rPr>
      </w:pPr>
    </w:p>
    <w:p w:rsidR="00866C28" w:rsidRPr="00B1357D" w:rsidP="00B1357D">
      <w:pPr>
        <w:pStyle w:val="ListParagraph"/>
        <w:numPr>
          <w:numId w:val="3"/>
        </w:numPr>
        <w:tabs>
          <w:tab w:val="left" w:pos="426"/>
        </w:tabs>
        <w:bidi w:val="0"/>
        <w:ind w:hanging="862"/>
        <w:jc w:val="both"/>
        <w:rPr>
          <w:rFonts w:ascii="Times New Roman" w:hAnsi="Times New Roman"/>
          <w:bCs/>
        </w:rPr>
      </w:pPr>
      <w:r w:rsidRPr="00B1357D">
        <w:rPr>
          <w:rFonts w:ascii="Times New Roman" w:hAnsi="Times New Roman"/>
          <w:bCs/>
        </w:rPr>
        <w:t>Za § 38ej sa vkladá § 38ek, ktorý vrátane nadpisu znie:</w:t>
      </w:r>
    </w:p>
    <w:p w:rsidR="00866C28" w:rsidRPr="00B1357D" w:rsidP="00B1357D">
      <w:pPr>
        <w:pStyle w:val="ListParagraph"/>
        <w:tabs>
          <w:tab w:val="left" w:pos="567"/>
        </w:tabs>
        <w:bidi w:val="0"/>
        <w:ind w:left="284"/>
        <w:jc w:val="both"/>
        <w:rPr>
          <w:rFonts w:ascii="Times New Roman" w:hAnsi="Times New Roman"/>
          <w:bCs/>
        </w:rPr>
      </w:pPr>
    </w:p>
    <w:p w:rsidR="00866C28" w:rsidRPr="00B1357D" w:rsidP="00B1357D">
      <w:pPr>
        <w:pStyle w:val="ListParagraph"/>
        <w:tabs>
          <w:tab w:val="left" w:pos="567"/>
        </w:tabs>
        <w:bidi w:val="0"/>
        <w:ind w:left="284"/>
        <w:jc w:val="center"/>
        <w:rPr>
          <w:rFonts w:ascii="Times New Roman" w:hAnsi="Times New Roman"/>
          <w:bCs/>
        </w:rPr>
      </w:pPr>
      <w:r w:rsidRPr="00B1357D">
        <w:rPr>
          <w:rFonts w:ascii="Times New Roman" w:hAnsi="Times New Roman"/>
          <w:bCs/>
        </w:rPr>
        <w:t>„§ 38ek</w:t>
      </w:r>
    </w:p>
    <w:p w:rsidR="00866C28" w:rsidRPr="00B1357D" w:rsidP="00B1357D">
      <w:pPr>
        <w:pStyle w:val="ListParagraph"/>
        <w:tabs>
          <w:tab w:val="left" w:pos="567"/>
        </w:tabs>
        <w:bidi w:val="0"/>
        <w:ind w:left="284"/>
        <w:jc w:val="center"/>
        <w:rPr>
          <w:rFonts w:ascii="Times New Roman" w:hAnsi="Times New Roman"/>
        </w:rPr>
      </w:pPr>
      <w:r w:rsidRPr="00B1357D">
        <w:rPr>
          <w:rFonts w:ascii="Times New Roman" w:hAnsi="Times New Roman"/>
        </w:rPr>
        <w:t>Prechodné ustanovenie účinné od 1. novembra 2017 do 31. decembra 2017</w:t>
      </w:r>
    </w:p>
    <w:p w:rsidR="00866C28" w:rsidRPr="00B1357D" w:rsidP="00B1357D">
      <w:pPr>
        <w:pStyle w:val="ListParagraph"/>
        <w:tabs>
          <w:tab w:val="left" w:pos="567"/>
        </w:tabs>
        <w:bidi w:val="0"/>
        <w:ind w:left="284"/>
        <w:jc w:val="both"/>
        <w:rPr>
          <w:rFonts w:ascii="Times New Roman" w:hAnsi="Times New Roman"/>
        </w:rPr>
      </w:pPr>
    </w:p>
    <w:p w:rsidR="00866C28" w:rsidRPr="00B1357D" w:rsidP="00B1357D">
      <w:pPr>
        <w:pStyle w:val="ListParagraph"/>
        <w:numPr>
          <w:numId w:val="1"/>
        </w:numPr>
        <w:bidi w:val="0"/>
        <w:jc w:val="both"/>
        <w:rPr>
          <w:rFonts w:ascii="Times New Roman" w:hAnsi="Times New Roman"/>
        </w:rPr>
      </w:pPr>
      <w:r w:rsidRPr="00B1357D">
        <w:rPr>
          <w:rFonts w:ascii="Times New Roman" w:hAnsi="Times New Roman"/>
        </w:rPr>
        <w:t>Ustanovenie § 38ei odseku 3 sa od 1. novembra 2017 neuplatňuje.</w:t>
      </w:r>
    </w:p>
    <w:p w:rsidR="00866C28" w:rsidRPr="00B1357D" w:rsidP="00B1357D">
      <w:pPr>
        <w:bidi w:val="0"/>
        <w:spacing w:after="0" w:line="240" w:lineRule="auto"/>
        <w:ind w:firstLine="708"/>
        <w:rPr>
          <w:rFonts w:ascii="Times New Roman" w:hAnsi="Times New Roman"/>
          <w:sz w:val="24"/>
          <w:szCs w:val="24"/>
        </w:rPr>
      </w:pPr>
    </w:p>
    <w:p w:rsidR="0048746B" w:rsidP="00B1357D">
      <w:pPr>
        <w:pStyle w:val="ListParagraph"/>
        <w:numPr>
          <w:numId w:val="1"/>
        </w:numPr>
        <w:bidi w:val="0"/>
        <w:contextualSpacing w:val="0"/>
        <w:jc w:val="both"/>
        <w:rPr>
          <w:rFonts w:ascii="Times New Roman" w:hAnsi="Times New Roman"/>
        </w:rPr>
      </w:pPr>
      <w:r w:rsidRPr="00B1357D" w:rsidR="00866C28">
        <w:rPr>
          <w:rFonts w:ascii="Times New Roman" w:hAnsi="Times New Roman"/>
        </w:rPr>
        <w:t xml:space="preserve">Od 1. novembra 2017 do 31. decembra 2017 je sadzba poistného pre štát </w:t>
      </w:r>
      <w:r w:rsidRPr="00B1357D" w:rsidR="00ED0559">
        <w:rPr>
          <w:rFonts w:ascii="Times New Roman" w:hAnsi="Times New Roman"/>
        </w:rPr>
        <w:t>5,67</w:t>
      </w:r>
      <w:r w:rsidRPr="00B1357D" w:rsidR="00866C28">
        <w:rPr>
          <w:rFonts w:ascii="Times New Roman" w:hAnsi="Times New Roman"/>
        </w:rPr>
        <w:t xml:space="preserve"> % z vymeriavacieho základu.“.</w:t>
      </w:r>
    </w:p>
    <w:p w:rsidR="0048746B" w:rsidRPr="00B1357D" w:rsidP="00B1357D">
      <w:pPr>
        <w:bidi w:val="0"/>
        <w:spacing w:after="0" w:line="240" w:lineRule="auto"/>
        <w:rPr>
          <w:rFonts w:ascii="Times New Roman" w:hAnsi="Times New Roman"/>
        </w:rPr>
      </w:pPr>
    </w:p>
    <w:p w:rsidR="006A40D6" w:rsidRPr="00B1357D" w:rsidP="00B1357D">
      <w:pPr>
        <w:pStyle w:val="ListParagraph"/>
        <w:tabs>
          <w:tab w:val="left" w:pos="993"/>
        </w:tabs>
        <w:bidi w:val="0"/>
        <w:ind w:left="1134" w:hanging="425"/>
        <w:contextualSpacing w:val="0"/>
        <w:jc w:val="both"/>
        <w:rPr>
          <w:rFonts w:ascii="Times New Roman" w:hAnsi="Times New Roman"/>
        </w:rPr>
      </w:pPr>
      <w:r w:rsidRPr="00B1357D">
        <w:rPr>
          <w:rFonts w:ascii="Times New Roman" w:hAnsi="Times New Roman"/>
        </w:rPr>
        <w:t>(3) Ročné prerozdeľovanie poistného podľa tohto zákona sa vykoná prvýkrát v roku 2017 za rok 2016.“.</w:t>
      </w:r>
    </w:p>
    <w:p w:rsidR="00866C28" w:rsidRPr="00B1357D" w:rsidP="00B1357D">
      <w:pPr>
        <w:pStyle w:val="ListParagraph"/>
        <w:bidi w:val="0"/>
        <w:ind w:left="567"/>
        <w:jc w:val="both"/>
        <w:rPr>
          <w:rFonts w:ascii="Times New Roman" w:hAnsi="Times New Roman"/>
        </w:rPr>
      </w:pPr>
    </w:p>
    <w:p w:rsidR="00866C28" w:rsidRPr="00B1357D" w:rsidP="00B1357D">
      <w:pPr>
        <w:pStyle w:val="ListParagraph"/>
        <w:bidi w:val="0"/>
        <w:jc w:val="center"/>
        <w:rPr>
          <w:rFonts w:ascii="Times New Roman" w:hAnsi="Times New Roman"/>
        </w:rPr>
      </w:pPr>
    </w:p>
    <w:p w:rsidR="0048746B">
      <w:pPr>
        <w:bidi w:val="0"/>
        <w:spacing w:after="160" w:line="259" w:lineRule="auto"/>
        <w:rPr>
          <w:rFonts w:ascii="Times New Roman" w:hAnsi="Times New Roman" w:eastAsiaTheme="majorEastAsia"/>
          <w:b/>
          <w:bCs/>
          <w:sz w:val="24"/>
          <w:szCs w:val="24"/>
        </w:rPr>
      </w:pPr>
      <w:r>
        <w:rPr>
          <w:rFonts w:ascii="Times New Roman" w:hAnsi="Times New Roman"/>
          <w:sz w:val="24"/>
          <w:szCs w:val="24"/>
        </w:rPr>
        <w:br w:type="page"/>
      </w:r>
    </w:p>
    <w:p w:rsidR="00866C28" w:rsidRPr="00B1357D" w:rsidP="00B1357D">
      <w:pPr>
        <w:pStyle w:val="Heading3"/>
        <w:bidi w:val="0"/>
        <w:spacing w:before="0" w:line="240" w:lineRule="auto"/>
        <w:jc w:val="center"/>
        <w:rPr>
          <w:rFonts w:ascii="Times New Roman" w:hAnsi="Times New Roman" w:hint="default"/>
          <w:color w:val="auto"/>
          <w:sz w:val="24"/>
          <w:szCs w:val="24"/>
        </w:rPr>
      </w:pPr>
      <w:r w:rsidRPr="00B1357D">
        <w:rPr>
          <w:rFonts w:ascii="Times New Roman" w:hAnsi="Times New Roman" w:hint="default"/>
          <w:color w:val="auto"/>
          <w:sz w:val="24"/>
          <w:szCs w:val="24"/>
        </w:rPr>
        <w:t>Č</w:t>
      </w:r>
      <w:r w:rsidRPr="00B1357D">
        <w:rPr>
          <w:rFonts w:ascii="Times New Roman" w:hAnsi="Times New Roman" w:hint="default"/>
          <w:color w:val="auto"/>
          <w:sz w:val="24"/>
          <w:szCs w:val="24"/>
        </w:rPr>
        <w:t>l. II</w:t>
      </w:r>
    </w:p>
    <w:p w:rsidR="00866C28" w:rsidRPr="00B1357D" w:rsidP="00B1357D">
      <w:pPr>
        <w:bidi w:val="0"/>
        <w:spacing w:after="0" w:line="240" w:lineRule="auto"/>
        <w:jc w:val="center"/>
        <w:rPr>
          <w:rFonts w:ascii="Times New Roman" w:hAnsi="Times New Roman"/>
          <w:sz w:val="24"/>
          <w:szCs w:val="24"/>
        </w:rPr>
      </w:pPr>
    </w:p>
    <w:p w:rsidR="00866C28" w:rsidRPr="00B1357D" w:rsidP="00B1357D">
      <w:pPr>
        <w:bidi w:val="0"/>
        <w:spacing w:after="0" w:line="240" w:lineRule="auto"/>
        <w:ind w:firstLine="708"/>
        <w:rPr>
          <w:rFonts w:ascii="Times New Roman" w:hAnsi="Times New Roman"/>
          <w:sz w:val="24"/>
          <w:szCs w:val="24"/>
        </w:rPr>
      </w:pPr>
      <w:r w:rsidRPr="00B1357D">
        <w:rPr>
          <w:rFonts w:ascii="Times New Roman" w:hAnsi="Times New Roman"/>
          <w:sz w:val="24"/>
          <w:szCs w:val="24"/>
        </w:rPr>
        <w:t>Tento zákon nadobúda účinnosť 1. novembra 2017.</w:t>
      </w:r>
    </w:p>
    <w:p w:rsidR="0048746B" w:rsidRPr="0048746B" w:rsidP="0048746B">
      <w:pPr>
        <w:bidi w:val="0"/>
        <w:jc w:val="left"/>
        <w:rPr>
          <w:rFonts w:ascii="Times New Roman" w:hAnsi="Times New Roman"/>
          <w:sz w:val="24"/>
          <w:szCs w:val="24"/>
        </w:rPr>
      </w:pPr>
    </w:p>
    <w:p w:rsidR="0048746B" w:rsidRPr="0048746B" w:rsidP="0048746B">
      <w:pPr>
        <w:bidi w:val="0"/>
        <w:jc w:val="left"/>
        <w:rPr>
          <w:rFonts w:ascii="Times New Roman" w:hAnsi="Times New Roman"/>
          <w:sz w:val="24"/>
          <w:szCs w:val="24"/>
        </w:rPr>
      </w:pPr>
    </w:p>
    <w:p w:rsidR="0048746B" w:rsidRPr="0048746B" w:rsidP="0048746B">
      <w:pPr>
        <w:bidi w:val="0"/>
        <w:jc w:val="left"/>
        <w:rPr>
          <w:rFonts w:ascii="Times New Roman" w:hAnsi="Times New Roman"/>
          <w:sz w:val="24"/>
          <w:szCs w:val="24"/>
        </w:rPr>
      </w:pPr>
    </w:p>
    <w:p w:rsidR="0048746B" w:rsidRPr="0048746B" w:rsidP="0048746B">
      <w:pPr>
        <w:bidi w:val="0"/>
        <w:jc w:val="left"/>
        <w:rPr>
          <w:rFonts w:ascii="Times New Roman" w:hAnsi="Times New Roman"/>
          <w:sz w:val="24"/>
          <w:szCs w:val="24"/>
        </w:rPr>
      </w:pPr>
    </w:p>
    <w:p w:rsidR="0048746B" w:rsidRPr="0048746B" w:rsidP="0048746B">
      <w:pPr>
        <w:bidi w:val="0"/>
        <w:jc w:val="left"/>
        <w:rPr>
          <w:rFonts w:ascii="Times New Roman" w:hAnsi="Times New Roman"/>
          <w:sz w:val="24"/>
          <w:szCs w:val="24"/>
        </w:rPr>
      </w:pPr>
    </w:p>
    <w:p w:rsidR="0048746B" w:rsidRPr="0048746B" w:rsidP="0048746B">
      <w:pPr>
        <w:bidi w:val="0"/>
        <w:jc w:val="center"/>
        <w:rPr>
          <w:rFonts w:ascii="Times New Roman" w:hAnsi="Times New Roman"/>
          <w:sz w:val="24"/>
          <w:szCs w:val="24"/>
        </w:rPr>
      </w:pPr>
      <w:r w:rsidRPr="0048746B">
        <w:rPr>
          <w:rFonts w:ascii="Times New Roman" w:hAnsi="Times New Roman"/>
          <w:sz w:val="24"/>
          <w:szCs w:val="24"/>
        </w:rPr>
        <w:t>prezident Slovenskej republiky</w:t>
      </w:r>
    </w:p>
    <w:p w:rsidR="0048746B" w:rsidRPr="0048746B" w:rsidP="0048746B">
      <w:pPr>
        <w:bidi w:val="0"/>
        <w:jc w:val="left"/>
        <w:rPr>
          <w:rFonts w:ascii="Times New Roman" w:hAnsi="Times New Roman"/>
          <w:sz w:val="24"/>
          <w:szCs w:val="24"/>
        </w:rPr>
      </w:pPr>
    </w:p>
    <w:p w:rsidR="0048746B" w:rsidRPr="0048746B" w:rsidP="0048746B">
      <w:pPr>
        <w:bidi w:val="0"/>
        <w:jc w:val="left"/>
        <w:rPr>
          <w:rFonts w:ascii="Times New Roman" w:hAnsi="Times New Roman"/>
          <w:sz w:val="24"/>
          <w:szCs w:val="24"/>
        </w:rPr>
      </w:pPr>
    </w:p>
    <w:p w:rsidR="0048746B" w:rsidRPr="0048746B" w:rsidP="0048746B">
      <w:pPr>
        <w:bidi w:val="0"/>
        <w:jc w:val="left"/>
        <w:rPr>
          <w:rFonts w:ascii="Times New Roman" w:hAnsi="Times New Roman"/>
          <w:sz w:val="24"/>
          <w:szCs w:val="24"/>
        </w:rPr>
      </w:pPr>
    </w:p>
    <w:p w:rsidR="0048746B" w:rsidRPr="0048746B" w:rsidP="0048746B">
      <w:pPr>
        <w:bidi w:val="0"/>
        <w:jc w:val="left"/>
        <w:rPr>
          <w:rFonts w:ascii="Times New Roman" w:hAnsi="Times New Roman"/>
          <w:sz w:val="24"/>
          <w:szCs w:val="24"/>
        </w:rPr>
      </w:pPr>
    </w:p>
    <w:p w:rsidR="0048746B" w:rsidRPr="0048746B" w:rsidP="0048746B">
      <w:pPr>
        <w:bidi w:val="0"/>
        <w:jc w:val="center"/>
        <w:rPr>
          <w:rFonts w:ascii="Times New Roman" w:hAnsi="Times New Roman"/>
          <w:sz w:val="24"/>
          <w:szCs w:val="24"/>
        </w:rPr>
      </w:pPr>
    </w:p>
    <w:p w:rsidR="0048746B" w:rsidRPr="0048746B" w:rsidP="0048746B">
      <w:pPr>
        <w:bidi w:val="0"/>
        <w:jc w:val="center"/>
        <w:rPr>
          <w:rFonts w:ascii="Times New Roman" w:hAnsi="Times New Roman"/>
          <w:sz w:val="24"/>
          <w:szCs w:val="24"/>
        </w:rPr>
      </w:pPr>
      <w:r w:rsidRPr="0048746B">
        <w:rPr>
          <w:rFonts w:ascii="Times New Roman" w:hAnsi="Times New Roman"/>
          <w:sz w:val="24"/>
          <w:szCs w:val="24"/>
        </w:rPr>
        <w:t>predseda Národnej rady Slovenskej republiky</w:t>
      </w:r>
    </w:p>
    <w:p w:rsidR="0048746B" w:rsidRPr="0048746B" w:rsidP="0048746B">
      <w:pPr>
        <w:bidi w:val="0"/>
        <w:jc w:val="left"/>
        <w:rPr>
          <w:rFonts w:ascii="Times New Roman" w:hAnsi="Times New Roman"/>
          <w:sz w:val="24"/>
          <w:szCs w:val="24"/>
        </w:rPr>
      </w:pPr>
    </w:p>
    <w:p w:rsidR="0048746B" w:rsidRPr="0048746B" w:rsidP="0048746B">
      <w:pPr>
        <w:bidi w:val="0"/>
        <w:jc w:val="left"/>
        <w:rPr>
          <w:rFonts w:ascii="Times New Roman" w:hAnsi="Times New Roman"/>
          <w:sz w:val="24"/>
          <w:szCs w:val="24"/>
        </w:rPr>
      </w:pPr>
    </w:p>
    <w:p w:rsidR="0048746B" w:rsidRPr="0048746B" w:rsidP="0048746B">
      <w:pPr>
        <w:bidi w:val="0"/>
        <w:jc w:val="left"/>
        <w:rPr>
          <w:rFonts w:ascii="Times New Roman" w:hAnsi="Times New Roman"/>
          <w:sz w:val="24"/>
          <w:szCs w:val="24"/>
        </w:rPr>
      </w:pPr>
    </w:p>
    <w:p w:rsidR="0048746B" w:rsidRPr="0048746B" w:rsidP="0048746B">
      <w:pPr>
        <w:bidi w:val="0"/>
        <w:jc w:val="left"/>
        <w:rPr>
          <w:rFonts w:ascii="Times New Roman" w:hAnsi="Times New Roman"/>
          <w:sz w:val="24"/>
          <w:szCs w:val="24"/>
        </w:rPr>
      </w:pPr>
    </w:p>
    <w:p w:rsidR="0048746B" w:rsidRPr="0048746B" w:rsidP="0048746B">
      <w:pPr>
        <w:bidi w:val="0"/>
        <w:jc w:val="left"/>
        <w:rPr>
          <w:rFonts w:ascii="Times New Roman" w:hAnsi="Times New Roman"/>
          <w:sz w:val="24"/>
          <w:szCs w:val="24"/>
        </w:rPr>
      </w:pPr>
    </w:p>
    <w:p w:rsidR="0048746B" w:rsidRPr="0048746B" w:rsidP="0048746B">
      <w:pPr>
        <w:bidi w:val="0"/>
        <w:jc w:val="center"/>
        <w:rPr>
          <w:rFonts w:ascii="Times New Roman" w:hAnsi="Times New Roman"/>
          <w:sz w:val="24"/>
          <w:szCs w:val="24"/>
        </w:rPr>
      </w:pPr>
      <w:r w:rsidRPr="0048746B">
        <w:rPr>
          <w:rFonts w:ascii="Times New Roman" w:hAnsi="Times New Roman"/>
          <w:sz w:val="24"/>
          <w:szCs w:val="24"/>
        </w:rPr>
        <w:t>predseda vlády Slovenskej republiky</w:t>
      </w:r>
    </w:p>
    <w:p w:rsidR="005A13D3" w:rsidRPr="00B1357D" w:rsidP="00B1357D">
      <w:pPr>
        <w:bidi w:val="0"/>
        <w:rPr>
          <w:rFonts w:ascii="Times New Roman" w:hAnsi="Times New Roman"/>
          <w:sz w:val="24"/>
          <w:szCs w:val="24"/>
        </w:rPr>
      </w:pPr>
    </w:p>
    <w:sectPr w:rsidSect="00B1357D">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46B">
    <w:pPr>
      <w:pStyle w:val="Footer"/>
      <w:bidi w:val="0"/>
      <w:jc w:val="right"/>
    </w:pPr>
    <w:r>
      <w:fldChar w:fldCharType="begin"/>
    </w:r>
    <w:r>
      <w:instrText>PAGE   \* MERGEFORMAT</w:instrText>
    </w:r>
    <w:r>
      <w:fldChar w:fldCharType="separate"/>
    </w:r>
    <w:r w:rsidR="00F91E17">
      <w:rPr>
        <w:noProof/>
      </w:rPr>
      <w:t>3</w:t>
    </w:r>
    <w:r>
      <w:fldChar w:fldCharType="end"/>
    </w:r>
  </w:p>
  <w:p w:rsidR="0048746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A2916"/>
    <w:multiLevelType w:val="hybridMultilevel"/>
    <w:tmpl w:val="9C7A86BC"/>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65663789"/>
    <w:multiLevelType w:val="hybridMultilevel"/>
    <w:tmpl w:val="348E8CD0"/>
    <w:lvl w:ilvl="0">
      <w:start w:val="1"/>
      <w:numFmt w:val="decimal"/>
      <w:lvlText w:val="%1."/>
      <w:lvlJc w:val="left"/>
      <w:pPr>
        <w:ind w:left="2062" w:hanging="360"/>
      </w:pPr>
      <w:rPr>
        <w:rFonts w:ascii="Times New Roman" w:hAnsi="Times New Roman" w:cs="Times New Roman" w:hint="default"/>
        <w:dstrike w:val="0"/>
        <w:color w:val="auto"/>
        <w:rtl w:val="0"/>
        <w:cs w:val="0"/>
      </w:rPr>
    </w:lvl>
    <w:lvl w:ilvl="1">
      <w:start w:val="1"/>
      <w:numFmt w:val="lowerLetter"/>
      <w:lvlText w:val="%2."/>
      <w:lvlJc w:val="left"/>
      <w:pPr>
        <w:ind w:left="2782" w:hanging="360"/>
      </w:pPr>
      <w:rPr>
        <w:rFonts w:cs="Times New Roman"/>
        <w:rtl w:val="0"/>
        <w:cs w:val="0"/>
      </w:rPr>
    </w:lvl>
    <w:lvl w:ilvl="2">
      <w:start w:val="1"/>
      <w:numFmt w:val="lowerRoman"/>
      <w:lvlText w:val="%3."/>
      <w:lvlJc w:val="right"/>
      <w:pPr>
        <w:ind w:left="3502" w:hanging="180"/>
      </w:pPr>
      <w:rPr>
        <w:rFonts w:cs="Times New Roman"/>
        <w:rtl w:val="0"/>
        <w:cs w:val="0"/>
      </w:rPr>
    </w:lvl>
    <w:lvl w:ilvl="3">
      <w:start w:val="1"/>
      <w:numFmt w:val="decimal"/>
      <w:lvlText w:val="%4."/>
      <w:lvlJc w:val="left"/>
      <w:pPr>
        <w:ind w:left="4222" w:hanging="360"/>
      </w:pPr>
      <w:rPr>
        <w:rFonts w:cs="Times New Roman"/>
        <w:rtl w:val="0"/>
        <w:cs w:val="0"/>
      </w:rPr>
    </w:lvl>
    <w:lvl w:ilvl="4">
      <w:start w:val="1"/>
      <w:numFmt w:val="lowerLetter"/>
      <w:lvlText w:val="%5."/>
      <w:lvlJc w:val="left"/>
      <w:pPr>
        <w:ind w:left="4942" w:hanging="360"/>
      </w:pPr>
      <w:rPr>
        <w:rFonts w:cs="Times New Roman"/>
        <w:rtl w:val="0"/>
        <w:cs w:val="0"/>
      </w:rPr>
    </w:lvl>
    <w:lvl w:ilvl="5">
      <w:start w:val="1"/>
      <w:numFmt w:val="lowerRoman"/>
      <w:lvlText w:val="%6."/>
      <w:lvlJc w:val="right"/>
      <w:pPr>
        <w:ind w:left="5662" w:hanging="180"/>
      </w:pPr>
      <w:rPr>
        <w:rFonts w:cs="Times New Roman"/>
        <w:rtl w:val="0"/>
        <w:cs w:val="0"/>
      </w:rPr>
    </w:lvl>
    <w:lvl w:ilvl="6">
      <w:start w:val="1"/>
      <w:numFmt w:val="decimal"/>
      <w:lvlText w:val="%7."/>
      <w:lvlJc w:val="left"/>
      <w:pPr>
        <w:ind w:left="6382" w:hanging="360"/>
      </w:pPr>
      <w:rPr>
        <w:rFonts w:cs="Times New Roman"/>
        <w:rtl w:val="0"/>
        <w:cs w:val="0"/>
      </w:rPr>
    </w:lvl>
    <w:lvl w:ilvl="7">
      <w:start w:val="1"/>
      <w:numFmt w:val="lowerLetter"/>
      <w:lvlText w:val="%8."/>
      <w:lvlJc w:val="left"/>
      <w:pPr>
        <w:ind w:left="7102" w:hanging="360"/>
      </w:pPr>
      <w:rPr>
        <w:rFonts w:cs="Times New Roman"/>
        <w:rtl w:val="0"/>
        <w:cs w:val="0"/>
      </w:rPr>
    </w:lvl>
    <w:lvl w:ilvl="8">
      <w:start w:val="1"/>
      <w:numFmt w:val="lowerRoman"/>
      <w:lvlText w:val="%9."/>
      <w:lvlJc w:val="right"/>
      <w:pPr>
        <w:ind w:left="7822" w:hanging="180"/>
      </w:pPr>
      <w:rPr>
        <w:rFonts w:cs="Times New Roman"/>
        <w:rtl w:val="0"/>
        <w:cs w:val="0"/>
      </w:rPr>
    </w:lvl>
  </w:abstractNum>
  <w:abstractNum w:abstractNumId="2">
    <w:nsid w:val="786F1B11"/>
    <w:multiLevelType w:val="hybridMultilevel"/>
    <w:tmpl w:val="65200DD2"/>
    <w:lvl w:ilvl="0">
      <w:start w:val="5"/>
      <w:numFmt w:val="decimal"/>
      <w:lvlText w:val="%1."/>
      <w:lvlJc w:val="left"/>
      <w:pPr>
        <w:ind w:left="862" w:hanging="360"/>
      </w:pPr>
      <w:rPr>
        <w:rFonts w:cs="Times New Roman" w:hint="default"/>
        <w:b/>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08"/>
  <w:hyphenationZone w:val="425"/>
  <w:characterSpacingControl w:val="doNotCompress"/>
  <w:compat/>
  <w:rsids>
    <w:rsidRoot w:val="00866C28"/>
    <w:rsid w:val="000978F8"/>
    <w:rsid w:val="000E1890"/>
    <w:rsid w:val="003C27B9"/>
    <w:rsid w:val="003D114D"/>
    <w:rsid w:val="003F16C3"/>
    <w:rsid w:val="003F64B9"/>
    <w:rsid w:val="004042F7"/>
    <w:rsid w:val="0048746B"/>
    <w:rsid w:val="005A13D3"/>
    <w:rsid w:val="005A2463"/>
    <w:rsid w:val="006A40D6"/>
    <w:rsid w:val="00866C28"/>
    <w:rsid w:val="00917F5A"/>
    <w:rsid w:val="0094151B"/>
    <w:rsid w:val="00B1357D"/>
    <w:rsid w:val="00B70DE3"/>
    <w:rsid w:val="00ED0559"/>
    <w:rsid w:val="00F77531"/>
    <w:rsid w:val="00F91E17"/>
    <w:rsid w:val="00FB1D8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C28"/>
    <w:pPr>
      <w:framePr w:wrap="auto"/>
      <w:widowControl/>
      <w:autoSpaceDE/>
      <w:autoSpaceDN/>
      <w:adjustRightInd/>
      <w:spacing w:after="200" w:line="276" w:lineRule="auto"/>
      <w:ind w:left="0" w:right="0"/>
      <w:jc w:val="both"/>
      <w:textAlignment w:val="auto"/>
    </w:pPr>
    <w:rPr>
      <w:rFonts w:asciiTheme="minorHAnsi" w:hAnsiTheme="minorHAnsi" w:cs="Times New Roman"/>
      <w:sz w:val="22"/>
      <w:szCs w:val="22"/>
      <w:rtl w:val="0"/>
      <w:cs w:val="0"/>
      <w:lang w:val="sk-SK" w:eastAsia="en-US" w:bidi="ar-SA"/>
    </w:rPr>
  </w:style>
  <w:style w:type="paragraph" w:styleId="Heading3">
    <w:name w:val="heading 3"/>
    <w:basedOn w:val="Normal"/>
    <w:next w:val="Normal"/>
    <w:link w:val="Nadpis3Char"/>
    <w:uiPriority w:val="9"/>
    <w:semiHidden/>
    <w:unhideWhenUsed/>
    <w:qFormat/>
    <w:rsid w:val="00866C28"/>
    <w:pPr>
      <w:keepNext/>
      <w:keepLines/>
      <w:spacing w:before="200" w:after="0"/>
      <w:jc w:val="left"/>
      <w:outlineLvl w:val="2"/>
    </w:pPr>
    <w:rPr>
      <w:rFonts w:asciiTheme="majorHAnsi" w:eastAsiaTheme="majorEastAsia" w:hAnsiTheme="majorHAnsi"/>
      <w:b/>
      <w:bCs/>
      <w:color w:val="5B9BD5"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866C28"/>
    <w:rPr>
      <w:rFonts w:asciiTheme="majorHAnsi" w:eastAsiaTheme="majorEastAsia" w:hAnsiTheme="majorHAnsi" w:cs="Times New Roman"/>
      <w:b/>
      <w:bCs/>
      <w:color w:val="5B9BD5" w:themeColor="accent1" w:themeShade="FF"/>
      <w:rtl w:val="0"/>
      <w:cs w:val="0"/>
    </w:rPr>
  </w:style>
  <w:style w:type="paragraph" w:styleId="NormalWeb">
    <w:name w:val="Normal (Web)"/>
    <w:aliases w:val="webb"/>
    <w:basedOn w:val="Normal"/>
    <w:uiPriority w:val="99"/>
    <w:semiHidden/>
    <w:unhideWhenUsed/>
    <w:qFormat/>
    <w:rsid w:val="00866C28"/>
    <w:pPr>
      <w:spacing w:before="100" w:beforeAutospacing="1" w:after="100" w:afterAutospacing="1" w:line="240" w:lineRule="auto"/>
      <w:jc w:val="left"/>
    </w:pPr>
    <w:rPr>
      <w:sz w:val="24"/>
      <w:szCs w:val="24"/>
      <w:lang w:eastAsia="sk-SK"/>
    </w:rPr>
  </w:style>
  <w:style w:type="character" w:customStyle="1" w:styleId="OdsekzoznamuChar">
    <w:name w:val="Odsek zoznamu Char"/>
    <w:aliases w:val="Odsek Char,Odsek zoznamu1 Char,Odsek zoznamu2 Char,body Char"/>
    <w:link w:val="ListParagraph"/>
    <w:uiPriority w:val="34"/>
    <w:locked/>
    <w:rsid w:val="00866C28"/>
    <w:rPr>
      <w:rFonts w:ascii="Times New Roman" w:hAnsi="Times New Roman" w:cs="Times New Roman"/>
      <w:sz w:val="24"/>
      <w:lang w:val="x-none" w:eastAsia="sk-SK"/>
    </w:rPr>
  </w:style>
  <w:style w:type="paragraph" w:styleId="ListParagraph">
    <w:name w:val="List Paragraph"/>
    <w:aliases w:val="Odsek,Odsek zoznamu1,Odsek zoznamu2,body"/>
    <w:basedOn w:val="Normal"/>
    <w:link w:val="OdsekzoznamuChar"/>
    <w:uiPriority w:val="34"/>
    <w:qFormat/>
    <w:rsid w:val="00866C28"/>
    <w:pPr>
      <w:spacing w:after="0" w:line="240" w:lineRule="auto"/>
      <w:ind w:left="720"/>
      <w:contextualSpacing/>
      <w:jc w:val="left"/>
    </w:pPr>
    <w:rPr>
      <w:sz w:val="24"/>
      <w:szCs w:val="24"/>
      <w:lang w:eastAsia="sk-SK"/>
    </w:rPr>
  </w:style>
  <w:style w:type="paragraph" w:styleId="BalloonText">
    <w:name w:val="Balloon Text"/>
    <w:basedOn w:val="Normal"/>
    <w:link w:val="TextbublinyChar"/>
    <w:uiPriority w:val="99"/>
    <w:semiHidden/>
    <w:unhideWhenUsed/>
    <w:rsid w:val="00F77531"/>
    <w:pPr>
      <w:spacing w:after="0" w:line="240" w:lineRule="auto"/>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77531"/>
    <w:rPr>
      <w:rFonts w:ascii="Tahoma" w:hAnsi="Tahoma" w:cs="Tahoma"/>
      <w:sz w:val="16"/>
      <w:szCs w:val="16"/>
      <w:rtl w:val="0"/>
      <w:cs w:val="0"/>
    </w:rPr>
  </w:style>
  <w:style w:type="character" w:styleId="CommentReference">
    <w:name w:val="annotation reference"/>
    <w:basedOn w:val="DefaultParagraphFont"/>
    <w:uiPriority w:val="99"/>
    <w:semiHidden/>
    <w:unhideWhenUsed/>
    <w:rsid w:val="006A40D6"/>
    <w:rPr>
      <w:rFonts w:cs="Times New Roman"/>
      <w:sz w:val="16"/>
      <w:szCs w:val="16"/>
      <w:rtl w:val="0"/>
      <w:cs w:val="0"/>
    </w:rPr>
  </w:style>
  <w:style w:type="paragraph" w:styleId="CommentText">
    <w:name w:val="annotation text"/>
    <w:basedOn w:val="Normal"/>
    <w:link w:val="TextkomentraChar"/>
    <w:uiPriority w:val="99"/>
    <w:semiHidden/>
    <w:unhideWhenUsed/>
    <w:rsid w:val="006A40D6"/>
    <w:pPr>
      <w:spacing w:line="240" w:lineRule="auto"/>
      <w:jc w:val="both"/>
    </w:pPr>
    <w:rPr>
      <w:sz w:val="20"/>
      <w:szCs w:val="20"/>
    </w:rPr>
  </w:style>
  <w:style w:type="character" w:customStyle="1" w:styleId="TextkomentraChar">
    <w:name w:val="Text komentára Char"/>
    <w:basedOn w:val="DefaultParagraphFont"/>
    <w:link w:val="CommentText"/>
    <w:uiPriority w:val="99"/>
    <w:semiHidden/>
    <w:locked/>
    <w:rsid w:val="006A40D6"/>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6A40D6"/>
    <w:pPr>
      <w:spacing w:line="240" w:lineRule="auto"/>
      <w:jc w:val="both"/>
    </w:pPr>
    <w:rPr>
      <w:b/>
      <w:bCs/>
    </w:rPr>
  </w:style>
  <w:style w:type="character" w:customStyle="1" w:styleId="PredmetkomentraChar">
    <w:name w:val="Predmet komentára Char"/>
    <w:basedOn w:val="TextkomentraChar"/>
    <w:link w:val="CommentSubject"/>
    <w:uiPriority w:val="99"/>
    <w:semiHidden/>
    <w:locked/>
    <w:rsid w:val="006A40D6"/>
    <w:rPr>
      <w:b/>
      <w:bCs/>
    </w:rPr>
  </w:style>
  <w:style w:type="paragraph" w:styleId="Header">
    <w:name w:val="header"/>
    <w:basedOn w:val="Normal"/>
    <w:link w:val="HlavikaChar"/>
    <w:uiPriority w:val="99"/>
    <w:unhideWhenUsed/>
    <w:rsid w:val="0048746B"/>
    <w:pPr>
      <w:tabs>
        <w:tab w:val="center" w:pos="4536"/>
        <w:tab w:val="right" w:pos="9072"/>
      </w:tabs>
      <w:spacing w:after="0" w:line="240" w:lineRule="auto"/>
      <w:jc w:val="both"/>
    </w:pPr>
  </w:style>
  <w:style w:type="character" w:customStyle="1" w:styleId="HlavikaChar">
    <w:name w:val="Hlavička Char"/>
    <w:basedOn w:val="DefaultParagraphFont"/>
    <w:link w:val="Header"/>
    <w:uiPriority w:val="99"/>
    <w:locked/>
    <w:rsid w:val="0048746B"/>
    <w:rPr>
      <w:rFonts w:cs="Times New Roman"/>
      <w:rtl w:val="0"/>
      <w:cs w:val="0"/>
    </w:rPr>
  </w:style>
  <w:style w:type="paragraph" w:styleId="Footer">
    <w:name w:val="footer"/>
    <w:basedOn w:val="Normal"/>
    <w:link w:val="PtaChar"/>
    <w:uiPriority w:val="99"/>
    <w:unhideWhenUsed/>
    <w:rsid w:val="0048746B"/>
    <w:pPr>
      <w:tabs>
        <w:tab w:val="center" w:pos="4536"/>
        <w:tab w:val="right" w:pos="9072"/>
      </w:tabs>
      <w:spacing w:after="0" w:line="240" w:lineRule="auto"/>
      <w:jc w:val="both"/>
    </w:pPr>
  </w:style>
  <w:style w:type="character" w:customStyle="1" w:styleId="PtaChar">
    <w:name w:val="Päta Char"/>
    <w:basedOn w:val="DefaultParagraphFont"/>
    <w:link w:val="Footer"/>
    <w:uiPriority w:val="99"/>
    <w:locked/>
    <w:rsid w:val="0048746B"/>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4</Pages>
  <Words>923</Words>
  <Characters>5265</Characters>
  <Application>Microsoft Office Word</Application>
  <DocSecurity>0</DocSecurity>
  <Lines>0</Lines>
  <Paragraphs>0</Paragraphs>
  <ScaleCrop>false</ScaleCrop>
  <Company>MZ SR</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Lukšová Anna</dc:creator>
  <cp:lastModifiedBy>Švorcová, Veronika</cp:lastModifiedBy>
  <cp:revision>3</cp:revision>
  <cp:lastPrinted>2017-10-10T16:33:00Z</cp:lastPrinted>
  <dcterms:created xsi:type="dcterms:W3CDTF">2017-10-10T16:39:00Z</dcterms:created>
  <dcterms:modified xsi:type="dcterms:W3CDTF">2017-10-11T08:09:00Z</dcterms:modified>
</cp:coreProperties>
</file>