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36A" w:rsidP="007F336A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7F336A" w:rsidP="007F336A">
      <w:pPr>
        <w:bidi w:val="0"/>
        <w:jc w:val="center"/>
        <w:rPr>
          <w:b/>
        </w:rPr>
      </w:pPr>
      <w:r>
        <w:rPr>
          <w:b/>
        </w:rPr>
        <w:t>VII.  volebné obdobie</w:t>
      </w:r>
    </w:p>
    <w:p w:rsidR="007F336A" w:rsidP="007F336A">
      <w:pPr>
        <w:bidi w:val="0"/>
        <w:jc w:val="both"/>
      </w:pPr>
      <w:r>
        <w:t>___________________________________________________________________</w:t>
      </w:r>
    </w:p>
    <w:p w:rsidR="007F336A" w:rsidP="007F336A">
      <w:pPr>
        <w:bidi w:val="0"/>
        <w:jc w:val="both"/>
      </w:pPr>
    </w:p>
    <w:p w:rsidR="003E14E0" w:rsidRPr="003E14E0" w:rsidP="003E14E0">
      <w:pPr>
        <w:bidi w:val="0"/>
        <w:jc w:val="both"/>
      </w:pPr>
      <w:r>
        <w:t>Číslo: 1385/2017</w:t>
      </w:r>
    </w:p>
    <w:p w:rsidR="003E14E0" w:rsidP="008E08C5">
      <w:pPr>
        <w:bidi w:val="0"/>
        <w:rPr>
          <w:b/>
          <w:sz w:val="32"/>
        </w:rPr>
      </w:pPr>
    </w:p>
    <w:p w:rsidR="007F336A" w:rsidP="007F336A">
      <w:pPr>
        <w:bidi w:val="0"/>
        <w:jc w:val="center"/>
        <w:rPr>
          <w:b/>
          <w:sz w:val="32"/>
        </w:rPr>
      </w:pPr>
      <w:r>
        <w:rPr>
          <w:b/>
          <w:sz w:val="32"/>
        </w:rPr>
        <w:t>617a</w:t>
      </w:r>
    </w:p>
    <w:p w:rsidR="007F336A" w:rsidP="007F336A">
      <w:pPr>
        <w:bidi w:val="0"/>
        <w:jc w:val="center"/>
        <w:rPr>
          <w:b/>
        </w:rPr>
      </w:pPr>
    </w:p>
    <w:p w:rsidR="007F336A" w:rsidP="007F336A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7F336A" w:rsidP="007F336A">
      <w:pPr>
        <w:bidi w:val="0"/>
        <w:jc w:val="both"/>
        <w:rPr>
          <w:b/>
        </w:rPr>
      </w:pPr>
    </w:p>
    <w:p w:rsidR="007F336A" w:rsidRPr="00C77642" w:rsidP="007F336A">
      <w:pPr>
        <w:bidi w:val="0"/>
        <w:jc w:val="both"/>
      </w:pPr>
      <w:r>
        <w:t>výborov Národnej rady Slovenskej republiky o</w:t>
      </w:r>
      <w:r w:rsidR="00EB195D">
        <w:t> </w:t>
      </w:r>
      <w:r>
        <w:t>prerokovaní</w:t>
      </w:r>
      <w:r w:rsidR="00EB195D">
        <w:t xml:space="preserve"> </w:t>
      </w:r>
      <w:r w:rsidRPr="00BB53DD">
        <w:rPr>
          <w:b/>
        </w:rPr>
        <w:t>vládne</w:t>
      </w:r>
      <w:r w:rsidR="00EB195D">
        <w:rPr>
          <w:b/>
        </w:rPr>
        <w:t>ho</w:t>
      </w:r>
      <w:r w:rsidRPr="00BB53DD">
        <w:rPr>
          <w:b/>
        </w:rPr>
        <w:t xml:space="preserve"> návrhu zákona, </w:t>
      </w:r>
      <w:r w:rsidRPr="00487D16">
        <w:rPr>
          <w:b/>
        </w:rPr>
        <w:t xml:space="preserve">ktorým sa mení a dopĺňa zákon č. 139/1998 Z. z. o omamných látkach, psychotropných látkach a prípravkoch v znení neskorších predpisov </w:t>
      </w:r>
      <w:r w:rsidRPr="007F336A">
        <w:t>(tlač 617</w:t>
      </w:r>
      <w:r>
        <w:t>a</w:t>
      </w:r>
      <w:r w:rsidRPr="007F336A">
        <w:t>)</w:t>
      </w:r>
      <w:r>
        <w:rPr>
          <w:b/>
        </w:rPr>
        <w:t xml:space="preserve"> </w:t>
      </w:r>
      <w:r>
        <w:rPr>
          <w:bCs/>
        </w:rPr>
        <w:t>v druhom čítaní</w:t>
      </w:r>
    </w:p>
    <w:p w:rsidR="007F336A" w:rsidP="007F336A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7F336A" w:rsidP="007F336A">
      <w:pPr>
        <w:bidi w:val="0"/>
        <w:jc w:val="both"/>
        <w:rPr>
          <w:b/>
        </w:rPr>
      </w:pPr>
    </w:p>
    <w:p w:rsidR="007F336A" w:rsidP="007F336A">
      <w:pPr>
        <w:bidi w:val="0"/>
        <w:jc w:val="both"/>
        <w:rPr>
          <w:b/>
        </w:rPr>
      </w:pPr>
    </w:p>
    <w:p w:rsidR="007F336A" w:rsidRPr="006C1D93" w:rsidP="007F336A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 xml:space="preserve">gestorský </w:t>
      </w:r>
      <w:r w:rsidRPr="007F336A">
        <w:t xml:space="preserve">výbor k vládnemu návrhu zákona, ktorým sa mení a dopĺňa zákon č. 139/1998 Z. z. o omamných látkach, psychotropných látkach a prípravkoch v znení neskorších predpisov (tlač 617) podáva Národnej rade Slovenskej republiky podľa </w:t>
      </w:r>
      <w:r>
        <w:t xml:space="preserve">§ 79 ods. 1 zákona Národnej rady Slovenskej republiky č. 350/1996 Z. z. o rokovacom poriadku Národnej rady Slovenskej republiky spoločnú správu výborov Národnej rady Slovenskej republiky. </w:t>
      </w:r>
    </w:p>
    <w:p w:rsidR="007F336A" w:rsidP="007F336A">
      <w:pPr>
        <w:bidi w:val="0"/>
        <w:ind w:right="-1"/>
        <w:jc w:val="both"/>
      </w:pPr>
    </w:p>
    <w:p w:rsidR="007F336A" w:rsidP="007F336A">
      <w:pPr>
        <w:bidi w:val="0"/>
        <w:ind w:right="-1"/>
        <w:jc w:val="center"/>
      </w:pPr>
      <w:r>
        <w:rPr>
          <w:b/>
        </w:rPr>
        <w:t>I.</w:t>
      </w:r>
    </w:p>
    <w:p w:rsidR="007F336A" w:rsidP="007F336A">
      <w:pPr>
        <w:bidi w:val="0"/>
        <w:ind w:right="-1"/>
        <w:jc w:val="both"/>
      </w:pPr>
    </w:p>
    <w:p w:rsidR="007F336A" w:rsidP="007F336A">
      <w:pPr>
        <w:bidi w:val="0"/>
        <w:jc w:val="both"/>
      </w:pPr>
      <w:r w:rsidRPr="00E32F06">
        <w:tab/>
        <w:t>Národná rada Slovenskej republiky uznesením č.</w:t>
      </w:r>
      <w:r>
        <w:t xml:space="preserve"> 770 </w:t>
      </w:r>
      <w:r w:rsidR="0040290D">
        <w:t>z</w:t>
      </w:r>
      <w:r>
        <w:t>o 6. septembra 2</w:t>
      </w:r>
      <w:r w:rsidRPr="00E32F06">
        <w:t>01</w:t>
      </w:r>
      <w:r>
        <w:t>7</w:t>
      </w:r>
      <w:r w:rsidRPr="00E32F06">
        <w:t xml:space="preserve"> po prerokovaní</w:t>
      </w:r>
      <w:r w:rsidRPr="007F336A">
        <w:t xml:space="preserve"> vládneho návrhu zákona, ktorým sa mení a dopĺňa zákon č. 139/1998 Z. z. o omamných látkach, psychotropných látkach a prípravkoch v znení neskorších predpisov (tlač 617) rozhodla, že podľa § 73 ods. 3 písm. c)  zákona  Národnej  r</w:t>
      </w:r>
      <w:r w:rsidRPr="00E32F06">
        <w:t>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7F336A" w:rsidP="007F336A">
      <w:pPr>
        <w:bidi w:val="0"/>
        <w:ind w:right="-1"/>
        <w:jc w:val="both"/>
      </w:pPr>
    </w:p>
    <w:p w:rsidR="007F336A" w:rsidP="007F336A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  a</w:t>
      </w:r>
    </w:p>
    <w:p w:rsidR="007F336A" w:rsidP="007F336A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7F336A" w:rsidP="007F336A">
      <w:pPr>
        <w:bidi w:val="0"/>
        <w:ind w:right="-1"/>
        <w:rPr>
          <w:rFonts w:cs="Times New Roman"/>
          <w:szCs w:val="20"/>
        </w:rPr>
      </w:pPr>
    </w:p>
    <w:p w:rsidR="007F336A" w:rsidP="007F336A">
      <w:pPr>
        <w:bidi w:val="0"/>
        <w:ind w:right="-1"/>
        <w:jc w:val="center"/>
      </w:pPr>
      <w:r>
        <w:rPr>
          <w:b/>
        </w:rPr>
        <w:t>II.</w:t>
      </w:r>
    </w:p>
    <w:p w:rsidR="007F336A" w:rsidP="007F336A">
      <w:pPr>
        <w:bidi w:val="0"/>
        <w:ind w:right="-1"/>
        <w:jc w:val="both"/>
      </w:pPr>
    </w:p>
    <w:p w:rsidR="007F336A" w:rsidP="007F336A">
      <w:pPr>
        <w:bidi w:val="0"/>
        <w:ind w:right="-1"/>
        <w:jc w:val="both"/>
      </w:pPr>
      <w:r>
        <w:tab/>
      </w:r>
      <w:r w:rsidR="003E14E0">
        <w:t>Výboru Národnej rady Slovenskej republiky pre zdravotníctvo ako g</w:t>
      </w:r>
      <w:r>
        <w:t>estorsk</w:t>
      </w:r>
      <w:r w:rsidR="003E14E0">
        <w:t>ému</w:t>
      </w:r>
      <w:r>
        <w:t xml:space="preserve"> výbor</w:t>
      </w:r>
      <w:r w:rsidR="003E14E0">
        <w:t xml:space="preserve">u v zmysle  </w:t>
      </w:r>
      <w:r>
        <w:t xml:space="preserve">§ 75 ods. 2 zákona č. 350/1996 Z. z. </w:t>
      </w:r>
      <w:r w:rsidR="003E14E0">
        <w:t>o rokovacom poriadku predložil pozmeňujúci návrh a svoje stanovisko poslanec M. Poliačik.</w:t>
      </w:r>
    </w:p>
    <w:p w:rsidR="007F336A" w:rsidP="007F336A">
      <w:pPr>
        <w:bidi w:val="0"/>
        <w:ind w:right="-1"/>
        <w:jc w:val="both"/>
      </w:pPr>
    </w:p>
    <w:p w:rsidR="007F336A" w:rsidP="007F336A">
      <w:pPr>
        <w:bidi w:val="0"/>
        <w:ind w:right="-1"/>
        <w:jc w:val="center"/>
        <w:rPr>
          <w:b/>
        </w:rPr>
      </w:pPr>
      <w:r>
        <w:rPr>
          <w:b/>
        </w:rPr>
        <w:t>III.</w:t>
      </w:r>
    </w:p>
    <w:p w:rsidR="003E14E0" w:rsidP="007F336A">
      <w:pPr>
        <w:bidi w:val="0"/>
        <w:ind w:right="-1"/>
        <w:jc w:val="center"/>
      </w:pPr>
    </w:p>
    <w:p w:rsidR="007F336A" w:rsidP="007F336A">
      <w:pPr>
        <w:bidi w:val="0"/>
        <w:jc w:val="both"/>
      </w:pPr>
    </w:p>
    <w:p w:rsidR="007F336A" w:rsidRPr="008E08C5" w:rsidP="007F336A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7F336A" w:rsidRPr="007F336A" w:rsidP="007F336A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7F336A">
        <w:t>vládny návrh zákona, ktorým sa mení a dopĺňa zákon č. 139/1998 Z. z. o omamných látkach, psychotropných látkach a prípravkoch v znení neskorších predpisov (tlač 617)</w:t>
      </w:r>
      <w:r>
        <w:rPr>
          <w:b/>
        </w:rPr>
        <w:t xml:space="preserve"> </w:t>
      </w:r>
      <w:r w:rsidRPr="006876A4">
        <w:t xml:space="preserve">dňa </w:t>
      </w:r>
      <w:r>
        <w:t>3</w:t>
      </w:r>
      <w:r w:rsidRPr="006876A4">
        <w:t xml:space="preserve">. </w:t>
      </w:r>
      <w:r>
        <w:t>októbra</w:t>
      </w:r>
      <w:r w:rsidRPr="006876A4">
        <w:t xml:space="preserve"> 2017 a odporučil  Národnej rade </w:t>
      </w:r>
      <w:r w:rsidRPr="00FC7089">
        <w:t xml:space="preserve">Slovenskej </w:t>
      </w:r>
      <w:r>
        <w:t>republiky  návrh zákona schváliť so zme</w:t>
      </w:r>
      <w:r w:rsidR="00B32BFA">
        <w:t>nou.</w:t>
      </w:r>
      <w:r>
        <w:t xml:space="preserve"> (uznesenie č.  </w:t>
      </w:r>
      <w:r w:rsidR="00B32BFA">
        <w:t xml:space="preserve">265 </w:t>
      </w:r>
      <w:r>
        <w:t xml:space="preserve">z 3. októbra 2017). </w:t>
      </w:r>
    </w:p>
    <w:p w:rsidR="007F336A" w:rsidP="007F336A">
      <w:pPr>
        <w:bidi w:val="0"/>
        <w:jc w:val="both"/>
        <w:rPr>
          <w:b/>
        </w:rPr>
      </w:pPr>
      <w:r>
        <w:rPr>
          <w:b/>
        </w:rPr>
        <w:tab/>
      </w:r>
    </w:p>
    <w:p w:rsidR="007F336A" w:rsidP="007F336A">
      <w:pPr>
        <w:bidi w:val="0"/>
        <w:ind w:firstLine="708"/>
        <w:jc w:val="both"/>
        <w:rPr>
          <w:b/>
        </w:rPr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>prerokoval</w:t>
      </w:r>
      <w:r w:rsidRPr="00C41D53">
        <w:t xml:space="preserve"> </w:t>
      </w:r>
      <w:r w:rsidRPr="007F336A">
        <w:t xml:space="preserve">vládny návrh zákona, ktorým sa mení a dopĺňa zákon č. 139/1998 Z. z. o omamných látkach, psychotropných látkach a prípravkoch v znení neskorších predpisov (tlač 617) dňa </w:t>
      </w:r>
      <w:r>
        <w:t>4</w:t>
      </w:r>
      <w:r w:rsidRPr="007F336A">
        <w:t xml:space="preserve">. </w:t>
      </w:r>
      <w:r>
        <w:t>októbra</w:t>
      </w:r>
      <w:r w:rsidRPr="007F336A">
        <w:t xml:space="preserve"> 2017 a odporučil  Národnej rade Slovenskej </w:t>
      </w:r>
      <w:r>
        <w:t>republiky  návrh zákona schváliť s pozmeňujúcimi a doplňujúcimi návrhmi (uznesenie č. 60 zo 4. októbra 2017).</w:t>
      </w:r>
    </w:p>
    <w:p w:rsidR="007F336A" w:rsidP="007F336A">
      <w:pPr>
        <w:bidi w:val="0"/>
        <w:jc w:val="both"/>
      </w:pPr>
    </w:p>
    <w:p w:rsidR="007F336A" w:rsidRPr="00AD55C6" w:rsidP="007F336A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7F336A" w:rsidP="007F336A">
      <w:pPr>
        <w:bidi w:val="0"/>
        <w:ind w:firstLine="360"/>
        <w:jc w:val="both"/>
      </w:pPr>
    </w:p>
    <w:p w:rsidR="007F336A" w:rsidP="007F336A">
      <w:pPr>
        <w:bidi w:val="0"/>
        <w:ind w:firstLine="360"/>
        <w:jc w:val="both"/>
      </w:pPr>
    </w:p>
    <w:p w:rsidR="007F336A" w:rsidRPr="00C20F2D" w:rsidP="007F336A">
      <w:pPr>
        <w:bidi w:val="0"/>
        <w:ind w:firstLine="360"/>
        <w:jc w:val="both"/>
      </w:pPr>
      <w:r w:rsidRPr="003C20BD">
        <w:tab/>
        <w:t xml:space="preserve">Z uznesení výborov uvedených pod bodom III. tejto správy  </w:t>
      </w:r>
      <w:r>
        <w:t>vyplývajú pozmeňujúce návrhy:</w:t>
      </w:r>
    </w:p>
    <w:p w:rsidR="007F336A">
      <w:pPr>
        <w:bidi w:val="0"/>
      </w:pPr>
    </w:p>
    <w:p w:rsidR="00B32BFA" w:rsidP="00B32BFA">
      <w:pPr>
        <w:bidi w:val="0"/>
        <w:jc w:val="both"/>
        <w:rPr>
          <w:b/>
        </w:rPr>
      </w:pPr>
      <w:r>
        <w:rPr>
          <w:b/>
        </w:rPr>
        <w:t>1. K čl. I</w:t>
      </w:r>
    </w:p>
    <w:p w:rsidR="00B32BFA" w:rsidP="00B32BFA">
      <w:pPr>
        <w:bidi w:val="0"/>
        <w:jc w:val="both"/>
      </w:pPr>
      <w:r>
        <w:t xml:space="preserve">    V článku I bod 12 znie:</w:t>
      </w:r>
    </w:p>
    <w:p w:rsidR="00B32BFA" w:rsidP="00B32BFA">
      <w:pPr>
        <w:pStyle w:val="BodyText"/>
        <w:bidi w:val="0"/>
        <w:spacing w:line="240" w:lineRule="auto"/>
        <w:rPr>
          <w:b/>
        </w:rPr>
      </w:pPr>
      <w:r>
        <w:t xml:space="preserve">   „12. V prílohe č. 1 I. skupine </w:t>
      </w:r>
      <w:r w:rsidRPr="00B32BFA">
        <w:rPr>
          <w:rFonts w:cs="Arial"/>
          <w:szCs w:val="24"/>
        </w:rPr>
        <w:t xml:space="preserve"> </w:t>
      </w:r>
      <w:r w:rsidRPr="00B32BFA">
        <w:rPr>
          <w:rFonts w:cs="Arial"/>
          <w:color w:val="000000" w:themeColor="tx1" w:themeShade="FF"/>
          <w:szCs w:val="24"/>
        </w:rPr>
        <w:t>o</w:t>
      </w:r>
      <w:r w:rsidRPr="00B32BFA">
        <w:rPr>
          <w:rStyle w:val="ppp-input-value1"/>
          <w:rFonts w:ascii="Arial" w:hAnsi="Arial" w:cs="Arial"/>
          <w:color w:val="000000" w:themeColor="tx1" w:themeShade="FF"/>
          <w:sz w:val="24"/>
          <w:szCs w:val="24"/>
        </w:rPr>
        <w:t>mamných látok</w:t>
      </w:r>
      <w:r w:rsidRPr="00B32BFA">
        <w:rPr>
          <w:rFonts w:cs="Arial"/>
          <w:szCs w:val="24"/>
        </w:rPr>
        <w:t xml:space="preserve"> </w:t>
      </w:r>
      <w:r>
        <w:t>sa za riadok</w:t>
      </w:r>
      <w:r>
        <w:rPr>
          <w:bCs/>
        </w:rPr>
        <w:t xml:space="preserve"> „Acetyl-alfa-metylfentanyl, chemicky N-fenyl-N-[1-(1-fenylpropán-2-yl)-4-piperidyl]etánamid“ vkladajú nové riadky, ktoré znejú: </w:t>
      </w:r>
    </w:p>
    <w:p w:rsidR="00B32BFA" w:rsidP="00B32BFA">
      <w:pPr>
        <w:pStyle w:val="BodyText"/>
        <w:bidi w:val="0"/>
        <w:spacing w:line="240" w:lineRule="auto"/>
        <w:rPr>
          <w:b/>
          <w:bCs/>
        </w:rPr>
      </w:pPr>
      <w:r>
        <w:rPr>
          <w:bCs/>
        </w:rPr>
        <w:t xml:space="preserve">„Acetylfentanyl, chemicky </w:t>
      </w:r>
      <w:r>
        <w:t>N-fenyl-N-[1-(2-fenyletyl)piperidín-4-yl]etánamid</w:t>
      </w:r>
    </w:p>
    <w:p w:rsidR="00B32BFA" w:rsidP="00B32BFA">
      <w:pPr>
        <w:bidi w:val="0"/>
        <w:jc w:val="both"/>
        <w:rPr>
          <w:bCs/>
          <w:color w:val="000000"/>
          <w:lang w:eastAsia="sk-SK"/>
        </w:rPr>
      </w:pPr>
      <w:r>
        <w:rPr>
          <w:color w:val="000000"/>
          <w:lang w:eastAsia="sk-SK"/>
        </w:rPr>
        <w:t>Akrylfentanyl, chemicky N-(1-fenyletyl-4-piperidinyl)-N-fenylakrylamid“.</w:t>
      </w:r>
      <w:r w:rsidR="00130461">
        <w:rPr>
          <w:color w:val="000000"/>
          <w:lang w:eastAsia="sk-SK"/>
        </w:rPr>
        <w:t>“.</w:t>
      </w:r>
    </w:p>
    <w:p w:rsidR="00B32BFA" w:rsidP="00B32BFA">
      <w:pPr>
        <w:bidi w:val="0"/>
        <w:jc w:val="both"/>
      </w:pPr>
    </w:p>
    <w:p w:rsidR="00B32BFA" w:rsidP="00B32BFA">
      <w:pPr>
        <w:bidi w:val="0"/>
        <w:jc w:val="both"/>
      </w:pPr>
    </w:p>
    <w:p w:rsidR="00B32BFA" w:rsidP="008E08C5">
      <w:pPr>
        <w:bidi w:val="0"/>
        <w:spacing w:after="120"/>
        <w:ind w:left="2835"/>
        <w:jc w:val="both"/>
      </w:pPr>
      <w:r>
        <w:t xml:space="preserve">Na základe vykonávacieho rozhodnutia Rady (EÚ) 2017/1774 z 25. septembra 2017 o </w:t>
      </w:r>
      <w:r>
        <w:rPr>
          <w:color w:val="000000"/>
          <w:lang w:eastAsia="sk-SK"/>
        </w:rPr>
        <w:t xml:space="preserve"> podrobení N-(1-fenyletyl-4-piperidinyl)-N-fenylakrylamid (akrylfentanyl) kontrolným opatreniam </w:t>
      </w:r>
      <w:r>
        <w:t>sa navrhuje zaradiť látku a</w:t>
      </w:r>
      <w:r>
        <w:rPr>
          <w:color w:val="000000"/>
          <w:lang w:eastAsia="sk-SK"/>
        </w:rPr>
        <w:t>krylfentanyl, chemicky N-(1-fenyletyl-4-piperidinyl)-N-fenylakrylamid</w:t>
      </w:r>
      <w:r>
        <w:t xml:space="preserve"> medzi omamné látky I. skupiny. </w:t>
      </w:r>
    </w:p>
    <w:p w:rsidR="00B32BFA" w:rsidP="008E08C5">
      <w:pPr>
        <w:bidi w:val="0"/>
        <w:spacing w:after="120"/>
        <w:ind w:left="2835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Akrylfentanyl je syntetický opiát. Je štruktúrou podobný fentanylu, kontrolovanej látke bežne používanej v medicíne ako doplnok k celkovej anestézii počas operácie a pri tlmení bolesti. Dostupné údaje poukazujú na to, že akrylfentanyl je silná, dlho pôsobiaca antinociceptívna účinná látka, ktorá ovplyvňuje opioidný systém. </w:t>
      </w:r>
    </w:p>
    <w:p w:rsidR="00B32BFA" w:rsidP="008E08C5">
      <w:pPr>
        <w:bidi w:val="0"/>
        <w:spacing w:after="120"/>
        <w:ind w:left="2835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Akrylfentanyl je dostupný v členských štátoch Európskej únie minimálne od apríla 2016 a bol zistený v šiestich členských štátoch. Vo väčšine prípadov jej zabavenia bola látka v tekutej forme, ale odhalené boli aj iné formy, napríklad prášok, tablety a kapsuly. Tri členské štáty nahlásili 47 úmrtí spojených s akrylfentanylom. Akrylfentanyl zapríčinil úmrtie alebo k nemu pravdepodobne prispel v prípade najmenej 40 osôb. Okrem toho bolo hlásených viac ako 20 akútnych intoxikácií, pri ktorých je podozrenie, že ich spôsobil akrylfentanyl. </w:t>
      </w:r>
    </w:p>
    <w:p w:rsidR="00B32BFA" w:rsidP="008E08C5">
      <w:pPr>
        <w:bidi w:val="0"/>
        <w:spacing w:after="120"/>
        <w:ind w:left="2835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Informácie o možnom zapojení organizovanej trestnej činnosti do výroby, distribúcie, predaja alebo dodávania akrylfentanylu v rámci Európskej únie nie sú k dispozícii. Dostupné údaje poukazujú na to, že väčšinu akrylfentanylu na trhu v Európe vyrobili chemické spoločnosti usídlené v Číne. </w:t>
      </w:r>
    </w:p>
    <w:p w:rsidR="00B32BFA" w:rsidP="008E08C5">
      <w:pPr>
        <w:bidi w:val="0"/>
        <w:spacing w:after="120"/>
        <w:ind w:left="2835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Akrylfentanyl sa predáva ako „chemikália na výskumné účely“, najmä ako prášok alebo ako nosné spreje. Predáva sa v malých a vo veľkoobchodných množstvách. Informácie získané pri zabavení akrylfentanylu naznačujú, že akrylfentanyl sa mohol predávať aj na nelegálnom trhu s opiátmi. </w:t>
      </w:r>
    </w:p>
    <w:p w:rsidR="00B32BFA" w:rsidP="008E08C5">
      <w:pPr>
        <w:bidi w:val="0"/>
        <w:spacing w:after="120"/>
        <w:ind w:left="2835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>Akrylfentanyl nie je uvedený v zozname látok podliehajúcich kontrole podľa Jednotného dohovoru Organizácie Spojených národov o omamných látkach z roku 1961, ani v zozname Dohovoru Organizácie Spojených národov o psychotropných látkach z roku 1971. Látka je v súčasnosti predmetom hodnotenia v rámci systému OSN.</w:t>
      </w:r>
    </w:p>
    <w:p w:rsidR="00B32BFA" w:rsidP="008E08C5">
      <w:pPr>
        <w:bidi w:val="0"/>
        <w:spacing w:after="120"/>
        <w:ind w:left="2835"/>
        <w:jc w:val="both"/>
      </w:pPr>
      <w:r>
        <w:rPr>
          <w:color w:val="000000"/>
          <w:lang w:eastAsia="sk-SK"/>
        </w:rPr>
        <w:t>Liečebné využitie akrylfentanylu na humánne alebo veterinárne použitie nebolo stanovené ani uznané. Odhliadnuc od jej používania v analytických referenčných materiáloch a vo vedeckom výskume zameranom na zisťovanie jej chemických, farmakologických a toxikologických vlastností v dôsledku jej objavenia sa na trhu s drogami, nič nenasvedčuje tomu, že sa používa na iné legitímne účely.</w:t>
      </w:r>
    </w:p>
    <w:tbl>
      <w:tblPr>
        <w:tblStyle w:val="TableNormal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E14E0" w:rsidP="003E14E0">
            <w:pPr>
              <w:bidi w:val="0"/>
              <w:spacing w:after="120"/>
              <w:ind w:left="2835"/>
              <w:jc w:val="both"/>
              <w:rPr>
                <w:color w:val="000000"/>
                <w:lang w:eastAsia="sk-SK"/>
              </w:rPr>
            </w:pPr>
            <w:r w:rsidR="00B32BFA">
              <w:rPr>
                <w:color w:val="000000"/>
                <w:lang w:eastAsia="sk-SK"/>
              </w:rPr>
              <w:t>Zo správy o hodnotení rizika vyplýva, že dostupné vedecké dôkazy o akrylfentanyle sú obmedzené a bol by potrebný ďalší výskum. Dostupné dôkazy a informácie o zdravotných a sociálnych rizikách, ktoré látka predstavuje, poskytujú dostatočný dôvod na to, aby sa látka akrylfentanyl podrobila kontrolným opat</w:t>
            </w:r>
            <w:r>
              <w:rPr>
                <w:color w:val="000000"/>
                <w:lang w:eastAsia="sk-SK"/>
              </w:rPr>
              <w:t xml:space="preserve">reniam v celej Európskej únii. </w:t>
            </w:r>
          </w:p>
          <w:p w:rsidR="003E14E0" w:rsidRPr="003E14E0" w:rsidP="003E14E0">
            <w:pPr>
              <w:bidi w:val="0"/>
              <w:spacing w:after="120"/>
              <w:ind w:left="2835"/>
              <w:jc w:val="both"/>
              <w:rPr>
                <w:color w:val="000000"/>
                <w:lang w:eastAsia="sk-SK"/>
              </w:rPr>
            </w:pPr>
          </w:p>
          <w:p w:rsidR="00B32BFA" w:rsidRPr="00B32BFA" w:rsidP="008E08C5">
            <w:pPr>
              <w:bidi w:val="0"/>
              <w:spacing w:after="120"/>
              <w:ind w:left="2835"/>
              <w:jc w:val="both"/>
              <w:rPr>
                <w:b/>
                <w:bCs/>
                <w:color w:val="000000"/>
                <w:lang w:eastAsia="sk-SK"/>
              </w:rPr>
            </w:pPr>
            <w:r w:rsidRPr="00B32BFA">
              <w:rPr>
                <w:b/>
                <w:bCs/>
                <w:color w:val="000000"/>
                <w:lang w:eastAsia="sk-SK"/>
              </w:rPr>
              <w:t>Výbor NR SR pre zdravotníctvo</w:t>
            </w:r>
          </w:p>
          <w:p w:rsidR="00B32BFA" w:rsidP="008E08C5">
            <w:pPr>
              <w:bidi w:val="0"/>
              <w:spacing w:after="120"/>
              <w:ind w:left="2835"/>
              <w:jc w:val="both"/>
              <w:rPr>
                <w:b/>
                <w:bCs/>
                <w:color w:val="000000"/>
                <w:lang w:eastAsia="sk-SK"/>
              </w:rPr>
            </w:pPr>
            <w:r w:rsidRPr="00B32BFA">
              <w:rPr>
                <w:b/>
                <w:bCs/>
                <w:color w:val="000000"/>
                <w:lang w:eastAsia="sk-SK"/>
              </w:rPr>
              <w:t>gestorský výbor odporúča</w:t>
            </w:r>
            <w:r w:rsidR="008E08C5">
              <w:rPr>
                <w:b/>
                <w:bCs/>
                <w:color w:val="000000"/>
                <w:lang w:eastAsia="sk-SK"/>
              </w:rPr>
              <w:t xml:space="preserve"> s c h v á l i ť</w:t>
            </w:r>
          </w:p>
          <w:p w:rsidR="00B32BFA" w:rsidP="008E08C5">
            <w:pPr>
              <w:bidi w:val="0"/>
              <w:spacing w:after="120"/>
              <w:jc w:val="both"/>
              <w:rPr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 w:rsidP="008E08C5">
            <w:pPr>
              <w:bidi w:val="0"/>
              <w:ind w:left="2835"/>
              <w:rPr>
                <w:color w:val="000000"/>
                <w:lang w:eastAsia="sk-SK"/>
              </w:rPr>
            </w:pPr>
          </w:p>
        </w:tc>
      </w:tr>
    </w:tbl>
    <w:p w:rsidR="00B32BFA" w:rsidP="00B32BFA">
      <w:pPr>
        <w:bidi w:val="0"/>
        <w:jc w:val="both"/>
        <w:rPr>
          <w:bCs/>
          <w:vanish/>
          <w:color w:val="000000"/>
          <w:lang w:eastAsia="sk-SK"/>
        </w:rPr>
      </w:pPr>
    </w:p>
    <w:tbl>
      <w:tblPr>
        <w:tblStyle w:val="TableNormal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>
            <w:pPr>
              <w:bidi w:val="0"/>
              <w:rPr>
                <w:vanish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>
            <w:pPr>
              <w:bidi w:val="0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</w:tbl>
    <w:p w:rsidR="00B32BFA" w:rsidP="00B32BFA">
      <w:pPr>
        <w:bidi w:val="0"/>
        <w:rPr>
          <w:rFonts w:ascii="Times New Roman" w:hAnsi="Times New Roman"/>
          <w:bCs/>
          <w:vanish/>
          <w:color w:val="000000"/>
          <w:lang w:eastAsia="sk-SK"/>
        </w:rPr>
      </w:pPr>
    </w:p>
    <w:tbl>
      <w:tblPr>
        <w:tblStyle w:val="TableNormal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>
            <w:pPr>
              <w:bidi w:val="0"/>
              <w:rPr>
                <w:rFonts w:ascii="Times New Roman" w:hAnsi="Times New Roman"/>
                <w:vanish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32BFA">
            <w:pPr>
              <w:bidi w:val="0"/>
              <w:rPr>
                <w:rFonts w:asciiTheme="minorHAnsi" w:hAnsiTheme="minorHAnsi" w:cs="Calibri"/>
                <w:bCs/>
                <w:sz w:val="20"/>
                <w:szCs w:val="20"/>
                <w:lang w:eastAsia="sk-SK"/>
              </w:rPr>
            </w:pPr>
          </w:p>
        </w:tc>
      </w:tr>
    </w:tbl>
    <w:p w:rsidR="00B32BFA" w:rsidP="00B32BFA">
      <w:pPr>
        <w:bidi w:val="0"/>
        <w:rPr>
          <w:rFonts w:ascii="Times New Roman" w:hAnsi="Times New Roman"/>
          <w:bCs/>
          <w:vanish/>
          <w:color w:val="000000"/>
          <w:lang w:eastAsia="sk-SK"/>
        </w:rPr>
      </w:pPr>
    </w:p>
    <w:p w:rsidR="00B32BFA" w:rsidP="00B32BFA">
      <w:pPr>
        <w:bidi w:val="0"/>
        <w:rPr>
          <w:rFonts w:ascii="Times New Roman" w:hAnsi="Times New Roman"/>
          <w:b/>
          <w:vanish/>
          <w:color w:val="000000"/>
          <w:lang w:eastAsia="sk-SK"/>
        </w:rPr>
      </w:pPr>
      <w:r>
        <w:rPr>
          <w:b/>
          <w:color w:val="000000"/>
          <w:lang w:eastAsia="sk-SK"/>
        </w:rPr>
        <w:t>2. K čl. II</w:t>
      </w:r>
      <w:r>
        <w:rPr>
          <w:rFonts w:ascii="Times New Roman" w:hAnsi="Times New Roman"/>
          <w:b/>
          <w:color w:val="000000"/>
          <w:lang w:eastAsia="sk-SK"/>
        </w:rPr>
        <w:t xml:space="preserve"> </w:t>
      </w:r>
    </w:p>
    <w:p w:rsidR="00B32BFA" w:rsidP="00B32BFA">
      <w:pPr>
        <w:tabs>
          <w:tab w:val="left" w:pos="426"/>
        </w:tabs>
        <w:suppressAutoHyphens/>
        <w:bidi w:val="0"/>
        <w:rPr>
          <w:b/>
          <w:lang w:eastAsia="ar-SA"/>
        </w:rPr>
      </w:pPr>
    </w:p>
    <w:p w:rsidR="00B32BFA" w:rsidP="00B32BFA">
      <w:pPr>
        <w:tabs>
          <w:tab w:val="left" w:pos="426"/>
        </w:tabs>
        <w:suppressAutoHyphens/>
        <w:bidi w:val="0"/>
        <w:rPr>
          <w:iCs/>
          <w:lang w:eastAsia="ar-SA"/>
        </w:rPr>
      </w:pPr>
      <w:r>
        <w:rPr>
          <w:iCs/>
          <w:lang w:eastAsia="ar-SA"/>
        </w:rPr>
        <w:t xml:space="preserve">     V čl. II sa slová „1. novembra“ nahrádzajú slovami „1. decembra“.  </w:t>
      </w:r>
    </w:p>
    <w:p w:rsidR="00B32BFA" w:rsidP="00B32BFA">
      <w:pPr>
        <w:suppressAutoHyphens/>
        <w:bidi w:val="0"/>
        <w:ind w:left="3969"/>
        <w:jc w:val="both"/>
        <w:rPr>
          <w:lang w:eastAsia="sk-SK"/>
        </w:rPr>
      </w:pPr>
    </w:p>
    <w:p w:rsidR="007F336A" w:rsidRPr="00B32BFA" w:rsidP="00B32BFA">
      <w:pPr>
        <w:suppressAutoHyphens/>
        <w:bidi w:val="0"/>
        <w:ind w:left="2835"/>
        <w:jc w:val="both"/>
        <w:rPr>
          <w:iCs/>
          <w:lang w:eastAsia="ar-SA"/>
        </w:rPr>
      </w:pPr>
      <w:r w:rsidR="00B32BFA">
        <w:rPr>
          <w:lang w:eastAsia="sk-SK"/>
        </w:rPr>
        <w:t>S ohľadom na priebeh legislatívneho procesu,  v záujme zachovania primeranej legisvakancie a dodržania ústavných lehôt sa navrhuje upraviť termín účinnosti zákona na 1. december 2017.</w:t>
      </w:r>
    </w:p>
    <w:p w:rsidR="007F336A">
      <w:pPr>
        <w:bidi w:val="0"/>
      </w:pPr>
    </w:p>
    <w:p w:rsidR="007F336A">
      <w:pPr>
        <w:bidi w:val="0"/>
      </w:pPr>
    </w:p>
    <w:p w:rsidR="007F336A" w:rsidRPr="00B32BFA">
      <w:pPr>
        <w:bidi w:val="0"/>
        <w:rPr>
          <w:b/>
        </w:rPr>
      </w:pPr>
      <w:r w:rsidRPr="00B32BFA" w:rsidR="00B32BFA">
        <w:rPr>
          <w:b/>
        </w:rPr>
        <w:tab/>
        <w:tab/>
        <w:tab/>
        <w:tab/>
        <w:t>Ústavnoprávny výbor NR SR</w:t>
      </w:r>
    </w:p>
    <w:p w:rsidR="007F336A" w:rsidP="00B32BFA">
      <w:pPr>
        <w:pStyle w:val="gmail-msolistparagraph"/>
        <w:bidi w:val="0"/>
        <w:spacing w:before="0" w:beforeAutospacing="0" w:after="0" w:afterAutospacing="0"/>
        <w:ind w:left="2694" w:firstLine="141"/>
        <w:jc w:val="both"/>
        <w:rPr>
          <w:rFonts w:ascii="Arial" w:hAnsi="Arial" w:cs="Arial"/>
          <w:b/>
        </w:rPr>
      </w:pPr>
      <w:r w:rsidRPr="00A05132">
        <w:rPr>
          <w:rFonts w:ascii="Arial" w:hAnsi="Arial" w:cs="Arial"/>
          <w:b/>
        </w:rPr>
        <w:t>Výbor NR SR pre zdravotníctvo</w:t>
      </w:r>
    </w:p>
    <w:p w:rsidR="007F336A" w:rsidRPr="00A05132" w:rsidP="007F336A">
      <w:pPr>
        <w:pStyle w:val="gmail-msolistparagraph"/>
        <w:bidi w:val="0"/>
        <w:spacing w:before="0" w:beforeAutospacing="0" w:after="0" w:afterAutospacing="0"/>
        <w:ind w:left="2124" w:firstLine="708"/>
        <w:jc w:val="both"/>
        <w:rPr>
          <w:rFonts w:ascii="Arial" w:hAnsi="Arial" w:cs="Arial"/>
          <w:b/>
        </w:rPr>
      </w:pPr>
    </w:p>
    <w:p w:rsidR="007F336A" w:rsidP="00B32BFA">
      <w:pPr>
        <w:pStyle w:val="ListParagraph"/>
        <w:tabs>
          <w:tab w:val="left" w:pos="360"/>
        </w:tabs>
        <w:bidi w:val="0"/>
        <w:spacing w:after="0"/>
        <w:ind w:left="0"/>
        <w:jc w:val="both"/>
        <w:rPr>
          <w:b/>
        </w:rPr>
      </w:pPr>
      <w:r>
        <w:rPr>
          <w:b/>
        </w:rPr>
        <w:tab/>
        <w:tab/>
      </w:r>
      <w:r w:rsidRPr="00A05132">
        <w:rPr>
          <w:b/>
        </w:rPr>
        <w:tab/>
        <w:tab/>
        <w:tab/>
      </w:r>
      <w:r w:rsidR="00B32BFA">
        <w:rPr>
          <w:b/>
        </w:rPr>
        <w:t xml:space="preserve"> g</w:t>
      </w:r>
      <w:r>
        <w:rPr>
          <w:b/>
        </w:rPr>
        <w:t xml:space="preserve">estorský výbor odporúča   </w:t>
      </w:r>
      <w:r w:rsidR="003E14E0">
        <w:rPr>
          <w:b/>
        </w:rPr>
        <w:t>s c h v á l i ť</w:t>
      </w:r>
    </w:p>
    <w:p w:rsidR="007F336A" w:rsidP="007F336A">
      <w:pPr>
        <w:bidi w:val="0"/>
      </w:pPr>
    </w:p>
    <w:p w:rsidR="007F336A" w:rsidP="007F336A">
      <w:pPr>
        <w:bidi w:val="0"/>
      </w:pPr>
    </w:p>
    <w:p w:rsidR="007F336A" w:rsidP="003E14E0">
      <w:pPr>
        <w:bidi w:val="0"/>
        <w:jc w:val="center"/>
        <w:rPr>
          <w:color w:val="000000" w:themeColor="tx1" w:themeShade="FF"/>
        </w:rPr>
      </w:pPr>
      <w:r w:rsidRPr="00263D36">
        <w:rPr>
          <w:b/>
          <w:color w:val="000000" w:themeColor="tx1" w:themeShade="FF"/>
        </w:rPr>
        <w:t>V.</w:t>
      </w:r>
    </w:p>
    <w:p w:rsidR="003E14E0" w:rsidP="003E14E0">
      <w:pPr>
        <w:bidi w:val="0"/>
        <w:jc w:val="center"/>
        <w:rPr>
          <w:color w:val="000000" w:themeColor="tx1" w:themeShade="FF"/>
        </w:rPr>
      </w:pPr>
    </w:p>
    <w:p w:rsidR="007F336A" w:rsidRPr="00263D36" w:rsidP="007F336A">
      <w:pPr>
        <w:bidi w:val="0"/>
        <w:jc w:val="both"/>
        <w:rPr>
          <w:color w:val="000000" w:themeColor="tx1" w:themeShade="FF"/>
        </w:rPr>
      </w:pPr>
    </w:p>
    <w:p w:rsidR="007F336A" w:rsidRPr="000B32F5" w:rsidP="007F336A">
      <w:pPr>
        <w:bidi w:val="0"/>
        <w:ind w:firstLine="708"/>
        <w:jc w:val="both"/>
      </w:pPr>
      <w:r w:rsidRPr="007F336A">
        <w:rPr>
          <w:color w:val="000000" w:themeColor="tx1" w:themeShade="FF"/>
        </w:rPr>
        <w:t xml:space="preserve">Gestorský výbor na základe stanovísk výborov k </w:t>
      </w:r>
      <w:r w:rsidRPr="007F336A">
        <w:t xml:space="preserve">vládnemu návrhu zákona, ktorým sa mení a dopĺňa zákon č. 139/1998 Z. z. o omamných látkach, psychotropných látkach a prípravkoch v znení neskorších predpisov (tlač 617) </w:t>
      </w:r>
      <w:r w:rsidRPr="00263D36">
        <w:rPr>
          <w:color w:val="000000" w:themeColor="tx1" w:themeShade="FF"/>
        </w:rPr>
        <w:t>vyjadrených  v ich uzneseniach uvedených pod bodom IV. tejto správy a v stanov</w:t>
      </w:r>
      <w:r w:rsidRPr="00D7553A">
        <w:rPr>
          <w:color w:val="000000" w:themeColor="tx1" w:themeShade="FF"/>
        </w:rPr>
        <w:t xml:space="preserve">isku </w:t>
      </w:r>
      <w:r w:rsidRPr="007F336A">
        <w:rPr>
          <w:color w:val="000000" w:themeColor="tx1" w:themeShade="FF"/>
        </w:rPr>
        <w:t>gestorského výboru odporúča Národnej rade Slovenskej republiky</w:t>
      </w:r>
      <w:r w:rsidRPr="007F336A">
        <w:t xml:space="preserve"> vládny návrh zákona, ktorým sa mení a dopĺňa zákon č. 139/1998 Z. z. o omamných látkach, psychotropných </w:t>
      </w:r>
      <w:r>
        <w:t xml:space="preserve">  </w:t>
      </w:r>
      <w:r w:rsidRPr="007F336A">
        <w:t xml:space="preserve">látkach </w:t>
      </w:r>
      <w:r>
        <w:t xml:space="preserve"> </w:t>
      </w:r>
      <w:r w:rsidRPr="007F336A">
        <w:t>a</w:t>
      </w:r>
      <w:r>
        <w:t> </w:t>
      </w:r>
      <w:r w:rsidRPr="007F336A">
        <w:t>prípravkoch</w:t>
      </w:r>
      <w:r>
        <w:t xml:space="preserve"> </w:t>
      </w:r>
      <w:r w:rsidRPr="007F336A">
        <w:t xml:space="preserve"> </w:t>
      </w:r>
      <w:r>
        <w:t xml:space="preserve"> </w:t>
      </w:r>
      <w:r w:rsidRPr="007F336A">
        <w:t>v</w:t>
      </w:r>
      <w:r>
        <w:t xml:space="preserve">  </w:t>
      </w:r>
      <w:r w:rsidRPr="007F336A">
        <w:t>znení</w:t>
      </w:r>
      <w:r>
        <w:t xml:space="preserve"> </w:t>
      </w:r>
      <w:r w:rsidRPr="007F336A">
        <w:t xml:space="preserve"> neskorších </w:t>
      </w:r>
      <w:r>
        <w:t xml:space="preserve"> </w:t>
      </w:r>
      <w:r w:rsidRPr="007F336A">
        <w:t>predpisov</w:t>
      </w:r>
      <w:r>
        <w:t xml:space="preserve">   </w:t>
      </w:r>
      <w:r w:rsidRPr="007F336A">
        <w:t xml:space="preserve"> (tlač 617)</w:t>
      </w:r>
      <w:r>
        <w:rPr>
          <w:b/>
        </w:rPr>
        <w:t xml:space="preserve"> </w:t>
      </w:r>
      <w:r w:rsidRPr="00263D36">
        <w:rPr>
          <w:b/>
          <w:color w:val="000000" w:themeColor="tx1" w:themeShade="FF"/>
        </w:rPr>
        <w:t>s c h v á l i </w:t>
      </w:r>
      <w:r>
        <w:rPr>
          <w:b/>
          <w:color w:val="000000" w:themeColor="tx1" w:themeShade="FF"/>
        </w:rPr>
        <w:t xml:space="preserve"> </w:t>
      </w:r>
      <w:r w:rsidRPr="00263D36">
        <w:rPr>
          <w:b/>
          <w:color w:val="000000" w:themeColor="tx1" w:themeShade="FF"/>
        </w:rPr>
        <w:t>ť   s</w:t>
      </w:r>
      <w:r>
        <w:rPr>
          <w:b/>
          <w:color w:val="000000" w:themeColor="tx1" w:themeShade="FF"/>
        </w:rPr>
        <w:t> pozmeňujúcimi a doplňujúcimi návrhmi.</w:t>
      </w:r>
      <w:r w:rsidRPr="00263D36">
        <w:rPr>
          <w:b/>
          <w:color w:val="000000" w:themeColor="tx1" w:themeShade="FF"/>
        </w:rPr>
        <w:t xml:space="preserve"> </w:t>
      </w:r>
    </w:p>
    <w:p w:rsidR="007F336A" w:rsidRPr="00263D36" w:rsidP="007F336A">
      <w:pPr>
        <w:bidi w:val="0"/>
        <w:jc w:val="both"/>
        <w:rPr>
          <w:b/>
          <w:color w:val="000000" w:themeColor="tx1" w:themeShade="FF"/>
        </w:rPr>
      </w:pPr>
      <w:r w:rsidRPr="00263D36">
        <w:rPr>
          <w:b/>
          <w:color w:val="000000" w:themeColor="tx1" w:themeShade="FF"/>
        </w:rPr>
        <w:t xml:space="preserve"> </w:t>
      </w:r>
    </w:p>
    <w:p w:rsidR="007F336A" w:rsidP="007F336A">
      <w:pPr>
        <w:bidi w:val="0"/>
        <w:ind w:firstLine="708"/>
        <w:jc w:val="both"/>
        <w:rPr>
          <w:b/>
          <w:bCs/>
          <w:color w:val="000000" w:themeColor="tx1" w:themeShade="FF"/>
        </w:rPr>
      </w:pPr>
      <w:r w:rsidRPr="00535008">
        <w:rPr>
          <w:color w:val="000000" w:themeColor="tx1" w:themeShade="FF"/>
        </w:rPr>
        <w:t xml:space="preserve">1. Súčasne  gestorský výbor odporučil hlasovať o bodoch </w:t>
      </w:r>
      <w:r w:rsidRPr="00535008">
        <w:rPr>
          <w:b/>
          <w:color w:val="000000" w:themeColor="tx1" w:themeShade="FF"/>
        </w:rPr>
        <w:t>1</w:t>
      </w:r>
      <w:r w:rsidR="00B32BFA">
        <w:rPr>
          <w:b/>
          <w:color w:val="000000" w:themeColor="tx1" w:themeShade="FF"/>
        </w:rPr>
        <w:t xml:space="preserve"> a 2</w:t>
      </w:r>
      <w:r>
        <w:rPr>
          <w:b/>
          <w:color w:val="000000" w:themeColor="tx1" w:themeShade="FF"/>
        </w:rPr>
        <w:t xml:space="preserve">            </w:t>
      </w:r>
      <w:r w:rsidRPr="00535008">
        <w:rPr>
          <w:bCs/>
          <w:color w:val="000000" w:themeColor="tx1" w:themeShade="FF"/>
        </w:rPr>
        <w:t>uvedených v IV.  časti</w:t>
      </w:r>
      <w:r w:rsidR="00050B76">
        <w:rPr>
          <w:bCs/>
          <w:color w:val="000000" w:themeColor="tx1" w:themeShade="FF"/>
        </w:rPr>
        <w:t xml:space="preserve"> </w:t>
      </w:r>
      <w:r w:rsidRPr="00535008">
        <w:rPr>
          <w:bCs/>
          <w:color w:val="000000" w:themeColor="tx1" w:themeShade="FF"/>
        </w:rPr>
        <w:t xml:space="preserve">    spoločnej    správy</w:t>
      </w:r>
      <w:r>
        <w:rPr>
          <w:bCs/>
          <w:color w:val="000000" w:themeColor="tx1" w:themeShade="FF"/>
        </w:rPr>
        <w:t xml:space="preserve">  </w:t>
      </w:r>
      <w:r w:rsidRPr="005D6866">
        <w:rPr>
          <w:b/>
          <w:bCs/>
          <w:color w:val="000000" w:themeColor="tx1" w:themeShade="FF"/>
        </w:rPr>
        <w:t>s p o l o č n e</w:t>
      </w:r>
      <w:r>
        <w:rPr>
          <w:bCs/>
          <w:color w:val="000000" w:themeColor="tx1" w:themeShade="FF"/>
        </w:rPr>
        <w:t xml:space="preserve">   s</w:t>
      </w:r>
      <w:r w:rsidR="00050B76">
        <w:rPr>
          <w:bCs/>
          <w:color w:val="000000" w:themeColor="tx1" w:themeShade="FF"/>
        </w:rPr>
        <w:t> </w:t>
      </w:r>
      <w:r>
        <w:rPr>
          <w:bCs/>
          <w:color w:val="000000" w:themeColor="tx1" w:themeShade="FF"/>
        </w:rPr>
        <w:t>návrhom</w:t>
      </w:r>
      <w:r w:rsidR="00050B76">
        <w:rPr>
          <w:bCs/>
          <w:color w:val="000000" w:themeColor="tx1" w:themeShade="FF"/>
        </w:rPr>
        <w:t xml:space="preserve">   </w:t>
      </w:r>
      <w:r>
        <w:rPr>
          <w:bCs/>
          <w:color w:val="000000" w:themeColor="tx1" w:themeShade="FF"/>
        </w:rPr>
        <w:t xml:space="preserve"> gestorského</w:t>
      </w:r>
      <w:r w:rsidR="00050B76">
        <w:rPr>
          <w:bCs/>
          <w:color w:val="000000" w:themeColor="tx1" w:themeShade="FF"/>
        </w:rPr>
        <w:t xml:space="preserve"> </w:t>
      </w:r>
      <w:r>
        <w:rPr>
          <w:bCs/>
          <w:color w:val="000000" w:themeColor="tx1" w:themeShade="FF"/>
        </w:rPr>
        <w:t xml:space="preserve"> výboru  </w:t>
      </w:r>
      <w:r w:rsidRPr="008460FC">
        <w:rPr>
          <w:b/>
          <w:bCs/>
          <w:color w:val="000000" w:themeColor="tx1" w:themeShade="FF"/>
        </w:rPr>
        <w:t>s c h v á l i ť.</w:t>
      </w:r>
    </w:p>
    <w:p w:rsidR="007F336A" w:rsidRPr="00263D36" w:rsidP="007F336A">
      <w:pPr>
        <w:bidi w:val="0"/>
        <w:ind w:firstLine="708"/>
        <w:jc w:val="both"/>
        <w:rPr>
          <w:color w:val="000000" w:themeColor="tx1" w:themeShade="FF"/>
        </w:rPr>
      </w:pPr>
    </w:p>
    <w:p w:rsidR="007F336A" w:rsidP="007F336A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</w:t>
      </w:r>
      <w:r>
        <w:rPr>
          <w:color w:val="000000" w:themeColor="tx1" w:themeShade="FF"/>
        </w:rPr>
        <w:t>ého</w:t>
      </w:r>
      <w:r w:rsidRPr="00263D36">
        <w:rPr>
          <w:color w:val="000000" w:themeColor="tx1" w:themeShade="FF"/>
        </w:rPr>
        <w:t xml:space="preserve"> spravodaj</w:t>
      </w:r>
      <w:r>
        <w:rPr>
          <w:color w:val="000000" w:themeColor="tx1" w:themeShade="FF"/>
        </w:rPr>
        <w:t>cu</w:t>
      </w:r>
      <w:r w:rsidRPr="00263D36">
        <w:rPr>
          <w:color w:val="000000" w:themeColor="tx1" w:themeShade="FF"/>
        </w:rPr>
        <w:t xml:space="preserve"> výborov </w:t>
      </w:r>
      <w:r>
        <w:rPr>
          <w:color w:val="000000" w:themeColor="tx1" w:themeShade="FF"/>
        </w:rPr>
        <w:t xml:space="preserve">Igora  J a n c k u l í k a  </w:t>
      </w:r>
      <w:r w:rsidRPr="00263D36">
        <w:rPr>
          <w:bCs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7F336A" w:rsidRPr="00263D36" w:rsidP="007F336A">
      <w:pPr>
        <w:bidi w:val="0"/>
        <w:jc w:val="both"/>
        <w:rPr>
          <w:color w:val="000000" w:themeColor="tx1" w:themeShade="FF"/>
        </w:rPr>
      </w:pPr>
    </w:p>
    <w:p w:rsidR="007F336A" w:rsidRPr="00263D36" w:rsidP="007F336A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Predmetná spoločná správa výborov Národnej rady Slovenskej republiky o </w:t>
      </w:r>
      <w:r w:rsidRPr="00050B76">
        <w:rPr>
          <w:color w:val="000000" w:themeColor="tx1" w:themeShade="FF"/>
        </w:rPr>
        <w:t xml:space="preserve">prerokovaní </w:t>
      </w:r>
      <w:r w:rsidRPr="00050B76" w:rsidR="00050B76">
        <w:t>vládneho návrhu zákona, ktorým sa mení a dopĺňa zákon č. 139/1998 Z. z. o omamných látkach, psychotropných látkach a prípravkoch v znení neskorších predpisov (tlač 617</w:t>
      </w:r>
      <w:r w:rsidR="00050B76">
        <w:t>a</w:t>
      </w:r>
      <w:r w:rsidRPr="00050B76" w:rsidR="00050B76">
        <w:t xml:space="preserve">) </w:t>
      </w:r>
      <w:r w:rsidRPr="00050B76">
        <w:rPr>
          <w:color w:val="000000" w:themeColor="tx1" w:themeShade="FF"/>
        </w:rPr>
        <w:t xml:space="preserve">bola schválená uznesením Výboru Národnej rady </w:t>
      </w:r>
      <w:r w:rsidRPr="00263D36">
        <w:rPr>
          <w:color w:val="000000" w:themeColor="tx1" w:themeShade="FF"/>
        </w:rPr>
        <w:t>Slovenskej republiky pre zdravotníctvo (gestorský výbor) č.</w:t>
      </w:r>
      <w:r>
        <w:rPr>
          <w:color w:val="000000" w:themeColor="tx1" w:themeShade="FF"/>
        </w:rPr>
        <w:t xml:space="preserve"> </w:t>
      </w:r>
      <w:r w:rsidR="00050B76">
        <w:rPr>
          <w:color w:val="000000" w:themeColor="tx1" w:themeShade="FF"/>
        </w:rPr>
        <w:t>68</w:t>
      </w:r>
      <w:r>
        <w:rPr>
          <w:color w:val="000000" w:themeColor="tx1" w:themeShade="FF"/>
        </w:rPr>
        <w:t xml:space="preserve"> </w:t>
      </w:r>
      <w:r w:rsidRPr="00263D36">
        <w:rPr>
          <w:color w:val="000000" w:themeColor="tx1" w:themeShade="FF"/>
        </w:rPr>
        <w:t xml:space="preserve"> z</w:t>
      </w:r>
      <w:r>
        <w:rPr>
          <w:color w:val="000000" w:themeColor="tx1" w:themeShade="FF"/>
        </w:rPr>
        <w:t> </w:t>
      </w:r>
      <w:r w:rsidR="00050B76">
        <w:rPr>
          <w:color w:val="000000" w:themeColor="tx1" w:themeShade="FF"/>
        </w:rPr>
        <w:t>10</w:t>
      </w:r>
      <w:r>
        <w:rPr>
          <w:color w:val="000000" w:themeColor="tx1" w:themeShade="FF"/>
        </w:rPr>
        <w:t xml:space="preserve">. </w:t>
      </w:r>
      <w:r w:rsidR="00050B76">
        <w:rPr>
          <w:color w:val="000000" w:themeColor="tx1" w:themeShade="FF"/>
        </w:rPr>
        <w:t>októbra</w:t>
      </w:r>
      <w:r>
        <w:rPr>
          <w:color w:val="000000" w:themeColor="tx1" w:themeShade="FF"/>
        </w:rPr>
        <w:t xml:space="preserve">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7</w:t>
      </w:r>
      <w:r w:rsidRPr="00263D36">
        <w:rPr>
          <w:color w:val="000000" w:themeColor="tx1" w:themeShade="FF"/>
        </w:rPr>
        <w:t>.</w:t>
      </w:r>
    </w:p>
    <w:p w:rsidR="007F336A" w:rsidP="007F336A">
      <w:pPr>
        <w:bidi w:val="0"/>
        <w:ind w:right="-1"/>
        <w:rPr>
          <w:color w:val="000000" w:themeColor="tx1" w:themeShade="FF"/>
        </w:rPr>
      </w:pPr>
    </w:p>
    <w:p w:rsidR="007F336A" w:rsidP="007F336A">
      <w:pPr>
        <w:bidi w:val="0"/>
        <w:ind w:right="-1"/>
        <w:rPr>
          <w:color w:val="000000" w:themeColor="tx1" w:themeShade="FF"/>
        </w:rPr>
      </w:pPr>
    </w:p>
    <w:p w:rsidR="007F336A" w:rsidRPr="00263D36" w:rsidP="007F336A">
      <w:pPr>
        <w:bidi w:val="0"/>
        <w:ind w:right="-1"/>
        <w:rPr>
          <w:color w:val="000000" w:themeColor="tx1" w:themeShade="FF"/>
        </w:rPr>
      </w:pPr>
    </w:p>
    <w:p w:rsidR="007F336A" w:rsidRPr="00263D36" w:rsidP="007F336A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 xml:space="preserve">, </w:t>
      </w:r>
      <w:r w:rsidR="00050B76">
        <w:rPr>
          <w:color w:val="000000" w:themeColor="tx1" w:themeShade="FF"/>
        </w:rPr>
        <w:t>10</w:t>
      </w:r>
      <w:r>
        <w:rPr>
          <w:color w:val="000000" w:themeColor="tx1" w:themeShade="FF"/>
        </w:rPr>
        <w:t xml:space="preserve">. </w:t>
      </w:r>
      <w:r w:rsidR="00050B76">
        <w:rPr>
          <w:color w:val="000000" w:themeColor="tx1" w:themeShade="FF"/>
        </w:rPr>
        <w:t>októbra</w:t>
      </w:r>
      <w:r>
        <w:rPr>
          <w:color w:val="000000" w:themeColor="tx1" w:themeShade="FF"/>
        </w:rPr>
        <w:t xml:space="preserve"> 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7</w:t>
      </w:r>
    </w:p>
    <w:p w:rsidR="007F336A" w:rsidP="007F336A">
      <w:pPr>
        <w:bidi w:val="0"/>
        <w:ind w:right="-1"/>
        <w:rPr>
          <w:color w:val="000000" w:themeColor="tx1" w:themeShade="FF"/>
        </w:rPr>
      </w:pPr>
      <w:r>
        <w:rPr>
          <w:color w:val="000000" w:themeColor="tx1" w:themeShade="FF"/>
        </w:rPr>
        <w:t xml:space="preserve"> </w:t>
      </w:r>
    </w:p>
    <w:p w:rsidR="007F336A" w:rsidP="007F336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7F336A" w:rsidP="008E08C5">
      <w:pPr>
        <w:bidi w:val="0"/>
        <w:ind w:right="-1"/>
        <w:rPr>
          <w:b/>
          <w:color w:val="000000" w:themeColor="tx1" w:themeShade="FF"/>
        </w:rPr>
      </w:pPr>
    </w:p>
    <w:p w:rsidR="007F336A" w:rsidRPr="00263D36" w:rsidP="007F336A">
      <w:pPr>
        <w:bidi w:val="0"/>
        <w:ind w:left="1416" w:right="-1" w:hanging="1416"/>
        <w:jc w:val="center"/>
        <w:rPr>
          <w:color w:val="000000" w:themeColor="tx1" w:themeShade="FF"/>
        </w:rPr>
      </w:pPr>
      <w:r>
        <w:rPr>
          <w:b/>
          <w:color w:val="000000" w:themeColor="tx1" w:themeShade="FF"/>
        </w:rPr>
        <w:t xml:space="preserve">Štefan  Z e l n í k, v. r. </w:t>
      </w:r>
    </w:p>
    <w:p w:rsidR="007F336A" w:rsidRPr="00263D36" w:rsidP="007F336A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7F336A" w:rsidRPr="00263D36" w:rsidP="007F336A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7F336A" w:rsidP="007F336A">
      <w:pPr>
        <w:bidi w:val="0"/>
        <w:ind w:left="2124" w:firstLine="708"/>
      </w:pPr>
      <w:r>
        <w:rPr>
          <w:color w:val="000000" w:themeColor="tx1" w:themeShade="FF"/>
        </w:rPr>
        <w:t xml:space="preserve">            </w:t>
      </w:r>
      <w:r w:rsidRPr="00263D36">
        <w:rPr>
          <w:color w:val="000000" w:themeColor="tx1" w:themeShade="FF"/>
        </w:rPr>
        <w:t>pre  zd</w:t>
      </w:r>
      <w:r>
        <w:rPr>
          <w:color w:val="000000" w:themeColor="tx1" w:themeShade="FF"/>
        </w:rPr>
        <w:t>ravotníctvo</w:t>
      </w:r>
    </w:p>
    <w:p w:rsidR="007F336A" w:rsidRPr="001D2838" w:rsidP="007F336A">
      <w:pPr>
        <w:bidi w:val="0"/>
      </w:pPr>
    </w:p>
    <w:p w:rsidR="007F336A" w:rsidP="007F336A">
      <w:pPr>
        <w:bidi w:val="0"/>
      </w:pPr>
    </w:p>
    <w:p w:rsidR="007F336A" w:rsidP="007F336A">
      <w:pPr>
        <w:bidi w:val="0"/>
      </w:pPr>
    </w:p>
    <w:p w:rsidR="007F336A" w:rsidRPr="00924632" w:rsidP="007F336A">
      <w:pPr>
        <w:bidi w:val="0"/>
      </w:pPr>
    </w:p>
    <w:p w:rsidR="007F336A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FA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E14E0">
      <w:rPr>
        <w:noProof/>
      </w:rPr>
      <w:t>5</w:t>
    </w:r>
    <w:r>
      <w:fldChar w:fldCharType="end"/>
    </w:r>
  </w:p>
  <w:p w:rsidR="00B32BFA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336A"/>
    <w:rsid w:val="00050B76"/>
    <w:rsid w:val="000B32F5"/>
    <w:rsid w:val="00130461"/>
    <w:rsid w:val="001D2838"/>
    <w:rsid w:val="00263D36"/>
    <w:rsid w:val="003B79C7"/>
    <w:rsid w:val="003C20BD"/>
    <w:rsid w:val="003E14E0"/>
    <w:rsid w:val="0040290D"/>
    <w:rsid w:val="00487D16"/>
    <w:rsid w:val="004D1414"/>
    <w:rsid w:val="00514BA2"/>
    <w:rsid w:val="00535008"/>
    <w:rsid w:val="005D6866"/>
    <w:rsid w:val="005E2166"/>
    <w:rsid w:val="006876A4"/>
    <w:rsid w:val="006C1D93"/>
    <w:rsid w:val="007F336A"/>
    <w:rsid w:val="008460FC"/>
    <w:rsid w:val="008E08C5"/>
    <w:rsid w:val="00924632"/>
    <w:rsid w:val="00A05132"/>
    <w:rsid w:val="00AA59FA"/>
    <w:rsid w:val="00AC7AB6"/>
    <w:rsid w:val="00AD55C6"/>
    <w:rsid w:val="00B32BFA"/>
    <w:rsid w:val="00BB53DD"/>
    <w:rsid w:val="00C20F2D"/>
    <w:rsid w:val="00C41D53"/>
    <w:rsid w:val="00C77642"/>
    <w:rsid w:val="00CE5710"/>
    <w:rsid w:val="00D7553A"/>
    <w:rsid w:val="00DA05B7"/>
    <w:rsid w:val="00E32F06"/>
    <w:rsid w:val="00E60615"/>
    <w:rsid w:val="00EB195D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6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7F336A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F336A"/>
    <w:rPr>
      <w:rFonts w:ascii="Arial" w:hAnsi="Arial" w:cs="Times New Roman"/>
      <w:sz w:val="20"/>
      <w:szCs w:val="20"/>
      <w:rtl w:val="0"/>
      <w:cs w:val="0"/>
    </w:rPr>
  </w:style>
  <w:style w:type="paragraph" w:customStyle="1" w:styleId="gmail-msolistparagraph">
    <w:name w:val="gmail-msolistparagraph"/>
    <w:basedOn w:val="Normal"/>
    <w:uiPriority w:val="99"/>
    <w:rsid w:val="007F336A"/>
    <w:pPr>
      <w:spacing w:before="100" w:beforeAutospacing="1" w:after="100" w:afterAutospacing="1"/>
      <w:jc w:val="left"/>
    </w:pPr>
    <w:rPr>
      <w:rFonts w:ascii="Times New Roman" w:hAnsi="Times New Roman" w:cs="Times New Roman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7F336A"/>
    <w:pPr>
      <w:spacing w:before="60" w:after="60"/>
      <w:ind w:left="720"/>
      <w:contextualSpacing/>
      <w:jc w:val="left"/>
    </w:pPr>
    <w:rPr>
      <w:szCs w:val="36"/>
      <w:lang w:eastAsia="sk-SK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7F336A"/>
    <w:rPr>
      <w:rFonts w:ascii="Arial" w:hAnsi="Arial" w:cs="Arial"/>
      <w:sz w:val="36"/>
      <w:lang w:val="x-none" w:eastAsia="sk-SK"/>
    </w:rPr>
  </w:style>
  <w:style w:type="character" w:customStyle="1" w:styleId="ppp-input-value1">
    <w:name w:val="ppp-input-value1"/>
    <w:basedOn w:val="DefaultParagraphFont"/>
    <w:rsid w:val="00B32BFA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32B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32BFA"/>
    <w:rPr>
      <w:rFonts w:ascii="Arial" w:hAnsi="Arial" w:cs="Arial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32B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32BFA"/>
    <w:rPr>
      <w:rFonts w:ascii="Arial" w:hAnsi="Arial" w:cs="Arial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2BF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2BF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5</Pages>
  <Words>1220</Words>
  <Characters>6958</Characters>
  <Application>Microsoft Office Word</Application>
  <DocSecurity>0</DocSecurity>
  <Lines>0</Lines>
  <Paragraphs>0</Paragraphs>
  <ScaleCrop>false</ScaleCrop>
  <Company>Kancelaria NRSR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2017-10-04T14:37:00Z</cp:lastPrinted>
  <dcterms:created xsi:type="dcterms:W3CDTF">2017-09-26T12:28:00Z</dcterms:created>
  <dcterms:modified xsi:type="dcterms:W3CDTF">2017-10-10T14:05:00Z</dcterms:modified>
</cp:coreProperties>
</file>