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EA539E">
        <w:rPr>
          <w:rFonts w:ascii="Times New Roman" w:hAnsi="Times New Roman"/>
          <w:bCs/>
        </w:rPr>
        <w:t>59</w:t>
      </w:r>
      <w:r w:rsidR="00A93EAE">
        <w:rPr>
          <w:rFonts w:ascii="Times New Roman" w:hAnsi="Times New Roman"/>
          <w:bCs/>
        </w:rPr>
        <w:t>8</w:t>
      </w:r>
      <w:r w:rsidRPr="00F36DCE" w:rsidR="00092E2E">
        <w:rPr>
          <w:rFonts w:ascii="Times New Roman" w:hAnsi="Times New Roman"/>
          <w:bCs/>
        </w:rPr>
        <w:t>/201</w:t>
      </w:r>
      <w:r w:rsidR="00B06562">
        <w:rPr>
          <w:rFonts w:ascii="Times New Roman" w:hAnsi="Times New Roman"/>
          <w:bCs/>
        </w:rPr>
        <w:t>7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B06562">
        <w:rPr>
          <w:rFonts w:ascii="Times New Roman" w:hAnsi="Times New Roman"/>
          <w:b/>
          <w:sz w:val="32"/>
          <w:szCs w:val="32"/>
        </w:rPr>
        <w:t>6</w:t>
      </w:r>
      <w:r w:rsidR="00EA539E">
        <w:rPr>
          <w:rFonts w:ascii="Times New Roman" w:hAnsi="Times New Roman"/>
          <w:b/>
          <w:sz w:val="32"/>
          <w:szCs w:val="32"/>
        </w:rPr>
        <w:t>5</w:t>
      </w:r>
      <w:r w:rsidR="00A93EAE">
        <w:rPr>
          <w:rFonts w:ascii="Times New Roman" w:hAnsi="Times New Roman"/>
          <w:b/>
          <w:sz w:val="32"/>
          <w:szCs w:val="32"/>
        </w:rPr>
        <w:t>3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2C4455" w:rsidRPr="00A93EAE" w:rsidP="00B06562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  <w:iCs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A93EAE" w:rsidR="00A93EAE">
        <w:rPr>
          <w:rFonts w:ascii="Times New Roman" w:hAnsi="Times New Roman"/>
          <w:b/>
        </w:rPr>
        <w:t>vládneho návrhu zákona, ktorým sa mení a dopĺňa zákon č.</w:t>
      </w:r>
      <w:r w:rsidR="00A93EAE">
        <w:rPr>
          <w:rFonts w:ascii="Times New Roman" w:hAnsi="Times New Roman"/>
          <w:b/>
        </w:rPr>
        <w:t xml:space="preserve"> </w:t>
      </w:r>
      <w:r w:rsidRPr="00A93EAE" w:rsidR="00A93EAE">
        <w:rPr>
          <w:rFonts w:ascii="Times New Roman" w:hAnsi="Times New Roman"/>
          <w:b/>
        </w:rPr>
        <w:t>106/2004 Z. z. o spotrebnej dani z tabakových výrobkov v znení neskorších predpisov (tlač 653)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B06562" w:rsidP="00A93EAE">
      <w:pPr>
        <w:bidi w:val="0"/>
        <w:ind w:firstLine="348"/>
        <w:jc w:val="both"/>
        <w:rPr>
          <w:rFonts w:ascii="Times New Roman" w:hAnsi="Times New Roman"/>
          <w:bCs/>
          <w:iCs/>
        </w:rPr>
      </w:pPr>
      <w:r w:rsidR="00B06562">
        <w:rPr>
          <w:rFonts w:ascii="Times New Roman" w:hAnsi="Times New Roman"/>
        </w:rPr>
        <w:t xml:space="preserve">   </w:t>
      </w:r>
      <w:r w:rsidRPr="00A32B69" w:rsidR="00AA7E5B">
        <w:rPr>
          <w:rFonts w:ascii="Times New Roman" w:hAnsi="Times New Roman"/>
        </w:rPr>
        <w:t xml:space="preserve">Národná rada Slovenskej republiky </w:t>
      </w:r>
      <w:r w:rsidRPr="004F6E52" w:rsidR="00AA7E5B">
        <w:rPr>
          <w:rFonts w:ascii="Times New Roman" w:hAnsi="Times New Roman"/>
        </w:rPr>
        <w:t xml:space="preserve">uznesením </w:t>
      </w:r>
      <w:r w:rsidRPr="004F6E52" w:rsidR="00955448">
        <w:rPr>
          <w:rFonts w:ascii="Times New Roman" w:hAnsi="Times New Roman"/>
        </w:rPr>
        <w:t xml:space="preserve">č. </w:t>
      </w:r>
      <w:r w:rsidR="00A93EAE">
        <w:rPr>
          <w:rFonts w:ascii="Times New Roman" w:hAnsi="Times New Roman"/>
        </w:rPr>
        <w:t>763</w:t>
      </w:r>
      <w:r w:rsidRPr="004F6E52" w:rsidR="00955448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z</w:t>
      </w:r>
      <w:r w:rsidRPr="004F6E52" w:rsidR="004E652B">
        <w:rPr>
          <w:rFonts w:ascii="Times New Roman" w:hAnsi="Times New Roman"/>
        </w:rPr>
        <w:t> </w:t>
      </w:r>
      <w:r w:rsidR="00EA539E">
        <w:rPr>
          <w:rFonts w:ascii="Times New Roman" w:hAnsi="Times New Roman"/>
        </w:rPr>
        <w:t>5</w:t>
      </w:r>
      <w:r w:rsidRPr="004F6E52" w:rsidR="004E652B">
        <w:rPr>
          <w:rFonts w:ascii="Times New Roman" w:hAnsi="Times New Roman"/>
        </w:rPr>
        <w:t xml:space="preserve">. </w:t>
      </w:r>
      <w:r w:rsidRPr="004F6E52" w:rsidR="009B5FEF">
        <w:rPr>
          <w:rFonts w:ascii="Times New Roman" w:hAnsi="Times New Roman"/>
        </w:rPr>
        <w:t>septembra</w:t>
      </w:r>
      <w:r w:rsidRPr="004F6E52" w:rsidR="00D31BCE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201</w:t>
      </w:r>
      <w:r w:rsidR="00B06562">
        <w:rPr>
          <w:rFonts w:ascii="Times New Roman" w:hAnsi="Times New Roman"/>
        </w:rPr>
        <w:t>7</w:t>
      </w:r>
      <w:r w:rsidRPr="00A32B69" w:rsidR="00AA7E5B">
        <w:rPr>
          <w:rFonts w:ascii="Times New Roman" w:hAnsi="Times New Roman"/>
        </w:rPr>
        <w:t xml:space="preserve"> pridelila</w:t>
      </w:r>
      <w:r w:rsidR="00EF588B">
        <w:rPr>
          <w:rFonts w:ascii="Times New Roman" w:hAnsi="Times New Roman"/>
        </w:rPr>
        <w:t xml:space="preserve"> </w:t>
      </w:r>
      <w:r w:rsidRPr="00A93EAE" w:rsidR="00A93EAE">
        <w:rPr>
          <w:rFonts w:ascii="Times New Roman" w:hAnsi="Times New Roman"/>
        </w:rPr>
        <w:t>vládny návrh zákona, ktorým sa mení a dopĺňa zákon č. 106/2004 Z. z. o spotrebnej dani z tabakových výrobkov v znení neskorších predpisov (tlač 653)</w:t>
      </w:r>
      <w:r w:rsidR="00A93EAE">
        <w:rPr>
          <w:rFonts w:ascii="Times New Roman" w:hAnsi="Times New Roman"/>
          <w:b/>
        </w:rPr>
        <w:t xml:space="preserve">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887C67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887C67">
        <w:rPr>
          <w:rFonts w:ascii="Times New Roman" w:hAnsi="Times New Roman"/>
          <w:sz w:val="24"/>
          <w:szCs w:val="24"/>
        </w:rPr>
        <w:t>,</w:t>
      </w:r>
    </w:p>
    <w:p w:rsidR="00887C67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Výboru Národnej rady Slovenskej republi</w:t>
      </w:r>
      <w:r w:rsidR="00A93EAE">
        <w:rPr>
          <w:rFonts w:ascii="Times New Roman" w:hAnsi="Times New Roman"/>
          <w:sz w:val="24"/>
          <w:szCs w:val="24"/>
        </w:rPr>
        <w:t>ky pre hospodárske záležitosti</w:t>
      </w:r>
    </w:p>
    <w:p w:rsidR="00A93EAE" w:rsidP="00A93EAE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Výboru Národnej rady Slovenskej republiky pre pôdohospodárstvo a životné prostredie.</w:t>
      </w:r>
    </w:p>
    <w:p w:rsidR="00A93EAE" w:rsidRPr="00A93EAE" w:rsidP="00A93EAE">
      <w:pPr>
        <w:bidi w:val="0"/>
        <w:jc w:val="both"/>
        <w:rPr>
          <w:rFonts w:ascii="Times New Roman" w:hAnsi="Times New Roman"/>
        </w:rPr>
      </w:pP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CE6895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  <w:t xml:space="preserve">Poslanci </w:t>
      </w:r>
      <w:r w:rsidRPr="001E00FE" w:rsidR="004E652B">
        <w:rPr>
          <w:rFonts w:ascii="Times New Roman" w:hAnsi="Times New Roman"/>
        </w:rPr>
        <w:t xml:space="preserve">Národnej rady Slovenskej republiky, ktorí nie sú členmi výborov, ktorým bol </w:t>
      </w:r>
      <w:r w:rsidRPr="001E00FE" w:rsidR="002F16E9">
        <w:rPr>
          <w:rFonts w:ascii="Times New Roman" w:hAnsi="Times New Roman"/>
        </w:rPr>
        <w:t xml:space="preserve">vládny </w:t>
      </w:r>
      <w:r w:rsidRPr="001E00FE" w:rsidR="004E652B">
        <w:rPr>
          <w:rFonts w:ascii="Times New Roman" w:hAnsi="Times New Roman"/>
        </w:rPr>
        <w:t xml:space="preserve">návrh zákona pridelený, </w:t>
      </w:r>
      <w:r w:rsidRPr="001E00FE" w:rsidR="004E652B">
        <w:rPr>
          <w:rFonts w:ascii="Times New Roman" w:hAnsi="Times New Roman"/>
          <w:bCs/>
        </w:rPr>
        <w:t>neoznámili v určenej lehote</w:t>
      </w:r>
      <w:r w:rsidRPr="001E00FE" w:rsidR="004E652B">
        <w:rPr>
          <w:rFonts w:ascii="Times New Roman" w:hAnsi="Times New Roman"/>
        </w:rPr>
        <w:t xml:space="preserve"> gestorskému výboru </w:t>
      </w:r>
      <w:r w:rsidRPr="001E00FE" w:rsidR="004E652B">
        <w:rPr>
          <w:rFonts w:ascii="Times New Roman" w:hAnsi="Times New Roman"/>
          <w:bCs/>
        </w:rPr>
        <w:t>žiadne stanovisko</w:t>
      </w:r>
      <w:r w:rsidRPr="001E00FE" w:rsidR="004E652B">
        <w:rPr>
          <w:rFonts w:ascii="Times New Roman" w:hAnsi="Times New Roman"/>
        </w:rPr>
        <w:t xml:space="preserve"> k predmetnému</w:t>
      </w:r>
      <w:r w:rsidRPr="00F36DCE" w:rsidR="004E652B">
        <w:rPr>
          <w:rFonts w:ascii="Times New Roman" w:hAnsi="Times New Roman"/>
        </w:rPr>
        <w:t xml:space="preserve"> </w:t>
      </w:r>
      <w:r w:rsidRPr="00F36DCE" w:rsidR="002F16E9">
        <w:rPr>
          <w:rFonts w:ascii="Times New Roman" w:hAnsi="Times New Roman"/>
        </w:rPr>
        <w:t xml:space="preserve">vládnemu </w:t>
      </w:r>
      <w:r w:rsidRPr="00F36DCE" w:rsidR="004E652B">
        <w:rPr>
          <w:rFonts w:ascii="Times New Roman" w:hAnsi="Times New Roman"/>
        </w:rPr>
        <w:t>návrhu zákona (§ 75 ods. 2 zákona o rokovacom poriadku Národ</w:t>
      </w:r>
      <w:r w:rsidRPr="00F36DCE" w:rsidR="00A9330F">
        <w:rPr>
          <w:rFonts w:ascii="Times New Roman" w:hAnsi="Times New Roman"/>
        </w:rPr>
        <w:t>nej rady Slovenskej republiky).</w:t>
      </w:r>
    </w:p>
    <w:p w:rsidR="00A9330F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666D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4F6E52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4F6E52">
        <w:rPr>
          <w:rFonts w:ascii="Times New Roman" w:hAnsi="Times New Roman"/>
          <w:b/>
          <w:szCs w:val="20"/>
        </w:rPr>
        <w:t>Výbor</w:t>
      </w:r>
      <w:r w:rsidRPr="004F6E52">
        <w:rPr>
          <w:rFonts w:ascii="Times New Roman" w:hAnsi="Times New Roman"/>
          <w:szCs w:val="20"/>
        </w:rPr>
        <w:t xml:space="preserve"> Národnej rady Slovenskej republiky </w:t>
      </w:r>
      <w:r w:rsidRPr="004F6E52">
        <w:rPr>
          <w:rFonts w:ascii="Times New Roman" w:hAnsi="Times New Roman"/>
          <w:b/>
          <w:szCs w:val="20"/>
        </w:rPr>
        <w:t>pre financie a rozpočet</w:t>
      </w:r>
      <w:r w:rsidRPr="004F6E52">
        <w:rPr>
          <w:rFonts w:ascii="Times New Roman" w:hAnsi="Times New Roman"/>
          <w:szCs w:val="20"/>
        </w:rPr>
        <w:t xml:space="preserve"> (uzn. č. </w:t>
      </w:r>
      <w:r w:rsidR="0049482B">
        <w:rPr>
          <w:rFonts w:ascii="Times New Roman" w:hAnsi="Times New Roman"/>
          <w:szCs w:val="20"/>
        </w:rPr>
        <w:t>205</w:t>
      </w:r>
      <w:r w:rsidR="00B06562">
        <w:rPr>
          <w:rFonts w:ascii="Times New Roman" w:hAnsi="Times New Roman"/>
          <w:szCs w:val="20"/>
        </w:rPr>
        <w:t xml:space="preserve"> zo dňa 3</w:t>
      </w:r>
      <w:r w:rsidRPr="004F6E52">
        <w:rPr>
          <w:rFonts w:ascii="Times New Roman" w:hAnsi="Times New Roman"/>
          <w:szCs w:val="20"/>
        </w:rPr>
        <w:t xml:space="preserve">. </w:t>
      </w:r>
      <w:r w:rsidRPr="004F6E52" w:rsidR="005A2F51">
        <w:rPr>
          <w:rFonts w:ascii="Times New Roman" w:hAnsi="Times New Roman"/>
          <w:szCs w:val="20"/>
        </w:rPr>
        <w:t>októbra</w:t>
      </w:r>
      <w:r w:rsidRPr="004F6E52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  <w:r w:rsidRPr="004F6E52">
        <w:rPr>
          <w:rFonts w:ascii="Times New Roman" w:hAnsi="Times New Roman"/>
          <w:szCs w:val="20"/>
        </w:rPr>
        <w:t>)</w:t>
      </w:r>
    </w:p>
    <w:p w:rsidR="00A32B69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AD2E86">
        <w:rPr>
          <w:rFonts w:ascii="Times New Roman" w:hAnsi="Times New Roman"/>
          <w:b/>
          <w:szCs w:val="20"/>
        </w:rPr>
        <w:t>Ústavnoprávny výbor</w:t>
      </w:r>
      <w:r w:rsidRPr="00AD2E86">
        <w:rPr>
          <w:rFonts w:ascii="Times New Roman" w:hAnsi="Times New Roman"/>
          <w:szCs w:val="20"/>
        </w:rPr>
        <w:t xml:space="preserve"> Národnej rady Slovenskej republiky (uzn. č. </w:t>
      </w:r>
      <w:r w:rsidR="009662A6">
        <w:rPr>
          <w:rFonts w:ascii="Times New Roman" w:hAnsi="Times New Roman"/>
          <w:szCs w:val="20"/>
        </w:rPr>
        <w:t>281</w:t>
      </w:r>
      <w:r w:rsidRPr="00AD2E86">
        <w:rPr>
          <w:rFonts w:ascii="Times New Roman" w:hAnsi="Times New Roman"/>
          <w:szCs w:val="20"/>
        </w:rPr>
        <w:t xml:space="preserve"> zo dňa </w:t>
      </w:r>
      <w:r w:rsidR="00B06562">
        <w:rPr>
          <w:rFonts w:ascii="Times New Roman" w:hAnsi="Times New Roman"/>
          <w:szCs w:val="20"/>
        </w:rPr>
        <w:t>3</w:t>
      </w:r>
      <w:r w:rsidRPr="00AD2E86" w:rsidR="005A2F51">
        <w:rPr>
          <w:rFonts w:ascii="Times New Roman" w:hAnsi="Times New Roman"/>
          <w:szCs w:val="20"/>
        </w:rPr>
        <w:t>. októbra</w:t>
      </w:r>
      <w:r w:rsidRPr="00AD2E86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  <w:r w:rsidRPr="00AD2E86">
        <w:rPr>
          <w:rFonts w:ascii="Times New Roman" w:hAnsi="Times New Roman"/>
          <w:szCs w:val="20"/>
        </w:rPr>
        <w:t>)</w:t>
      </w:r>
    </w:p>
    <w:p w:rsidR="00887C67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887C67">
        <w:rPr>
          <w:rFonts w:ascii="Times New Roman" w:hAnsi="Times New Roman"/>
          <w:b/>
        </w:rPr>
        <w:t>Výbor</w:t>
      </w:r>
      <w:r>
        <w:rPr>
          <w:rFonts w:ascii="Times New Roman" w:hAnsi="Times New Roman"/>
        </w:rPr>
        <w:t xml:space="preserve"> Národnej rady Slovenskej republiky </w:t>
      </w:r>
      <w:r w:rsidRPr="00887C67">
        <w:rPr>
          <w:rFonts w:ascii="Times New Roman" w:hAnsi="Times New Roman"/>
          <w:b/>
        </w:rPr>
        <w:t>pre hospodárske záležitosti</w:t>
      </w:r>
      <w:r>
        <w:rPr>
          <w:rFonts w:ascii="Times New Roman" w:hAnsi="Times New Roman"/>
          <w:szCs w:val="20"/>
        </w:rPr>
        <w:t xml:space="preserve"> </w:t>
      </w:r>
      <w:r w:rsidRPr="00AD2E86">
        <w:rPr>
          <w:rFonts w:ascii="Times New Roman" w:hAnsi="Times New Roman"/>
          <w:szCs w:val="20"/>
        </w:rPr>
        <w:t xml:space="preserve">(uzn. č. </w:t>
      </w:r>
      <w:r w:rsidR="009662A6">
        <w:rPr>
          <w:rFonts w:ascii="Times New Roman" w:hAnsi="Times New Roman"/>
          <w:szCs w:val="20"/>
        </w:rPr>
        <w:t>170</w:t>
      </w:r>
      <w:r w:rsidRPr="00AD2E86">
        <w:rPr>
          <w:rFonts w:ascii="Times New Roman" w:hAnsi="Times New Roman"/>
          <w:szCs w:val="20"/>
        </w:rPr>
        <w:t xml:space="preserve"> zo dňa </w:t>
      </w:r>
      <w:r>
        <w:rPr>
          <w:rFonts w:ascii="Times New Roman" w:hAnsi="Times New Roman"/>
          <w:szCs w:val="20"/>
        </w:rPr>
        <w:t>3</w:t>
      </w:r>
      <w:r w:rsidRPr="00AD2E86">
        <w:rPr>
          <w:rFonts w:ascii="Times New Roman" w:hAnsi="Times New Roman"/>
          <w:szCs w:val="20"/>
        </w:rPr>
        <w:t>. októbra 201</w:t>
      </w:r>
      <w:r>
        <w:rPr>
          <w:rFonts w:ascii="Times New Roman" w:hAnsi="Times New Roman"/>
          <w:szCs w:val="20"/>
        </w:rPr>
        <w:t>7</w:t>
      </w:r>
      <w:r w:rsidRPr="00AD2E86">
        <w:rPr>
          <w:rFonts w:ascii="Times New Roman" w:hAnsi="Times New Roman"/>
          <w:szCs w:val="20"/>
        </w:rPr>
        <w:t>)</w:t>
      </w:r>
    </w:p>
    <w:p w:rsidR="00A93EAE" w:rsidP="00A93EAE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A93EAE">
        <w:rPr>
          <w:rFonts w:ascii="Times New Roman" w:hAnsi="Times New Roman"/>
          <w:b/>
        </w:rPr>
        <w:t>Výbor</w:t>
      </w:r>
      <w:r>
        <w:rPr>
          <w:rFonts w:ascii="Times New Roman" w:hAnsi="Times New Roman"/>
        </w:rPr>
        <w:t xml:space="preserve"> Národnej rady Slovenskej republiky p</w:t>
      </w:r>
      <w:r w:rsidRPr="006001A0">
        <w:rPr>
          <w:rFonts w:ascii="Times New Roman" w:hAnsi="Times New Roman"/>
          <w:b/>
        </w:rPr>
        <w:t>re pôdohospodárstvo a životné prostredie</w:t>
      </w:r>
      <w:r>
        <w:rPr>
          <w:rFonts w:ascii="Times New Roman" w:hAnsi="Times New Roman"/>
        </w:rPr>
        <w:t xml:space="preserve"> </w:t>
      </w:r>
      <w:r w:rsidRPr="00AD2E86">
        <w:rPr>
          <w:rFonts w:ascii="Times New Roman" w:hAnsi="Times New Roman"/>
          <w:szCs w:val="20"/>
        </w:rPr>
        <w:t xml:space="preserve">(uzn. č. </w:t>
      </w:r>
      <w:r w:rsidR="00E65B9F">
        <w:rPr>
          <w:rFonts w:ascii="Times New Roman" w:hAnsi="Times New Roman"/>
          <w:szCs w:val="20"/>
        </w:rPr>
        <w:t>114</w:t>
      </w:r>
      <w:r w:rsidRPr="00AD2E86">
        <w:rPr>
          <w:rFonts w:ascii="Times New Roman" w:hAnsi="Times New Roman"/>
          <w:szCs w:val="20"/>
        </w:rPr>
        <w:t xml:space="preserve"> zo dňa </w:t>
      </w:r>
      <w:r w:rsidR="00E65B9F">
        <w:rPr>
          <w:rFonts w:ascii="Times New Roman" w:hAnsi="Times New Roman"/>
          <w:szCs w:val="20"/>
        </w:rPr>
        <w:t>28</w:t>
      </w:r>
      <w:r w:rsidRPr="00AD2E86">
        <w:rPr>
          <w:rFonts w:ascii="Times New Roman" w:hAnsi="Times New Roman"/>
          <w:szCs w:val="20"/>
        </w:rPr>
        <w:t xml:space="preserve">. </w:t>
      </w:r>
      <w:r w:rsidR="00E65B9F">
        <w:rPr>
          <w:rFonts w:ascii="Times New Roman" w:hAnsi="Times New Roman"/>
          <w:szCs w:val="20"/>
        </w:rPr>
        <w:t>septembra</w:t>
      </w:r>
      <w:r w:rsidRPr="00AD2E86">
        <w:rPr>
          <w:rFonts w:ascii="Times New Roman" w:hAnsi="Times New Roman"/>
          <w:szCs w:val="20"/>
        </w:rPr>
        <w:t xml:space="preserve"> 201</w:t>
      </w:r>
      <w:r>
        <w:rPr>
          <w:rFonts w:ascii="Times New Roman" w:hAnsi="Times New Roman"/>
          <w:szCs w:val="20"/>
        </w:rPr>
        <w:t>7</w:t>
      </w:r>
      <w:r w:rsidRPr="00AD2E86">
        <w:rPr>
          <w:rFonts w:ascii="Times New Roman" w:hAnsi="Times New Roman"/>
          <w:szCs w:val="20"/>
        </w:rPr>
        <w:t>)</w:t>
      </w: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4A67B5" w:rsidR="00AA7E5B">
        <w:rPr>
          <w:rFonts w:ascii="Times New Roman" w:hAnsi="Times New Roman"/>
          <w:b/>
        </w:rPr>
        <w:t xml:space="preserve">tieto </w:t>
      </w:r>
      <w:r w:rsidRPr="004A67B5" w:rsidR="00653FBD">
        <w:rPr>
          <w:rFonts w:ascii="Times New Roman" w:hAnsi="Times New Roman"/>
          <w:b/>
          <w:bCs/>
        </w:rPr>
        <w:t>p</w:t>
      </w:r>
      <w:r w:rsidRPr="004A67B5">
        <w:rPr>
          <w:rFonts w:ascii="Times New Roman" w:hAnsi="Times New Roman"/>
          <w:b/>
          <w:bCs/>
        </w:rPr>
        <w:t>ozmeňujúce a doplňujúce návrhy:</w:t>
      </w:r>
    </w:p>
    <w:p w:rsidR="006001A0" w:rsidRPr="004A67B5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6001A0" w:rsidP="006001A0">
      <w:pPr>
        <w:numPr>
          <w:numId w:val="17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K čl. I, 5. bodu </w:t>
      </w:r>
    </w:p>
    <w:p w:rsidR="006001A0" w:rsidP="006001A0">
      <w:pPr>
        <w:overflowPunct w:val="0"/>
        <w:autoSpaceDE w:val="0"/>
        <w:autoSpaceDN w:val="0"/>
        <w:bidi w:val="0"/>
        <w:adjustRightInd w:val="0"/>
        <w:ind w:left="360" w:firstLine="34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čl. I, 5. bode (§ 9 ods. 3) sa za slová „Kontrolné známky“ vkladá slovo „určené“.</w:t>
      </w:r>
    </w:p>
    <w:p w:rsidR="006001A0" w:rsidP="006001A0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Times New Roman" w:hAnsi="Times New Roman"/>
          <w:bCs/>
        </w:rPr>
      </w:pPr>
    </w:p>
    <w:p w:rsidR="006001A0" w:rsidP="006001A0">
      <w:pPr>
        <w:overflowPunct w:val="0"/>
        <w:autoSpaceDE w:val="0"/>
        <w:autoSpaceDN w:val="0"/>
        <w:bidi w:val="0"/>
        <w:adjustRightInd w:val="0"/>
        <w:ind w:left="2832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zjednocuje pojmy použité v návrhu zákona s pojmami v jeho platnom znení (napr. § 9 ods. 3 a 4).  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6001A0" w:rsidRPr="00A93EAE" w:rsidP="006001A0">
      <w:pPr>
        <w:pStyle w:val="ListParagraph"/>
        <w:bidi w:val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93EAE">
        <w:rPr>
          <w:rFonts w:ascii="Times New Roman" w:hAnsi="Times New Roman"/>
          <w:b/>
          <w:sz w:val="24"/>
          <w:szCs w:val="24"/>
        </w:rPr>
        <w:t xml:space="preserve">Výboru NR SR pre pôdohospodárstvo a životné </w:t>
      </w:r>
      <w:r>
        <w:rPr>
          <w:rFonts w:ascii="Times New Roman" w:hAnsi="Times New Roman"/>
          <w:b/>
          <w:sz w:val="24"/>
          <w:szCs w:val="24"/>
        </w:rPr>
        <w:t>prostredie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001A0" w:rsidP="003608C8">
      <w:pPr>
        <w:tabs>
          <w:tab w:val="left" w:pos="2280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</w:p>
    <w:p w:rsidR="006001A0" w:rsidP="006001A0">
      <w:pPr>
        <w:numPr>
          <w:numId w:val="17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čl. I, 7. bodu </w:t>
      </w:r>
    </w:p>
    <w:p w:rsidR="006001A0" w:rsidP="006001A0">
      <w:pPr>
        <w:overflowPunct w:val="0"/>
        <w:autoSpaceDE w:val="0"/>
        <w:autoSpaceDN w:val="0"/>
        <w:bidi w:val="0"/>
        <w:adjustRightInd w:val="0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čl. I, 7. bode (§ 9 ods. 7) sa slová „znak pre platnosť novej sadzby dane“ nahrádzajú slovami „znak pre platnosť novej sadzby spotrebnej dane“ a slová „znak pre platnosť sadzby dane“ sa nahrádzajú slovami „znak pre platnosť sadzby spotrebnej dane“.</w:t>
      </w:r>
    </w:p>
    <w:p w:rsidR="006001A0" w:rsidP="006001A0">
      <w:p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bCs/>
        </w:rPr>
      </w:pPr>
    </w:p>
    <w:p w:rsidR="006001A0" w:rsidP="006001A0">
      <w:pPr>
        <w:overflowPunct w:val="0"/>
        <w:autoSpaceDE w:val="0"/>
        <w:autoSpaceDN w:val="0"/>
        <w:bidi w:val="0"/>
        <w:adjustRightInd w:val="0"/>
        <w:ind w:left="2832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Pozmeňujúci návrh zosúlaďuje pojmy použité v návrhu zákona s pojmami v jeho platnom znení (napr. § 9 ods. 4, § 9b ods. 5).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6001A0" w:rsidRPr="00A93EAE" w:rsidP="006001A0">
      <w:pPr>
        <w:pStyle w:val="ListParagraph"/>
        <w:bidi w:val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93EAE">
        <w:rPr>
          <w:rFonts w:ascii="Times New Roman" w:hAnsi="Times New Roman"/>
          <w:b/>
          <w:sz w:val="24"/>
          <w:szCs w:val="24"/>
        </w:rPr>
        <w:t xml:space="preserve">Výboru NR SR pre pôdohospodárstvo a životné </w:t>
      </w:r>
      <w:r>
        <w:rPr>
          <w:rFonts w:ascii="Times New Roman" w:hAnsi="Times New Roman"/>
          <w:b/>
          <w:sz w:val="24"/>
          <w:szCs w:val="24"/>
        </w:rPr>
        <w:t>prostredie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001A0" w:rsidP="006001A0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001A0" w:rsidP="006001A0">
      <w:pPr>
        <w:numPr>
          <w:numId w:val="17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čl. I, 11. bodu </w:t>
      </w:r>
    </w:p>
    <w:p w:rsidR="006001A0" w:rsidP="006001A0">
      <w:pPr>
        <w:overflowPunct w:val="0"/>
        <w:autoSpaceDE w:val="0"/>
        <w:autoSpaceDN w:val="0"/>
        <w:bidi w:val="0"/>
        <w:adjustRightInd w:val="0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čl. I, 11. bode (§ 9 ods. 15) sa za slová „označil“, „označené“ a „označila“ vkladajú slová „kontrolnou známkou“. </w:t>
      </w:r>
    </w:p>
    <w:p w:rsidR="006001A0" w:rsidP="006001A0">
      <w:p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bCs/>
        </w:rPr>
      </w:pPr>
    </w:p>
    <w:p w:rsidR="006001A0" w:rsidP="006001A0">
      <w:pPr>
        <w:overflowPunct w:val="0"/>
        <w:autoSpaceDE w:val="0"/>
        <w:autoSpaceDN w:val="0"/>
        <w:bidi w:val="0"/>
        <w:adjustRightInd w:val="0"/>
        <w:ind w:left="2832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harmonizuje pojmy použité v návrhu zákona s pojmami v jeho platnom znení (napr. § 5 ods. 8, § 9 ods. 2 a 5). 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6001A0" w:rsidRPr="00A93EAE" w:rsidP="006001A0">
      <w:pPr>
        <w:pStyle w:val="ListParagraph"/>
        <w:bidi w:val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93EAE">
        <w:rPr>
          <w:rFonts w:ascii="Times New Roman" w:hAnsi="Times New Roman"/>
          <w:b/>
          <w:sz w:val="24"/>
          <w:szCs w:val="24"/>
        </w:rPr>
        <w:t xml:space="preserve">Výboru NR SR pre pôdohospodárstvo a životné </w:t>
      </w:r>
      <w:r>
        <w:rPr>
          <w:rFonts w:ascii="Times New Roman" w:hAnsi="Times New Roman"/>
          <w:b/>
          <w:sz w:val="24"/>
          <w:szCs w:val="24"/>
        </w:rPr>
        <w:t>prostredie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001A0" w:rsidP="006001A0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001A0" w:rsidP="006001A0">
      <w:pPr>
        <w:numPr>
          <w:numId w:val="17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čl. I, 11. bodu </w:t>
      </w:r>
    </w:p>
    <w:p w:rsidR="006001A0" w:rsidP="006001A0">
      <w:pPr>
        <w:overflowPunct w:val="0"/>
        <w:autoSpaceDE w:val="0"/>
        <w:autoSpaceDN w:val="0"/>
        <w:bidi w:val="0"/>
        <w:adjustRightInd w:val="0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čl. I, 11. bode </w:t>
      </w:r>
      <w:r>
        <w:rPr>
          <w:rFonts w:ascii="Symbol" w:eastAsia="Times New Roman" w:hAnsi="Symbol" w:cs="Times New Roman"/>
          <w:bCs/>
          <w:rtl w:val="0"/>
        </w:rPr>
        <w:sym w:font="Symbol" w:char="F05B"/>
      </w:r>
      <w:r>
        <w:rPr>
          <w:rFonts w:ascii="Times New Roman" w:hAnsi="Times New Roman"/>
          <w:bCs/>
        </w:rPr>
        <w:t>§ 9 ods. 16 písm. b)</w:t>
      </w:r>
      <w:r>
        <w:rPr>
          <w:rFonts w:ascii="Symbol" w:eastAsia="Times New Roman" w:hAnsi="Symbol" w:cs="Times New Roman"/>
          <w:bCs/>
          <w:rtl w:val="0"/>
        </w:rPr>
        <w:sym w:font="Symbol" w:char="F05D"/>
      </w:r>
      <w:r>
        <w:rPr>
          <w:rFonts w:ascii="Times New Roman" w:hAnsi="Times New Roman"/>
          <w:bCs/>
        </w:rPr>
        <w:t xml:space="preserve"> sa slová „znak pre sadzbu dane na kontrolnej známke“ nahrádzajú slovami „znak pre platnosť sadzby spotrebnej dane uvedený na kontrolnej známke“.</w:t>
      </w:r>
    </w:p>
    <w:p w:rsidR="006001A0" w:rsidP="006001A0">
      <w:p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bCs/>
        </w:rPr>
      </w:pPr>
    </w:p>
    <w:p w:rsidR="006001A0" w:rsidP="006001A0">
      <w:pPr>
        <w:overflowPunct w:val="0"/>
        <w:autoSpaceDE w:val="0"/>
        <w:autoSpaceDN w:val="0"/>
        <w:bidi w:val="0"/>
        <w:adjustRightInd w:val="0"/>
        <w:ind w:left="2832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Pozmeňujúci návrh zosúlaďuje pojmy použité v návrhu zákona s pojmami v jeho platnom znení (napr. § 9 ods. 3 a 4, § 9b ods. 5).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6001A0" w:rsidRPr="00A93EAE" w:rsidP="006001A0">
      <w:pPr>
        <w:pStyle w:val="ListParagraph"/>
        <w:bidi w:val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93EAE">
        <w:rPr>
          <w:rFonts w:ascii="Times New Roman" w:hAnsi="Times New Roman"/>
          <w:b/>
          <w:sz w:val="24"/>
          <w:szCs w:val="24"/>
        </w:rPr>
        <w:t xml:space="preserve">Výboru NR SR pre pôdohospodárstvo a životné </w:t>
      </w:r>
      <w:r>
        <w:rPr>
          <w:rFonts w:ascii="Times New Roman" w:hAnsi="Times New Roman"/>
          <w:b/>
          <w:sz w:val="24"/>
          <w:szCs w:val="24"/>
        </w:rPr>
        <w:t>prostredie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001A0" w:rsidP="006001A0">
      <w:pPr>
        <w:tabs>
          <w:tab w:val="left" w:pos="2280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</w:p>
    <w:p w:rsidR="006001A0" w:rsidP="006001A0">
      <w:pPr>
        <w:numPr>
          <w:numId w:val="17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čl. I, 21. bodu </w:t>
      </w:r>
    </w:p>
    <w:p w:rsidR="006001A0" w:rsidP="006001A0">
      <w:pPr>
        <w:tabs>
          <w:tab w:val="left" w:pos="284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V čl. I 21. bode sa v § 19a ods. 11 vypúšťajú písmená a) a b). </w:t>
      </w:r>
    </w:p>
    <w:p w:rsidR="006001A0" w:rsidP="006001A0">
      <w:pPr>
        <w:tabs>
          <w:tab w:val="left" w:pos="709"/>
        </w:tabs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  <w:tab/>
        <w:t>Doterajšie písmená c) až h) sa označujú ako písmená a) až f).</w:t>
      </w:r>
    </w:p>
    <w:p w:rsidR="006001A0" w:rsidP="006001A0">
      <w:pPr>
        <w:tabs>
          <w:tab w:val="left" w:pos="453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001A0" w:rsidP="006001A0">
      <w:pPr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 žiadateľa o vydanie povolenia na obchodovanie s tabakovou surovinou, ktorým môže byť aj fyzická osoba-podnikateľ, je pôvodne navrhovaná podmienka nesplniteľná, nakoľko základné imanie v zmysle Obchodného zákonníka (najmä § 58 a nasl. a § 223 a nasl.) je vytvárané výhradne obchodnými spoločnosťami ako súhrn peňažných i nepeňažných vkladov všetkých spoločníkov. Z dôvodu, aby nedochádzalo k diskriminácii fyzických osôb-podnikateľov a právnických osôb sa navrhuje vypustiť z navrhovaného znenia podmienky ohľadom objemu predaja, resp. splatenia základného imania. Úprava vyplynula zo stanoviska Odboru legislatívy a aproximácie práva Kancelárie Národnej rady Slovenskej republiky.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001A0" w:rsidP="006001A0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001A0" w:rsidP="006001A0">
      <w:pPr>
        <w:numPr>
          <w:numId w:val="17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čl. I, 33. bodu </w:t>
      </w:r>
    </w:p>
    <w:p w:rsidR="006001A0" w:rsidP="006001A0">
      <w:pPr>
        <w:overflowPunct w:val="0"/>
        <w:autoSpaceDE w:val="0"/>
        <w:autoSpaceDN w:val="0"/>
        <w:bidi w:val="0"/>
        <w:adjustRightInd w:val="0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čl. I, 33. bode (§ 20a ods. 1) sa za slovo „vymáhanie“ vkladá slovo „dane“ a slová „od zábezpeky úplne“ nahrádzajú slovami „od zábezpeky na daň úplne“. </w:t>
      </w:r>
    </w:p>
    <w:p w:rsidR="006001A0" w:rsidP="006001A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6001A0" w:rsidP="006001A0">
      <w:pPr>
        <w:overflowPunct w:val="0"/>
        <w:autoSpaceDE w:val="0"/>
        <w:autoSpaceDN w:val="0"/>
        <w:bidi w:val="0"/>
        <w:adjustRightInd w:val="0"/>
        <w:ind w:left="2124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spresňuje navrhované znenie. 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Cs/>
        </w:rPr>
      </w:pP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6001A0" w:rsidRPr="00A93EAE" w:rsidP="006001A0">
      <w:pPr>
        <w:pStyle w:val="ListParagraph"/>
        <w:bidi w:val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93EAE">
        <w:rPr>
          <w:rFonts w:ascii="Times New Roman" w:hAnsi="Times New Roman"/>
          <w:b/>
          <w:sz w:val="24"/>
          <w:szCs w:val="24"/>
        </w:rPr>
        <w:t xml:space="preserve">Výboru NR SR pre pôdohospodárstvo a životné </w:t>
      </w:r>
      <w:r>
        <w:rPr>
          <w:rFonts w:ascii="Times New Roman" w:hAnsi="Times New Roman"/>
          <w:b/>
          <w:sz w:val="24"/>
          <w:szCs w:val="24"/>
        </w:rPr>
        <w:t>prostredie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001A0" w:rsidP="006001A0">
      <w:pPr>
        <w:tabs>
          <w:tab w:val="left" w:pos="2280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ab/>
      </w:r>
    </w:p>
    <w:p w:rsidR="006001A0" w:rsidP="006001A0">
      <w:pPr>
        <w:numPr>
          <w:numId w:val="17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čl. I, 33. bodu </w:t>
      </w:r>
    </w:p>
    <w:p w:rsidR="006001A0" w:rsidP="006001A0">
      <w:pPr>
        <w:tabs>
          <w:tab w:val="left" w:pos="1215"/>
        </w:tabs>
        <w:overflowPunct w:val="0"/>
        <w:autoSpaceDE w:val="0"/>
        <w:autoSpaceDN w:val="0"/>
        <w:bidi w:val="0"/>
        <w:adjustRightInd w:val="0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čl. I, 37. bode (§ 23 ods. 9 úvodnej vete) sa slová „súčet prijatého množstva“ nahrádzajú slovami „celkové množstvo prijatých“. </w:t>
      </w:r>
    </w:p>
    <w:p w:rsidR="006001A0" w:rsidP="006001A0">
      <w:pPr>
        <w:tabs>
          <w:tab w:val="left" w:pos="1215"/>
        </w:tabs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6001A0" w:rsidP="006001A0">
      <w:pPr>
        <w:tabs>
          <w:tab w:val="left" w:pos="1215"/>
        </w:tabs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ab/>
        <w:tab/>
        <w:tab/>
        <w:t xml:space="preserve">Pozmeňujúci návrh precizuje citované ustanovenie. 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6001A0" w:rsidRPr="00A93EAE" w:rsidP="006001A0">
      <w:pPr>
        <w:pStyle w:val="ListParagraph"/>
        <w:bidi w:val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93EAE">
        <w:rPr>
          <w:rFonts w:ascii="Times New Roman" w:hAnsi="Times New Roman"/>
          <w:b/>
          <w:sz w:val="24"/>
          <w:szCs w:val="24"/>
        </w:rPr>
        <w:t xml:space="preserve">Výboru NR SR pre pôdohospodárstvo a životné </w:t>
      </w:r>
      <w:r>
        <w:rPr>
          <w:rFonts w:ascii="Times New Roman" w:hAnsi="Times New Roman"/>
          <w:b/>
          <w:sz w:val="24"/>
          <w:szCs w:val="24"/>
        </w:rPr>
        <w:t>prostredie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001A0" w:rsidP="006001A0">
      <w:pPr>
        <w:tabs>
          <w:tab w:val="left" w:pos="2280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</w:p>
    <w:p w:rsidR="006001A0" w:rsidP="006001A0">
      <w:pPr>
        <w:numPr>
          <w:numId w:val="17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čl. I, 38. bodu </w:t>
      </w:r>
    </w:p>
    <w:p w:rsidR="006001A0" w:rsidP="006001A0">
      <w:pPr>
        <w:overflowPunct w:val="0"/>
        <w:autoSpaceDE w:val="0"/>
        <w:autoSpaceDN w:val="0"/>
        <w:bidi w:val="0"/>
        <w:adjustRightInd w:val="0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čl. I, 38. bode (§ 23 ods. 11 poslednej vete) sa slovo „o zníženie zábezpeky“ nahrádza slovami „o zníženie zloženej zábezpeky na daň“, slová „zloženej zábezpeky“ sa nahrádzajú slovami „zloženej zábezpeky na daň“ a slová „maximálne však do výšky“ sa nahrádzajú slovami „najviac však do výšky“. </w:t>
      </w:r>
    </w:p>
    <w:p w:rsidR="006001A0" w:rsidP="006001A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6001A0" w:rsidP="006001A0">
      <w:pPr>
        <w:overflowPunct w:val="0"/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štylisticky koriguje citované ustanovenie v zmysle platného znenia zákona  (napr. § 9b ods. 6). 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6001A0" w:rsidRPr="00A93EAE" w:rsidP="006001A0">
      <w:pPr>
        <w:pStyle w:val="ListParagraph"/>
        <w:bidi w:val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93EAE">
        <w:rPr>
          <w:rFonts w:ascii="Times New Roman" w:hAnsi="Times New Roman"/>
          <w:b/>
          <w:sz w:val="24"/>
          <w:szCs w:val="24"/>
        </w:rPr>
        <w:t xml:space="preserve">Výboru NR SR pre pôdohospodárstvo a životné </w:t>
      </w:r>
      <w:r>
        <w:rPr>
          <w:rFonts w:ascii="Times New Roman" w:hAnsi="Times New Roman"/>
          <w:b/>
          <w:sz w:val="24"/>
          <w:szCs w:val="24"/>
        </w:rPr>
        <w:t>prostredie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001A0" w:rsidP="006001A0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001A0" w:rsidP="006001A0">
      <w:pPr>
        <w:numPr>
          <w:numId w:val="17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čl. I, 61. bodu </w:t>
      </w:r>
    </w:p>
    <w:p w:rsidR="006001A0" w:rsidP="006001A0">
      <w:pPr>
        <w:overflowPunct w:val="0"/>
        <w:autoSpaceDE w:val="0"/>
        <w:autoSpaceDN w:val="0"/>
        <w:bidi w:val="0"/>
        <w:adjustRightInd w:val="0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čl. I, 61. bode (§ 44w ods. 1 a 2) sa slová „k 31. decembru 2017“ nahrádzajú slovami „do 31. decembra 2017“.</w:t>
      </w:r>
    </w:p>
    <w:p w:rsidR="006001A0" w:rsidP="006001A0">
      <w:pPr>
        <w:overflowPunct w:val="0"/>
        <w:autoSpaceDE w:val="0"/>
        <w:autoSpaceDN w:val="0"/>
        <w:bidi w:val="0"/>
        <w:adjustRightInd w:val="0"/>
        <w:ind w:left="2124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Pozmeňujúci návrh precizuje znenie prechodného ustanovenia.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6001A0" w:rsidRPr="00A93EAE" w:rsidP="006001A0">
      <w:pPr>
        <w:pStyle w:val="ListParagraph"/>
        <w:bidi w:val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93EAE">
        <w:rPr>
          <w:rFonts w:ascii="Times New Roman" w:hAnsi="Times New Roman"/>
          <w:b/>
          <w:sz w:val="24"/>
          <w:szCs w:val="24"/>
        </w:rPr>
        <w:t xml:space="preserve">Výboru NR SR pre pôdohospodárstvo a životné </w:t>
      </w:r>
      <w:r>
        <w:rPr>
          <w:rFonts w:ascii="Times New Roman" w:hAnsi="Times New Roman"/>
          <w:b/>
          <w:sz w:val="24"/>
          <w:szCs w:val="24"/>
        </w:rPr>
        <w:t>prostredie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001A0" w:rsidP="006001A0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001A0" w:rsidP="006001A0">
      <w:pPr>
        <w:numPr>
          <w:numId w:val="17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čl. I, 61. bodu </w:t>
      </w:r>
    </w:p>
    <w:p w:rsidR="006001A0" w:rsidP="006001A0">
      <w:pPr>
        <w:tabs>
          <w:tab w:val="left" w:pos="284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V čl. I 61. bode, sa v § 44x ods. 3 vypúšťa písmeno a). </w:t>
      </w:r>
    </w:p>
    <w:p w:rsidR="006001A0" w:rsidP="006001A0">
      <w:pPr>
        <w:tabs>
          <w:tab w:val="left" w:pos="284"/>
        </w:tabs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Doterajšie písmená b) až g) sa označujú ako písmená a) až f).</w:t>
      </w:r>
    </w:p>
    <w:p w:rsidR="006001A0" w:rsidP="006001A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001A0" w:rsidP="006001A0">
      <w:pPr>
        <w:autoSpaceDE w:val="0"/>
        <w:autoSpaceDN w:val="0"/>
        <w:bidi w:val="0"/>
        <w:adjustRightInd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súlade s navrhovanou úpravou v bode 21 je nutné vypustiť podmienku splnenia objemu predaja tabakovej suroviny aj v prechodnom ustanovení, to znamená pre osoby, ktorým colný úrad už vydal povolenie na obchodovanie s tabakovou surovinou podľa znenia zákona účinného do 31. marca 2018. Úprava vyplynula zo stanoviska Odboru legislatívy a aproximácie práva Kancelárie Národnej rady Slovenskej republiky.</w:t>
      </w:r>
    </w:p>
    <w:p w:rsidR="006001A0" w:rsidP="006001A0">
      <w:pPr>
        <w:autoSpaceDE w:val="0"/>
        <w:autoSpaceDN w:val="0"/>
        <w:bidi w:val="0"/>
        <w:adjustRightInd w:val="0"/>
        <w:ind w:left="3540"/>
        <w:jc w:val="both"/>
        <w:rPr>
          <w:rFonts w:ascii="Times New Roman" w:hAnsi="Times New Roman"/>
        </w:rPr>
      </w:pP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001A0" w:rsidP="006001A0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001A0" w:rsidP="006001A0">
      <w:pPr>
        <w:numPr>
          <w:numId w:val="17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K čl. I, 61. bodu </w:t>
      </w:r>
    </w:p>
    <w:p w:rsidR="006001A0" w:rsidP="006001A0">
      <w:pPr>
        <w:overflowPunct w:val="0"/>
        <w:autoSpaceDE w:val="0"/>
        <w:autoSpaceDN w:val="0"/>
        <w:bidi w:val="0"/>
        <w:adjustRightInd w:val="0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čl. I, 61. bode </w:t>
      </w:r>
      <w:r>
        <w:rPr>
          <w:rFonts w:ascii="Symbol" w:eastAsia="Times New Roman" w:hAnsi="Symbol" w:cs="Times New Roman"/>
          <w:bCs/>
          <w:rtl w:val="0"/>
        </w:rPr>
        <w:sym w:font="Symbol" w:char="F05B"/>
      </w:r>
      <w:r>
        <w:rPr>
          <w:rFonts w:ascii="Times New Roman" w:hAnsi="Times New Roman"/>
          <w:bCs/>
        </w:rPr>
        <w:t>§ 44x ods. 3 písm. f)</w:t>
      </w:r>
      <w:r>
        <w:rPr>
          <w:rFonts w:ascii="Symbol" w:eastAsia="Times New Roman" w:hAnsi="Symbol" w:cs="Times New Roman"/>
          <w:bCs/>
          <w:rtl w:val="0"/>
        </w:rPr>
        <w:sym w:font="Symbol" w:char="F05D"/>
      </w:r>
      <w:r>
        <w:rPr>
          <w:rFonts w:ascii="Times New Roman" w:hAnsi="Times New Roman"/>
          <w:bCs/>
        </w:rPr>
        <w:t xml:space="preserve"> sa slová „nebol právoplatne odsúdený“ nahrádzajú slovami „nebola právoplatne odsúdená“ a slovo „žiadateľa“ sa nahrádza slovami „tejto osoby“. </w:t>
      </w:r>
    </w:p>
    <w:p w:rsidR="006001A0" w:rsidP="006001A0">
      <w:pPr>
        <w:overflowPunct w:val="0"/>
        <w:autoSpaceDE w:val="0"/>
        <w:autoSpaceDN w:val="0"/>
        <w:bidi w:val="0"/>
        <w:adjustRightInd w:val="0"/>
        <w:ind w:left="357"/>
        <w:jc w:val="both"/>
        <w:rPr>
          <w:rFonts w:ascii="Times New Roman" w:hAnsi="Times New Roman"/>
          <w:b/>
          <w:bCs/>
        </w:rPr>
      </w:pPr>
    </w:p>
    <w:p w:rsidR="006001A0" w:rsidP="006001A0">
      <w:pPr>
        <w:overflowPunct w:val="0"/>
        <w:autoSpaceDE w:val="0"/>
        <w:autoSpaceDN w:val="0"/>
        <w:bidi w:val="0"/>
        <w:adjustRightInd w:val="0"/>
        <w:ind w:left="2832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gramatickej povahy zosúlaďuje znenie citovaného ustanovenia s jeho úvodnou vetu. 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6001A0" w:rsidRPr="00A93EAE" w:rsidP="006001A0">
      <w:pPr>
        <w:pStyle w:val="ListParagraph"/>
        <w:bidi w:val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93EAE">
        <w:rPr>
          <w:rFonts w:ascii="Times New Roman" w:hAnsi="Times New Roman"/>
          <w:b/>
          <w:sz w:val="24"/>
          <w:szCs w:val="24"/>
        </w:rPr>
        <w:t xml:space="preserve">Výboru NR SR pre pôdohospodárstvo a životné </w:t>
      </w:r>
      <w:r>
        <w:rPr>
          <w:rFonts w:ascii="Times New Roman" w:hAnsi="Times New Roman"/>
          <w:b/>
          <w:sz w:val="24"/>
          <w:szCs w:val="24"/>
        </w:rPr>
        <w:t>prostredie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001A0" w:rsidP="006001A0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001A0" w:rsidP="006001A0">
      <w:pPr>
        <w:numPr>
          <w:numId w:val="17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čl. I, 61. bodu </w:t>
      </w:r>
    </w:p>
    <w:p w:rsidR="006001A0" w:rsidP="006001A0">
      <w:pPr>
        <w:overflowPunct w:val="0"/>
        <w:autoSpaceDE w:val="0"/>
        <w:autoSpaceDN w:val="0"/>
        <w:bidi w:val="0"/>
        <w:adjustRightInd w:val="0"/>
        <w:ind w:left="360" w:firstLine="34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čl. I, 61. bode </w:t>
      </w:r>
      <w:r>
        <w:rPr>
          <w:rFonts w:ascii="Symbol" w:eastAsia="Times New Roman" w:hAnsi="Symbol" w:cs="Times New Roman"/>
          <w:bCs/>
          <w:rtl w:val="0"/>
        </w:rPr>
        <w:sym w:font="Symbol" w:char="F05B"/>
      </w:r>
      <w:r>
        <w:rPr>
          <w:rFonts w:ascii="Times New Roman" w:hAnsi="Times New Roman"/>
          <w:bCs/>
        </w:rPr>
        <w:t>§ 44x ods. 3 písm. g)</w:t>
      </w:r>
      <w:r>
        <w:rPr>
          <w:rFonts w:ascii="Symbol" w:eastAsia="Times New Roman" w:hAnsi="Symbol" w:cs="Times New Roman"/>
          <w:bCs/>
          <w:rtl w:val="0"/>
        </w:rPr>
        <w:sym w:font="Symbol" w:char="F05D"/>
      </w:r>
      <w:r>
        <w:rPr>
          <w:rFonts w:ascii="Times New Roman" w:hAnsi="Times New Roman"/>
          <w:bCs/>
        </w:rPr>
        <w:t xml:space="preserve"> sa slová „na neho“ nahrádzajú slovami „na ňu“.</w:t>
      </w:r>
    </w:p>
    <w:p w:rsidR="003608C8" w:rsidP="006001A0">
      <w:pPr>
        <w:overflowPunct w:val="0"/>
        <w:autoSpaceDE w:val="0"/>
        <w:autoSpaceDN w:val="0"/>
        <w:bidi w:val="0"/>
        <w:adjustRightInd w:val="0"/>
        <w:ind w:left="2832"/>
        <w:contextualSpacing/>
        <w:jc w:val="both"/>
        <w:rPr>
          <w:rFonts w:ascii="Times New Roman" w:hAnsi="Times New Roman"/>
          <w:bCs/>
        </w:rPr>
      </w:pPr>
    </w:p>
    <w:p w:rsidR="006001A0" w:rsidP="006001A0">
      <w:pPr>
        <w:overflowPunct w:val="0"/>
        <w:autoSpaceDE w:val="0"/>
        <w:autoSpaceDN w:val="0"/>
        <w:bidi w:val="0"/>
        <w:adjustRightInd w:val="0"/>
        <w:ind w:left="2832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gramatickej povahy zosúlaďuje znenie citovaného ustanovenia s jeho úvodnou vetu. 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001A0" w:rsidP="006001A0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6001A0" w:rsidRPr="00A93EAE" w:rsidP="006001A0">
      <w:pPr>
        <w:pStyle w:val="ListParagraph"/>
        <w:bidi w:val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93EAE">
        <w:rPr>
          <w:rFonts w:ascii="Times New Roman" w:hAnsi="Times New Roman"/>
          <w:b/>
          <w:sz w:val="24"/>
          <w:szCs w:val="24"/>
        </w:rPr>
        <w:t xml:space="preserve">Výboru NR SR pre pôdohospodárstvo a životné </w:t>
      </w:r>
      <w:r>
        <w:rPr>
          <w:rFonts w:ascii="Times New Roman" w:hAnsi="Times New Roman"/>
          <w:b/>
          <w:sz w:val="24"/>
          <w:szCs w:val="24"/>
        </w:rPr>
        <w:t>prostredie</w:t>
      </w:r>
    </w:p>
    <w:p w:rsidR="006001A0" w:rsidP="006001A0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001A0" w:rsidP="006001A0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001A0" w:rsidP="006001A0">
      <w:pPr>
        <w:numPr>
          <w:numId w:val="17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čl. I, 61. bodu </w:t>
      </w:r>
    </w:p>
    <w:p w:rsidR="006001A0" w:rsidP="006001A0">
      <w:pPr>
        <w:overflowPunct w:val="0"/>
        <w:autoSpaceDE w:val="0"/>
        <w:autoSpaceDN w:val="0"/>
        <w:bidi w:val="0"/>
        <w:adjustRightInd w:val="0"/>
        <w:ind w:left="360" w:firstLine="34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čl. I, 61. bode, nadpise § 44y sa slovo „ustanovenia“ nahrádza slovom „ustanovenie“.</w:t>
      </w:r>
    </w:p>
    <w:p w:rsidR="003608C8" w:rsidP="006001A0">
      <w:pPr>
        <w:overflowPunct w:val="0"/>
        <w:autoSpaceDE w:val="0"/>
        <w:autoSpaceDN w:val="0"/>
        <w:bidi w:val="0"/>
        <w:adjustRightInd w:val="0"/>
        <w:ind w:left="2124" w:firstLine="708"/>
        <w:contextualSpacing/>
        <w:jc w:val="both"/>
        <w:rPr>
          <w:rFonts w:ascii="Times New Roman" w:hAnsi="Times New Roman"/>
          <w:bCs/>
        </w:rPr>
      </w:pPr>
    </w:p>
    <w:p w:rsidR="006001A0" w:rsidP="006001A0">
      <w:pPr>
        <w:overflowPunct w:val="0"/>
        <w:autoSpaceDE w:val="0"/>
        <w:autoSpaceDN w:val="0"/>
        <w:bidi w:val="0"/>
        <w:adjustRightInd w:val="0"/>
        <w:ind w:left="2124"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gramatickej povahy. </w:t>
      </w:r>
    </w:p>
    <w:p w:rsidR="00CE6895" w:rsidP="00CE6895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</w:p>
    <w:p w:rsidR="003608C8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AD2E86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  <w:r w:rsidR="00C46F91">
        <w:rPr>
          <w:rFonts w:ascii="Times New Roman" w:hAnsi="Times New Roman"/>
          <w:b/>
        </w:rPr>
        <w:t>Výbor NR SR pre hospodárske záležitosti</w:t>
      </w:r>
    </w:p>
    <w:p w:rsidR="00A93EAE" w:rsidRPr="00A93EAE" w:rsidP="00A93EAE">
      <w:pPr>
        <w:pStyle w:val="ListParagraph"/>
        <w:bidi w:val="0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93EAE">
        <w:rPr>
          <w:rFonts w:ascii="Times New Roman" w:hAnsi="Times New Roman"/>
          <w:b/>
          <w:sz w:val="24"/>
          <w:szCs w:val="24"/>
        </w:rPr>
        <w:t xml:space="preserve">Výboru NR SR pre pôdohospodárstvo a životné </w:t>
      </w:r>
      <w:r>
        <w:rPr>
          <w:rFonts w:ascii="Times New Roman" w:hAnsi="Times New Roman"/>
          <w:b/>
          <w:sz w:val="24"/>
          <w:szCs w:val="24"/>
        </w:rPr>
        <w:t>prostredie</w:t>
      </w: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  <w:r w:rsidR="00AD2E86">
        <w:rPr>
          <w:rFonts w:ascii="Times New Roman" w:hAnsi="Times New Roman"/>
        </w:rPr>
        <w:t xml:space="preserve"> </w:t>
      </w:r>
    </w:p>
    <w:p w:rsidR="005711FB" w:rsidP="005711FB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5711FB" w:rsidRPr="00D81B1F" w:rsidP="005711FB">
      <w:pPr>
        <w:pStyle w:val="BodyText2"/>
        <w:bidi w:val="0"/>
        <w:rPr>
          <w:rFonts w:ascii="Times New Roman" w:hAnsi="Times New Roman"/>
        </w:rPr>
      </w:pPr>
    </w:p>
    <w:p w:rsidR="00B755F7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11217D">
        <w:rPr>
          <w:rFonts w:ascii="Times New Roman" w:hAnsi="Times New Roman"/>
        </w:rPr>
        <w:t xml:space="preserve">O bodoch spoločnej správy č.  </w:t>
      </w:r>
      <w:r w:rsidRPr="003608C8" w:rsidR="006001A0">
        <w:rPr>
          <w:rFonts w:ascii="Times New Roman" w:hAnsi="Times New Roman"/>
          <w:b/>
        </w:rPr>
        <w:t>1 až 13</w:t>
      </w:r>
      <w:r w:rsidRPr="0011217D">
        <w:rPr>
          <w:rFonts w:ascii="Times New Roman" w:hAnsi="Times New Roman"/>
        </w:rPr>
        <w:t xml:space="preserve"> </w:t>
      </w:r>
      <w:r w:rsidR="00793D41">
        <w:rPr>
          <w:rFonts w:ascii="Times New Roman" w:hAnsi="Times New Roman"/>
        </w:rPr>
        <w:t xml:space="preserve"> </w:t>
      </w:r>
      <w:r w:rsidRPr="0011217D">
        <w:rPr>
          <w:rFonts w:ascii="Times New Roman" w:hAnsi="Times New Roman"/>
        </w:rPr>
        <w:t xml:space="preserve">hlasovať spoločne s návrhom gestorského výboru </w:t>
      </w:r>
      <w:r w:rsidRPr="0011217D">
        <w:rPr>
          <w:rFonts w:ascii="Times New Roman" w:hAnsi="Times New Roman"/>
          <w:b/>
        </w:rPr>
        <w:t>schváliť.</w:t>
      </w:r>
    </w:p>
    <w:p w:rsidR="0011217D" w:rsidRPr="0011217D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</w:p>
    <w:p w:rsidR="00D81B1F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Pr="00A93EAE" w:rsidR="00A93EAE">
        <w:rPr>
          <w:rFonts w:ascii="Times New Roman" w:hAnsi="Times New Roman"/>
        </w:rPr>
        <w:t>vládnemu návrhu zákona, ktorým sa mení a dopĺňa zákon č.106/2004 Z. z. o spotrebnej dani z tabakových výrobkov v znení neskorších predpisov (tlač 653)</w:t>
      </w:r>
      <w:r w:rsidR="00A93EAE">
        <w:rPr>
          <w:rFonts w:ascii="Times New Roman" w:hAnsi="Times New Roman"/>
        </w:rPr>
        <w:t xml:space="preserve">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B059B4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11217D" w:rsidP="003608C8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Pr="00A93EAE" w:rsidR="00A93EAE">
        <w:rPr>
          <w:rFonts w:ascii="Times New Roman" w:hAnsi="Times New Roman"/>
        </w:rPr>
        <w:t>vládne</w:t>
      </w:r>
      <w:r w:rsidR="00A93EAE">
        <w:rPr>
          <w:rFonts w:ascii="Times New Roman" w:hAnsi="Times New Roman"/>
        </w:rPr>
        <w:t>ho</w:t>
      </w:r>
      <w:r w:rsidRPr="00A93EAE" w:rsidR="00A93EAE">
        <w:rPr>
          <w:rFonts w:ascii="Times New Roman" w:hAnsi="Times New Roman"/>
        </w:rPr>
        <w:t xml:space="preserve"> návrhu zákona, ktorým sa mení a dopĺňa zákon č.106/2004 Z. z. o spotrebnej dani z tabakových výrobkov v znení neskorších predpisov (tlač 653</w:t>
      </w:r>
      <w:r w:rsidR="00A93EAE">
        <w:rPr>
          <w:rFonts w:ascii="Times New Roman" w:hAnsi="Times New Roman"/>
        </w:rPr>
        <w:t>a</w:t>
      </w:r>
      <w:r w:rsidRPr="00A93EAE" w:rsidR="00A93EAE">
        <w:rPr>
          <w:rFonts w:ascii="Times New Roman" w:hAnsi="Times New Roman"/>
        </w:rPr>
        <w:t>)</w:t>
      </w:r>
      <w:r w:rsidR="00A93EAE">
        <w:rPr>
          <w:rFonts w:ascii="Times New Roman" w:hAnsi="Times New Roman"/>
        </w:rPr>
        <w:t xml:space="preserve">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11217D" w:rsidR="00436E42">
        <w:rPr>
          <w:rFonts w:ascii="Times New Roman" w:hAnsi="Times New Roman"/>
          <w:bCs/>
        </w:rPr>
        <w:t>č</w:t>
      </w:r>
      <w:r w:rsidRPr="00C84A95" w:rsidR="00436E42">
        <w:rPr>
          <w:rFonts w:ascii="Times New Roman" w:hAnsi="Times New Roman"/>
          <w:b/>
          <w:bCs/>
        </w:rPr>
        <w:t>.</w:t>
      </w:r>
      <w:r w:rsidRPr="00C84A95" w:rsidR="00095A32">
        <w:rPr>
          <w:rFonts w:ascii="Times New Roman" w:hAnsi="Times New Roman"/>
          <w:b/>
          <w:bCs/>
        </w:rPr>
        <w:t xml:space="preserve"> </w:t>
      </w:r>
      <w:r w:rsidR="00B06562">
        <w:rPr>
          <w:rFonts w:ascii="Times New Roman" w:hAnsi="Times New Roman"/>
          <w:b/>
          <w:bCs/>
        </w:rPr>
        <w:t xml:space="preserve"> </w:t>
      </w:r>
      <w:r w:rsidR="00A44BBE">
        <w:rPr>
          <w:rFonts w:ascii="Times New Roman" w:hAnsi="Times New Roman"/>
          <w:b/>
          <w:bCs/>
        </w:rPr>
        <w:t xml:space="preserve">216 </w:t>
      </w:r>
      <w:r w:rsidRPr="00C84A95" w:rsidR="0011217D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z</w:t>
      </w:r>
      <w:r w:rsidRPr="00C84A95" w:rsidR="00BE7DA9">
        <w:rPr>
          <w:rFonts w:ascii="Times New Roman" w:hAnsi="Times New Roman"/>
          <w:b/>
          <w:bCs/>
        </w:rPr>
        <w:t> </w:t>
      </w:r>
      <w:r w:rsidR="00B06562">
        <w:rPr>
          <w:rFonts w:ascii="Times New Roman" w:hAnsi="Times New Roman"/>
          <w:b/>
          <w:bCs/>
        </w:rPr>
        <w:t>9</w:t>
      </w:r>
      <w:r w:rsidRPr="00C84A95" w:rsidR="00FC4AEC">
        <w:rPr>
          <w:rFonts w:ascii="Times New Roman" w:hAnsi="Times New Roman"/>
          <w:b/>
          <w:bCs/>
        </w:rPr>
        <w:t>.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9B5C64">
        <w:rPr>
          <w:rFonts w:ascii="Times New Roman" w:hAnsi="Times New Roman"/>
          <w:b/>
          <w:bCs/>
        </w:rPr>
        <w:t>októbra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201</w:t>
      </w:r>
      <w:r w:rsidR="00B06562">
        <w:rPr>
          <w:rFonts w:ascii="Times New Roman" w:hAnsi="Times New Roman"/>
          <w:b/>
          <w:bCs/>
        </w:rPr>
        <w:t>7</w:t>
      </w:r>
      <w:r w:rsidRPr="0011217D" w:rsidR="00436E42">
        <w:rPr>
          <w:rFonts w:ascii="Times New Roman" w:hAnsi="Times New Roman"/>
          <w:bCs/>
        </w:rPr>
        <w:t>.</w:t>
      </w:r>
      <w:r w:rsidRPr="0011217D" w:rsidR="00AA7E5B">
        <w:rPr>
          <w:rFonts w:ascii="Times New Roman" w:hAnsi="Times New Roman"/>
          <w:bCs/>
        </w:rPr>
        <w:t xml:space="preserve"> </w:t>
      </w:r>
    </w:p>
    <w:p w:rsidR="009B5C64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5711FB" w:rsidP="0011217D">
      <w:pPr>
        <w:bidi w:val="0"/>
        <w:ind w:firstLine="708"/>
        <w:jc w:val="both"/>
        <w:rPr>
          <w:rFonts w:ascii="Times New Roman" w:hAnsi="Times New Roman"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="00EA539E">
        <w:rPr>
          <w:rFonts w:ascii="Times New Roman" w:hAnsi="Times New Roman"/>
          <w:bCs/>
        </w:rPr>
        <w:t>spoločného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EA539E">
        <w:rPr>
          <w:rFonts w:ascii="Times New Roman" w:hAnsi="Times New Roman"/>
          <w:bCs/>
        </w:rPr>
        <w:t>cu</w:t>
      </w:r>
      <w:r w:rsidR="009B5C64">
        <w:rPr>
          <w:rFonts w:ascii="Times New Roman" w:hAnsi="Times New Roman"/>
          <w:bCs/>
        </w:rPr>
        <w:t xml:space="preserve"> </w:t>
      </w:r>
      <w:r w:rsidR="00C46F91">
        <w:rPr>
          <w:rFonts w:ascii="Times New Roman" w:hAnsi="Times New Roman"/>
          <w:b/>
          <w:bCs/>
        </w:rPr>
        <w:t>Emila Ďurovčíka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>
        <w:rPr>
          <w:rFonts w:ascii="Times New Roman" w:hAnsi="Times New Roman"/>
          <w:bCs/>
        </w:rPr>
        <w:t>aby na schôdzi Národnej rady Slovenskej republiky pri rokovaní o predmetnom vládno</w:t>
      </w:r>
      <w:r>
        <w:rPr>
          <w:rFonts w:ascii="Times New Roman" w:hAnsi="Times New Roman"/>
          <w:bCs/>
        </w:rPr>
        <w:t>m</w:t>
      </w:r>
      <w:r w:rsidRPr="00F36DCE">
        <w:rPr>
          <w:rFonts w:ascii="Times New Roman" w:hAnsi="Times New Roman"/>
          <w:bCs/>
        </w:rPr>
        <w:t xml:space="preserve"> návrhu zákona predkladal návrhy v zmysle príslušných ustanovení zákona</w:t>
      </w:r>
      <w:r>
        <w:rPr>
          <w:rFonts w:ascii="Times New Roman" w:hAnsi="Times New Roman"/>
          <w:bCs/>
        </w:rPr>
        <w:t xml:space="preserve"> </w:t>
      </w:r>
      <w:r w:rsidRPr="008750F8">
        <w:rPr>
          <w:rFonts w:ascii="Times New Roman" w:hAnsi="Times New Roman"/>
          <w:bCs/>
        </w:rPr>
        <w:t>č. 350/1996 Z. z.</w:t>
      </w:r>
      <w:r w:rsidRPr="00F36DCE">
        <w:rPr>
          <w:rFonts w:ascii="Times New Roman" w:hAnsi="Times New Roman"/>
          <w:bCs/>
        </w:rPr>
        <w:t xml:space="preserve"> o rokovacom poriadku Náro</w:t>
      </w:r>
      <w:r>
        <w:rPr>
          <w:rFonts w:ascii="Times New Roman" w:hAnsi="Times New Roman"/>
          <w:bCs/>
        </w:rPr>
        <w:t>dnej rady Slovenskej republiky v znení neskorších predpisov.</w:t>
      </w:r>
      <w:r w:rsidRPr="00F36DCE" w:rsidR="00AA7E5B">
        <w:rPr>
          <w:rFonts w:ascii="Times New Roman" w:hAnsi="Times New Roman"/>
        </w:rPr>
        <w:tab/>
        <w:tab/>
        <w:tab/>
      </w:r>
    </w:p>
    <w:p w:rsidR="00252DDA" w:rsidRPr="00252DDA" w:rsidP="00472536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  <w:tab/>
        <w:tab/>
      </w: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B06562">
        <w:rPr>
          <w:rFonts w:ascii="Times New Roman" w:hAnsi="Times New Roman"/>
          <w:szCs w:val="20"/>
        </w:rPr>
        <w:t>9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</w:p>
    <w:p w:rsidR="005711FB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68283B">
        <w:rPr>
          <w:rFonts w:ascii="Times New Roman" w:hAnsi="Times New Roman"/>
          <w:b/>
          <w:bCs/>
          <w:szCs w:val="20"/>
        </w:rPr>
        <w:t>Ladislav Kamenický</w:t>
      </w:r>
      <w:r w:rsidR="00B06562">
        <w:rPr>
          <w:rFonts w:ascii="Times New Roman" w:hAnsi="Times New Roman"/>
          <w:b/>
          <w:bCs/>
          <w:szCs w:val="20"/>
        </w:rPr>
        <w:t>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Pr="00252DDA" w:rsidR="00252DDA">
        <w:rPr>
          <w:rFonts w:ascii="Times New Roman" w:hAnsi="Times New Roman"/>
          <w:b/>
          <w:bCs/>
        </w:rPr>
        <w:t xml:space="preserve">            Výboru NR SR pre financie a rozpočet </w:t>
      </w:r>
    </w:p>
    <w:sectPr w:rsidSect="004840F4">
      <w:footerReference w:type="even" r:id="rId5"/>
      <w:footerReference w:type="default" r:id="rId6"/>
      <w:pgSz w:w="11906" w:h="16838"/>
      <w:pgMar w:top="851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44BBE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21061B47"/>
    <w:multiLevelType w:val="hybridMultilevel"/>
    <w:tmpl w:val="32E630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6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"/>
    <w:lvlOverride w:ilvl="0"/>
  </w:num>
  <w:num w:numId="11">
    <w:abstractNumId w:val="0"/>
  </w:num>
  <w:num w:numId="12">
    <w:abstractNumId w:val="11"/>
  </w:num>
  <w:num w:numId="13">
    <w:abstractNumId w:val="15"/>
  </w:num>
  <w:num w:numId="14">
    <w:abstractNumId w:val="10"/>
  </w:num>
  <w:num w:numId="15">
    <w:abstractNumId w:val="13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456E"/>
    <w:rsid w:val="00014B42"/>
    <w:rsid w:val="00015197"/>
    <w:rsid w:val="000165F6"/>
    <w:rsid w:val="00016FA1"/>
    <w:rsid w:val="00022261"/>
    <w:rsid w:val="000321C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E4C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5387"/>
    <w:rsid w:val="000F6F24"/>
    <w:rsid w:val="00101620"/>
    <w:rsid w:val="00101BB0"/>
    <w:rsid w:val="00103242"/>
    <w:rsid w:val="001078EB"/>
    <w:rsid w:val="00111F2C"/>
    <w:rsid w:val="0011217D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67107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21E0"/>
    <w:rsid w:val="001B3463"/>
    <w:rsid w:val="001B3D60"/>
    <w:rsid w:val="001B4E8A"/>
    <w:rsid w:val="001C48CF"/>
    <w:rsid w:val="001D129D"/>
    <w:rsid w:val="001D3BAA"/>
    <w:rsid w:val="001D7527"/>
    <w:rsid w:val="001D7935"/>
    <w:rsid w:val="001E00FE"/>
    <w:rsid w:val="001E0CAB"/>
    <w:rsid w:val="001E5703"/>
    <w:rsid w:val="001E5BBB"/>
    <w:rsid w:val="001E7615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30C9E"/>
    <w:rsid w:val="002468B9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47F7"/>
    <w:rsid w:val="003263CA"/>
    <w:rsid w:val="003268A9"/>
    <w:rsid w:val="00330F5A"/>
    <w:rsid w:val="0034118F"/>
    <w:rsid w:val="00342E40"/>
    <w:rsid w:val="00343894"/>
    <w:rsid w:val="00344061"/>
    <w:rsid w:val="00355366"/>
    <w:rsid w:val="003603A8"/>
    <w:rsid w:val="003606F9"/>
    <w:rsid w:val="00360750"/>
    <w:rsid w:val="003608C8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077FD"/>
    <w:rsid w:val="00410222"/>
    <w:rsid w:val="0041026E"/>
    <w:rsid w:val="00412BCE"/>
    <w:rsid w:val="0041310A"/>
    <w:rsid w:val="00413244"/>
    <w:rsid w:val="004159E6"/>
    <w:rsid w:val="00417F18"/>
    <w:rsid w:val="00421057"/>
    <w:rsid w:val="00421B64"/>
    <w:rsid w:val="00422722"/>
    <w:rsid w:val="00424E70"/>
    <w:rsid w:val="00425785"/>
    <w:rsid w:val="00432A3E"/>
    <w:rsid w:val="004338F0"/>
    <w:rsid w:val="00433D16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2E12"/>
    <w:rsid w:val="004837AE"/>
    <w:rsid w:val="004840F4"/>
    <w:rsid w:val="00484336"/>
    <w:rsid w:val="0048531C"/>
    <w:rsid w:val="0048615B"/>
    <w:rsid w:val="0048620A"/>
    <w:rsid w:val="004903E5"/>
    <w:rsid w:val="0049102C"/>
    <w:rsid w:val="0049482B"/>
    <w:rsid w:val="004A2565"/>
    <w:rsid w:val="004A2B6A"/>
    <w:rsid w:val="004A67B5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1F03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4F6E52"/>
    <w:rsid w:val="00502134"/>
    <w:rsid w:val="00502CDE"/>
    <w:rsid w:val="00503550"/>
    <w:rsid w:val="00506162"/>
    <w:rsid w:val="00506D8C"/>
    <w:rsid w:val="00513BED"/>
    <w:rsid w:val="00516EAB"/>
    <w:rsid w:val="00516ED0"/>
    <w:rsid w:val="00523682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711FB"/>
    <w:rsid w:val="0057420B"/>
    <w:rsid w:val="00575639"/>
    <w:rsid w:val="005758B7"/>
    <w:rsid w:val="00576376"/>
    <w:rsid w:val="005778A1"/>
    <w:rsid w:val="005806C0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1F5F"/>
    <w:rsid w:val="005F78C6"/>
    <w:rsid w:val="006001A0"/>
    <w:rsid w:val="00600940"/>
    <w:rsid w:val="00603921"/>
    <w:rsid w:val="0061463F"/>
    <w:rsid w:val="00614692"/>
    <w:rsid w:val="00617574"/>
    <w:rsid w:val="00617E47"/>
    <w:rsid w:val="00620FAE"/>
    <w:rsid w:val="00622128"/>
    <w:rsid w:val="006239E4"/>
    <w:rsid w:val="00623E6A"/>
    <w:rsid w:val="00625A81"/>
    <w:rsid w:val="00626D70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283B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E0226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7CE"/>
    <w:rsid w:val="00761DBC"/>
    <w:rsid w:val="00765534"/>
    <w:rsid w:val="0077356F"/>
    <w:rsid w:val="00773D68"/>
    <w:rsid w:val="007772EA"/>
    <w:rsid w:val="00791A58"/>
    <w:rsid w:val="00793D41"/>
    <w:rsid w:val="00795328"/>
    <w:rsid w:val="00795D4C"/>
    <w:rsid w:val="007A0766"/>
    <w:rsid w:val="007A0815"/>
    <w:rsid w:val="007A0CD1"/>
    <w:rsid w:val="007A1668"/>
    <w:rsid w:val="007B4C04"/>
    <w:rsid w:val="007B60BE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F8"/>
    <w:rsid w:val="0087558F"/>
    <w:rsid w:val="008757C5"/>
    <w:rsid w:val="00876FF0"/>
    <w:rsid w:val="008826ED"/>
    <w:rsid w:val="00885246"/>
    <w:rsid w:val="00885B64"/>
    <w:rsid w:val="00885BCD"/>
    <w:rsid w:val="00885FD1"/>
    <w:rsid w:val="00886B15"/>
    <w:rsid w:val="00887C67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5888"/>
    <w:rsid w:val="008D6173"/>
    <w:rsid w:val="008E6F37"/>
    <w:rsid w:val="008E7D18"/>
    <w:rsid w:val="008F215F"/>
    <w:rsid w:val="008F2932"/>
    <w:rsid w:val="008F2AA6"/>
    <w:rsid w:val="008F77C3"/>
    <w:rsid w:val="0090098C"/>
    <w:rsid w:val="009015EE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F47"/>
    <w:rsid w:val="00960E12"/>
    <w:rsid w:val="009619D9"/>
    <w:rsid w:val="009662A6"/>
    <w:rsid w:val="009706D0"/>
    <w:rsid w:val="00971E9E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01EB"/>
    <w:rsid w:val="00A41904"/>
    <w:rsid w:val="00A428FC"/>
    <w:rsid w:val="00A42BEF"/>
    <w:rsid w:val="00A43C97"/>
    <w:rsid w:val="00A440FC"/>
    <w:rsid w:val="00A44BBE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83017"/>
    <w:rsid w:val="00A8781B"/>
    <w:rsid w:val="00A9330F"/>
    <w:rsid w:val="00A93EAE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4DD5"/>
    <w:rsid w:val="00AC50DA"/>
    <w:rsid w:val="00AC75C3"/>
    <w:rsid w:val="00AC7F32"/>
    <w:rsid w:val="00AD2E86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B00F64"/>
    <w:rsid w:val="00B010CC"/>
    <w:rsid w:val="00B02AA0"/>
    <w:rsid w:val="00B03257"/>
    <w:rsid w:val="00B05862"/>
    <w:rsid w:val="00B059B4"/>
    <w:rsid w:val="00B06413"/>
    <w:rsid w:val="00B06562"/>
    <w:rsid w:val="00B0694F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ECB"/>
    <w:rsid w:val="00B71A65"/>
    <w:rsid w:val="00B75492"/>
    <w:rsid w:val="00B755F7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5226"/>
    <w:rsid w:val="00C352D0"/>
    <w:rsid w:val="00C43B6D"/>
    <w:rsid w:val="00C45404"/>
    <w:rsid w:val="00C461D0"/>
    <w:rsid w:val="00C46F91"/>
    <w:rsid w:val="00C4736A"/>
    <w:rsid w:val="00C5151A"/>
    <w:rsid w:val="00C51AB6"/>
    <w:rsid w:val="00C6169B"/>
    <w:rsid w:val="00C61D9B"/>
    <w:rsid w:val="00C63FFE"/>
    <w:rsid w:val="00C64850"/>
    <w:rsid w:val="00C71DB3"/>
    <w:rsid w:val="00C726B2"/>
    <w:rsid w:val="00C74815"/>
    <w:rsid w:val="00C76C68"/>
    <w:rsid w:val="00C821E2"/>
    <w:rsid w:val="00C84A95"/>
    <w:rsid w:val="00C865E5"/>
    <w:rsid w:val="00C87B83"/>
    <w:rsid w:val="00C91BA8"/>
    <w:rsid w:val="00C92DED"/>
    <w:rsid w:val="00CA5A36"/>
    <w:rsid w:val="00CA664D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E6895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31BCE"/>
    <w:rsid w:val="00D352D6"/>
    <w:rsid w:val="00D42F41"/>
    <w:rsid w:val="00D44F85"/>
    <w:rsid w:val="00D54C86"/>
    <w:rsid w:val="00D624A5"/>
    <w:rsid w:val="00D67C0C"/>
    <w:rsid w:val="00D81B1F"/>
    <w:rsid w:val="00D8757A"/>
    <w:rsid w:val="00D91F68"/>
    <w:rsid w:val="00D92411"/>
    <w:rsid w:val="00DA2D42"/>
    <w:rsid w:val="00DA359B"/>
    <w:rsid w:val="00DA4865"/>
    <w:rsid w:val="00DB491A"/>
    <w:rsid w:val="00DC31F2"/>
    <w:rsid w:val="00DD27CB"/>
    <w:rsid w:val="00DD3169"/>
    <w:rsid w:val="00DD7A8C"/>
    <w:rsid w:val="00DD7BFB"/>
    <w:rsid w:val="00DE45A1"/>
    <w:rsid w:val="00DE5C53"/>
    <w:rsid w:val="00DF2126"/>
    <w:rsid w:val="00DF3A85"/>
    <w:rsid w:val="00E057D6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562DD"/>
    <w:rsid w:val="00E62863"/>
    <w:rsid w:val="00E63890"/>
    <w:rsid w:val="00E65B9F"/>
    <w:rsid w:val="00E6614F"/>
    <w:rsid w:val="00E73339"/>
    <w:rsid w:val="00E74C95"/>
    <w:rsid w:val="00E82DDF"/>
    <w:rsid w:val="00E862F8"/>
    <w:rsid w:val="00E9024F"/>
    <w:rsid w:val="00E902B5"/>
    <w:rsid w:val="00E913AF"/>
    <w:rsid w:val="00E92001"/>
    <w:rsid w:val="00E92448"/>
    <w:rsid w:val="00E9528B"/>
    <w:rsid w:val="00E95AB1"/>
    <w:rsid w:val="00EA02D6"/>
    <w:rsid w:val="00EA2D7B"/>
    <w:rsid w:val="00EA3949"/>
    <w:rsid w:val="00EA539E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10E3"/>
    <w:rsid w:val="00EF2065"/>
    <w:rsid w:val="00EF588B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4415C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33DD"/>
    <w:rsid w:val="00FA4659"/>
    <w:rsid w:val="00FA4AFE"/>
    <w:rsid w:val="00FA6ADC"/>
    <w:rsid w:val="00FB4A1E"/>
    <w:rsid w:val="00FB571A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8D78-EA70-46E4-97E0-B878F24C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279</TotalTime>
  <Pages>6</Pages>
  <Words>1584</Words>
  <Characters>9032</Characters>
  <Application>Microsoft Office Word</Application>
  <DocSecurity>0</DocSecurity>
  <Lines>0</Lines>
  <Paragraphs>0</Paragraphs>
  <ScaleCrop>false</ScaleCrop>
  <Company>Kancelaria NR SR</Company>
  <LinksUpToDate>false</LinksUpToDate>
  <CharactersWithSpaces>10595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144</cp:revision>
  <cp:lastPrinted>2015-05-06T17:18:00Z</cp:lastPrinted>
  <dcterms:created xsi:type="dcterms:W3CDTF">2015-03-09T15:36:00Z</dcterms:created>
  <dcterms:modified xsi:type="dcterms:W3CDTF">2017-10-09T10:27:00Z</dcterms:modified>
</cp:coreProperties>
</file>