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EA539E">
        <w:rPr>
          <w:rFonts w:ascii="Times New Roman" w:hAnsi="Times New Roman"/>
          <w:bCs/>
        </w:rPr>
        <w:t>59</w:t>
      </w:r>
      <w:r w:rsidR="00C46F91">
        <w:rPr>
          <w:rFonts w:ascii="Times New Roman" w:hAnsi="Times New Roman"/>
          <w:bCs/>
        </w:rPr>
        <w:t>7</w:t>
      </w:r>
      <w:r w:rsidRPr="00F36DCE" w:rsidR="00092E2E">
        <w:rPr>
          <w:rFonts w:ascii="Times New Roman" w:hAnsi="Times New Roman"/>
          <w:bCs/>
        </w:rPr>
        <w:t>/201</w:t>
      </w:r>
      <w:r w:rsidR="00B06562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06562">
        <w:rPr>
          <w:rFonts w:ascii="Times New Roman" w:hAnsi="Times New Roman"/>
          <w:b/>
          <w:sz w:val="32"/>
          <w:szCs w:val="32"/>
        </w:rPr>
        <w:t>6</w:t>
      </w:r>
      <w:r w:rsidR="00EA539E">
        <w:rPr>
          <w:rFonts w:ascii="Times New Roman" w:hAnsi="Times New Roman"/>
          <w:b/>
          <w:sz w:val="32"/>
          <w:szCs w:val="32"/>
        </w:rPr>
        <w:t>5</w:t>
      </w:r>
      <w:r w:rsidR="00C46F91">
        <w:rPr>
          <w:rFonts w:ascii="Times New Roman" w:hAnsi="Times New Roman"/>
          <w:b/>
          <w:sz w:val="32"/>
          <w:szCs w:val="32"/>
        </w:rPr>
        <w:t>2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C46F91" w:rsidP="00B06562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C46F91" w:rsidR="00C46F91">
        <w:rPr>
          <w:rFonts w:ascii="Times New Roman" w:hAnsi="Times New Roman"/>
          <w:b/>
        </w:rPr>
        <w:t>vládneho návrhu zákona, ktorým sa mení a 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652)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C46F91">
      <w:pPr>
        <w:bidi w:val="0"/>
        <w:ind w:firstLine="348"/>
        <w:jc w:val="both"/>
        <w:rPr>
          <w:rFonts w:ascii="Times New Roman" w:hAnsi="Times New Roman"/>
          <w:bCs/>
          <w:iCs/>
        </w:rPr>
      </w:pPr>
      <w:r w:rsidR="00B06562">
        <w:rPr>
          <w:rFonts w:ascii="Times New Roman" w:hAnsi="Times New Roman"/>
        </w:rPr>
        <w:t xml:space="preserve">   </w:t>
      </w: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 xml:space="preserve">č. </w:t>
      </w:r>
      <w:r w:rsidR="00C46F91">
        <w:rPr>
          <w:rFonts w:ascii="Times New Roman" w:hAnsi="Times New Roman"/>
        </w:rPr>
        <w:t>764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Pr="004F6E52" w:rsidR="004E652B">
        <w:rPr>
          <w:rFonts w:ascii="Times New Roman" w:hAnsi="Times New Roman"/>
        </w:rPr>
        <w:t> </w:t>
      </w:r>
      <w:r w:rsidR="00EA539E">
        <w:rPr>
          <w:rFonts w:ascii="Times New Roman" w:hAnsi="Times New Roman"/>
        </w:rPr>
        <w:t>5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B06562">
        <w:rPr>
          <w:rFonts w:ascii="Times New Roman" w:hAnsi="Times New Roman"/>
        </w:rPr>
        <w:t>7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C46F91" w:rsidR="00C46F91">
        <w:rPr>
          <w:rFonts w:ascii="Times New Roman" w:hAnsi="Times New Roman"/>
        </w:rPr>
        <w:t>vládny návrh zákona, ktorým sa mení a 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652)</w:t>
      </w:r>
      <w:r w:rsidR="00C46F91">
        <w:rPr>
          <w:rFonts w:ascii="Times New Roman" w:hAnsi="Times New Roman"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887C67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887C67">
        <w:rPr>
          <w:rFonts w:ascii="Times New Roman" w:hAnsi="Times New Roman"/>
          <w:sz w:val="24"/>
          <w:szCs w:val="24"/>
        </w:rPr>
        <w:t>,</w:t>
      </w:r>
    </w:p>
    <w:p w:rsidR="00887C67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Výboru Národnej rady Slovenskej republi</w:t>
      </w:r>
      <w:r w:rsidR="00EA539E">
        <w:rPr>
          <w:rFonts w:ascii="Times New Roman" w:hAnsi="Times New Roman"/>
          <w:sz w:val="24"/>
          <w:szCs w:val="24"/>
        </w:rPr>
        <w:t>ky pre hospodárske záležitosti.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094AA7">
        <w:rPr>
          <w:rFonts w:ascii="Times New Roman" w:hAnsi="Times New Roman"/>
          <w:szCs w:val="20"/>
        </w:rPr>
        <w:t>204</w:t>
      </w:r>
      <w:r w:rsidR="00B06562">
        <w:rPr>
          <w:rFonts w:ascii="Times New Roman" w:hAnsi="Times New Roman"/>
          <w:szCs w:val="20"/>
        </w:rPr>
        <w:t xml:space="preserve"> zo dňa 3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4F6E52">
        <w:rPr>
          <w:rFonts w:ascii="Times New Roman" w:hAnsi="Times New Roman"/>
          <w:szCs w:val="20"/>
        </w:rPr>
        <w:t>)</w:t>
      </w:r>
    </w:p>
    <w:p w:rsidR="00A32B69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422195">
        <w:rPr>
          <w:rFonts w:ascii="Times New Roman" w:hAnsi="Times New Roman"/>
          <w:szCs w:val="20"/>
        </w:rPr>
        <w:t>280</w:t>
      </w:r>
      <w:r w:rsidRPr="00AD2E86">
        <w:rPr>
          <w:rFonts w:ascii="Times New Roman" w:hAnsi="Times New Roman"/>
          <w:szCs w:val="20"/>
        </w:rPr>
        <w:t xml:space="preserve"> zo dňa </w:t>
      </w:r>
      <w:r w:rsidR="00B06562">
        <w:rPr>
          <w:rFonts w:ascii="Times New Roman" w:hAnsi="Times New Roman"/>
          <w:szCs w:val="20"/>
        </w:rPr>
        <w:t>3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887C67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887C67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</w:t>
      </w:r>
      <w:r w:rsidRPr="00887C67">
        <w:rPr>
          <w:rFonts w:ascii="Times New Roman" w:hAnsi="Times New Roman"/>
          <w:b/>
        </w:rPr>
        <w:t>pre hospodárske záležitosti</w:t>
      </w:r>
      <w:r>
        <w:rPr>
          <w:rFonts w:ascii="Times New Roman" w:hAnsi="Times New Roman"/>
          <w:szCs w:val="20"/>
        </w:rPr>
        <w:t xml:space="preserve"> </w:t>
      </w:r>
      <w:r w:rsidRPr="00AD2E86">
        <w:rPr>
          <w:rFonts w:ascii="Times New Roman" w:hAnsi="Times New Roman"/>
          <w:szCs w:val="20"/>
        </w:rPr>
        <w:t xml:space="preserve">(uzn. č.  </w:t>
      </w:r>
      <w:r w:rsidR="00094AA7">
        <w:rPr>
          <w:rFonts w:ascii="Times New Roman" w:hAnsi="Times New Roman"/>
          <w:szCs w:val="20"/>
        </w:rPr>
        <w:t xml:space="preserve">169 </w:t>
      </w:r>
      <w:r w:rsidRPr="00AD2E86">
        <w:rPr>
          <w:rFonts w:ascii="Times New Roman" w:hAnsi="Times New Roman"/>
          <w:szCs w:val="20"/>
        </w:rPr>
        <w:t xml:space="preserve">zo dňa </w:t>
      </w:r>
      <w:r>
        <w:rPr>
          <w:rFonts w:ascii="Times New Roman" w:hAnsi="Times New Roman"/>
          <w:szCs w:val="20"/>
        </w:rPr>
        <w:t>3</w:t>
      </w:r>
      <w:r w:rsidRPr="00AD2E86">
        <w:rPr>
          <w:rFonts w:ascii="Times New Roman" w:hAnsi="Times New Roman"/>
          <w:szCs w:val="20"/>
        </w:rPr>
        <w:t>. októbra 201</w:t>
      </w:r>
      <w:r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887C67" w:rsidRPr="00AD2E86" w:rsidP="00887C67">
      <w:pPr>
        <w:bidi w:val="0"/>
        <w:ind w:left="1065"/>
        <w:jc w:val="both"/>
        <w:rPr>
          <w:rFonts w:ascii="Times New Roman" w:hAnsi="Times New Roman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0679AD" w:rsidRPr="004A67B5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7. bodu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7. bode (§ 6 ods. 4) sa vypúšťajú slová „celom texte“.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legislatívno-technicky precizuje novelizačný bod. 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19.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19.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19 ods. 6 písm. a)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slová „sa za slová“ nahrádzajú slovami „sa za prvé slová“.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legislatívno-technicky precizuje novelizačný bod. </w:t>
      </w: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25. bodu</w:t>
      </w:r>
    </w:p>
    <w:p w:rsidR="009133CA" w:rsidRPr="00117DDA" w:rsidP="00973756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25.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21 ods. 8 písm. e)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za slová „skončil výrobu“ vkladajú slová „minerálneho oleja“.</w:t>
      </w:r>
    </w:p>
    <w:p w:rsidR="009133CA" w:rsidRPr="00117DDA" w:rsidP="00973756">
      <w:pPr>
        <w:tabs>
          <w:tab w:val="left" w:pos="3402"/>
          <w:tab w:val="left" w:pos="3686"/>
        </w:tabs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73756">
      <w:pPr>
        <w:tabs>
          <w:tab w:val="left" w:pos="2835"/>
          <w:tab w:val="left" w:pos="3402"/>
        </w:tabs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</w:r>
      <w:r w:rsidRPr="00117DDA">
        <w:rPr>
          <w:rFonts w:ascii="Times New Roman" w:hAnsi="Times New Roman"/>
          <w:bCs/>
          <w:lang w:eastAsia="en-US"/>
        </w:rPr>
        <w:t>Pozmeňujúci návrh precizuje novelizačné ustanovenie.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73756">
      <w:pPr>
        <w:tabs>
          <w:tab w:val="left" w:pos="3402"/>
          <w:tab w:val="left" w:pos="3686"/>
        </w:tabs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73756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29. bodu</w:t>
      </w:r>
    </w:p>
    <w:p w:rsidR="009133CA" w:rsidRPr="00117DDA" w:rsidP="00973756">
      <w:pPr>
        <w:bidi w:val="0"/>
        <w:ind w:left="426" w:hanging="426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29.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22 ods. 14 písm. c)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vypúšťa slovo „zloženia“.</w:t>
      </w:r>
    </w:p>
    <w:p w:rsidR="009133CA" w:rsidRPr="00117DDA" w:rsidP="00973756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73756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Pozmeňovací návrh vypúšťa nadbytočné slovo v zmysle akceptovania legislatívnej skratky „upustenie od zábezpeky“ zavedenej v čl. I, 27.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22 ods. 7 písm. b)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>.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73756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73756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30. bodu</w:t>
      </w:r>
    </w:p>
    <w:p w:rsidR="009133CA" w:rsidRPr="00117DDA" w:rsidP="00973756">
      <w:pPr>
        <w:bidi w:val="0"/>
        <w:ind w:left="426" w:hanging="426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30. bode (§ 22a ods. 1) sa za slovo „vymáhanie“ vkladá slovo „dane“.</w:t>
      </w:r>
    </w:p>
    <w:p w:rsidR="009133CA" w:rsidRPr="00117DDA" w:rsidP="00973756">
      <w:pPr>
        <w:bidi w:val="0"/>
        <w:ind w:left="425" w:hanging="425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73756">
      <w:pPr>
        <w:widowControl w:val="0"/>
        <w:suppressAutoHyphens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Pozmeňujúci návrh spresňuje navrhované znenie. 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7375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30.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30. bode (§ 22a ods. 1) sa slová „podniku na výrobu minerálneho oleja“ nahrádzajú slovami „ktorý je podnikom na výrobu minerálneho oleja,“. 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Pozmeňujúci návrh štylisticky precizuje navrhované ustanovenie v zmysle platného znenia zákona (napr. § 22 ods. 11).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73756">
      <w:pPr>
        <w:bidi w:val="0"/>
        <w:ind w:left="2124" w:firstLine="708"/>
        <w:rPr>
          <w:rFonts w:ascii="Times New Roman" w:hAnsi="Times New Roman"/>
          <w:bCs/>
          <w:lang w:eastAsia="en-US"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bidi w:val="0"/>
        <w:ind w:left="3686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 xml:space="preserve">K čl. I, 31. a 35. bodu </w:t>
      </w:r>
    </w:p>
    <w:p w:rsidR="009133CA" w:rsidRPr="00117DDA" w:rsidP="009133CA">
      <w:pPr>
        <w:bidi w:val="0"/>
        <w:contextualSpacing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31.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23 ods. 1 písm. a)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slovo „uvedené“ nahrádza slovom „uvedenom“ a v 35. bode (§ 24 ods. 15) sa slovo „uvedené“ nahrádza slovom „uvedeného“.</w:t>
      </w:r>
    </w:p>
    <w:p w:rsidR="009133CA" w:rsidRPr="00117DDA" w:rsidP="009133CA">
      <w:pPr>
        <w:bidi w:val="0"/>
        <w:ind w:left="425" w:hanging="425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ind w:left="2124" w:firstLine="708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gramatickej povahy. 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425" w:hanging="425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36. a 45.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36. bode (§ 24a ods. 4) a 45. bode (§ 25c ods. 1) sa slová „podnikom na výrobu minerálneho oleja“ nahrádzajú slovami „ktorý je podnikom na výrobu minerálneho oleja,“. 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Pozmeňujúci návrh štylisticky precizuje navrhované ustanovenie v zmysle platného znenia zákona (napr. § 22 ods. 11).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44. bode (§ 25b ods. 1) sa slová „na základe platného povolenia na distribúciu, ktoré mu vydal colný úrad“ nahrádzajú slovami „na základe povolenia na distribúciu“ a v 44. bode (§ 25b ods. 4) sa slová „na základe platného povolenia na predaj, ktoré mu vydal colný úrad“  nahrádzajú slovami „na základe povolenia na predaj“.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Pozmeňovací návrh vypúšťa nadbytočné slová, vzhľadom na zavedenie legislatívnych skratiek (čl. I, 44. bod - § 25b ods. 1 a 4).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B742D">
        <w:rPr>
          <w:rFonts w:ascii="Times New Roman" w:hAnsi="Times New Roman"/>
        </w:rPr>
        <w:t>V čl. I 44. bode, § 25b ods. 6</w:t>
      </w:r>
      <w:r w:rsidRPr="00117DDA">
        <w:rPr>
          <w:rFonts w:ascii="Times New Roman" w:hAnsi="Times New Roman"/>
        </w:rPr>
        <w:t xml:space="preserve"> písm. d) sa slová „čerpacej stanice“ nahrádzajú slovami „miesta určeného na predaj minerálneho oleja uvedeného v § 6 ods. 1 písm. a), d) a f) alebo v § 7 ods. 1 a 2“.</w:t>
      </w:r>
    </w:p>
    <w:p w:rsidR="009133CA" w:rsidP="009133CA">
      <w:pPr>
        <w:bidi w:val="0"/>
        <w:jc w:val="both"/>
        <w:rPr>
          <w:rFonts w:ascii="Times New Roman" w:hAnsi="Times New Roman"/>
        </w:rPr>
      </w:pPr>
    </w:p>
    <w:p w:rsidR="009133CA" w:rsidRPr="00117DDA" w:rsidP="009133CA">
      <w:pPr>
        <w:bidi w:val="0"/>
        <w:ind w:left="2832"/>
        <w:jc w:val="both"/>
        <w:rPr>
          <w:rFonts w:ascii="Times New Roman" w:hAnsi="Times New Roman"/>
          <w:color w:val="000000"/>
          <w:lang w:eastAsia="en-US"/>
        </w:rPr>
      </w:pPr>
      <w:r w:rsidRPr="00117DDA">
        <w:rPr>
          <w:rFonts w:ascii="Times New Roman" w:hAnsi="Times New Roman"/>
          <w:color w:val="000000"/>
        </w:rPr>
        <w:t xml:space="preserve">Navrhovanou úpravou sa legislatívno-technicky zabezpečuje zosúladenie pojmov vo vládnom návrhu zákona. </w:t>
      </w:r>
      <w:r w:rsidRPr="00117DDA">
        <w:rPr>
          <w:rFonts w:ascii="Times New Roman" w:hAnsi="Times New Roman"/>
          <w:color w:val="000000"/>
          <w:lang w:eastAsia="en-US"/>
        </w:rPr>
        <w:t>Úprava vyplynula zo stanoviska Odboru legislatívy a aproximácie práva Kancelárie Národnej rady Slovenskej republiky.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44.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25b ods. 7 písm. a)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slová „pohonné látky,“ nahrádzajú slovami „minerálny olej </w:t>
      </w:r>
      <w:r w:rsidRPr="00117DDA">
        <w:rPr>
          <w:rFonts w:ascii="Times New Roman" w:hAnsi="Times New Roman"/>
          <w:bCs/>
          <w:color w:val="000000"/>
          <w:lang w:eastAsia="en-US"/>
        </w:rPr>
        <w:t>uvedený v § 6 ods. 1 písm. a), d) a f) alebo § 7 ods. 1 a 2</w:t>
      </w:r>
      <w:r w:rsidRPr="00117DDA">
        <w:rPr>
          <w:rFonts w:ascii="Times New Roman" w:hAnsi="Times New Roman"/>
          <w:bCs/>
          <w:lang w:eastAsia="en-US"/>
        </w:rPr>
        <w:t xml:space="preserve">,“. 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Pozmeňujúci návrh štylisticky precizuje navrhované ustanovenie v zmysle znenia § 25b ods. 7 písm. b) (čl. I, 44. bod návrhu zákona). 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3686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44.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25b ods. 7 písm. b)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za slová „na účely oslobodené“ vkladajú slová „od dane“.</w:t>
      </w:r>
    </w:p>
    <w:p w:rsidR="00973756" w:rsidP="009133CA">
      <w:pPr>
        <w:widowControl w:val="0"/>
        <w:suppressAutoHyphens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Pozmeňujúci návrh spresňuje navrhované znenie. 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</w:p>
    <w:p w:rsidR="009133CA" w:rsidRPr="000116D6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0116D6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0116D6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  <w:r w:rsidRPr="000116D6">
        <w:rPr>
          <w:rFonts w:ascii="Times New Roman" w:hAnsi="Times New Roman"/>
          <w:bCs/>
          <w:lang w:eastAsia="en-US"/>
        </w:rPr>
        <w:t xml:space="preserve">V čl. I, 44. bode </w:t>
      </w:r>
      <w:r w:rsidRPr="000116D6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0116D6">
        <w:rPr>
          <w:rFonts w:ascii="Times New Roman" w:hAnsi="Times New Roman"/>
          <w:bCs/>
          <w:lang w:eastAsia="en-US"/>
        </w:rPr>
        <w:t>§ 25b ods. 7 písm. b) a c)</w:t>
      </w:r>
      <w:r w:rsidRPr="000116D6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0116D6">
        <w:rPr>
          <w:rFonts w:ascii="Times New Roman" w:hAnsi="Times New Roman"/>
          <w:bCs/>
          <w:lang w:eastAsia="en-US"/>
        </w:rPr>
        <w:t xml:space="preserve"> sa vypúšťajú slová „podľa odseku 1“.</w:t>
      </w:r>
    </w:p>
    <w:p w:rsidR="009133CA" w:rsidRPr="000116D6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0116D6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0116D6">
        <w:rPr>
          <w:rFonts w:ascii="Times New Roman" w:hAnsi="Times New Roman"/>
          <w:bCs/>
          <w:lang w:eastAsia="en-US"/>
        </w:rPr>
        <w:t xml:space="preserve">Pozmeňujúci návrh vypúšťa nadbytočný vnútorný odkaz. </w:t>
      </w:r>
    </w:p>
    <w:p w:rsidR="009133CA" w:rsidRPr="000116D6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Gestorský výbor odporúča </w:t>
      </w:r>
      <w:r w:rsidRPr="00501C94" w:rsidR="00973756">
        <w:rPr>
          <w:rFonts w:ascii="Times New Roman" w:hAnsi="Times New Roman"/>
          <w:b/>
        </w:rPr>
        <w:t>ne</w:t>
      </w:r>
      <w:r w:rsidRPr="00501C94">
        <w:rPr>
          <w:rFonts w:ascii="Times New Roman" w:hAnsi="Times New Roman"/>
          <w:b/>
        </w:rPr>
        <w:t>schváliť.</w:t>
      </w:r>
    </w:p>
    <w:p w:rsidR="009133CA" w:rsidRPr="000116D6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0116D6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0116D6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0116D6" w:rsidP="009133CA">
      <w:pPr>
        <w:tabs>
          <w:tab w:val="left" w:pos="284"/>
        </w:tabs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0116D6">
        <w:rPr>
          <w:rFonts w:ascii="Times New Roman" w:hAnsi="Times New Roman"/>
          <w:bCs/>
          <w:lang w:eastAsia="en-US"/>
        </w:rPr>
        <w:t xml:space="preserve">V čl. I, 44. bode </w:t>
      </w:r>
      <w:r w:rsidRPr="000116D6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0116D6">
        <w:rPr>
          <w:rFonts w:ascii="Times New Roman" w:hAnsi="Times New Roman"/>
          <w:bCs/>
          <w:lang w:eastAsia="en-US"/>
        </w:rPr>
        <w:t>§ 25b ods. 7 písm. c)</w:t>
      </w:r>
      <w:r w:rsidRPr="000116D6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0116D6">
        <w:rPr>
          <w:rFonts w:ascii="Times New Roman" w:hAnsi="Times New Roman"/>
          <w:bCs/>
          <w:lang w:eastAsia="en-US"/>
        </w:rPr>
        <w:t xml:space="preserve"> sa slová „pohonných látok uvedený“ nahrádzajú slovami „minerálneho oleja uvedeného“.</w:t>
      </w:r>
    </w:p>
    <w:p w:rsidR="009133CA" w:rsidRPr="000116D6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0116D6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0116D6">
        <w:rPr>
          <w:rFonts w:ascii="Times New Roman" w:hAnsi="Times New Roman"/>
          <w:bCs/>
          <w:lang w:eastAsia="en-US"/>
        </w:rPr>
        <w:t xml:space="preserve">Pozmeňujúci návrh štylisticky precizuje navrhované ustanovenie v zmysle znenia § 25b ods. 7 písm. b) (čl. I, 44. bod návrhu zákona), na ktoré aj explicitne odkazuje. 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Gestorský výbor odporúča </w:t>
      </w:r>
      <w:r w:rsidRPr="00501C94" w:rsidR="00973756">
        <w:rPr>
          <w:rFonts w:ascii="Times New Roman" w:hAnsi="Times New Roman"/>
          <w:b/>
        </w:rPr>
        <w:t>neschváliť.</w:t>
      </w:r>
    </w:p>
    <w:p w:rsidR="009133CA" w:rsidP="009133CA">
      <w:pPr>
        <w:bidi w:val="0"/>
        <w:ind w:left="3686"/>
        <w:contextualSpacing/>
        <w:jc w:val="both"/>
        <w:rPr>
          <w:rFonts w:ascii="Times New Roman" w:hAnsi="Times New Roman"/>
          <w:bCs/>
          <w:color w:val="FF0000"/>
          <w:lang w:eastAsia="en-US"/>
        </w:rPr>
      </w:pPr>
    </w:p>
    <w:p w:rsidR="00973756" w:rsidRPr="004E2BF6" w:rsidP="009133CA">
      <w:pPr>
        <w:bidi w:val="0"/>
        <w:ind w:left="3686"/>
        <w:contextualSpacing/>
        <w:jc w:val="both"/>
        <w:rPr>
          <w:rFonts w:ascii="Times New Roman" w:hAnsi="Times New Roman"/>
          <w:bCs/>
          <w:color w:val="FF0000"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0116D6" w:rsidP="009133C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116D6">
        <w:rPr>
          <w:rFonts w:ascii="Times New Roman" w:hAnsi="Times New Roman"/>
        </w:rPr>
        <w:t>V čl. I 44. bode, § 25b ods. 7 písmeno c) znie:</w:t>
      </w:r>
    </w:p>
    <w:p w:rsidR="009133CA" w:rsidRPr="000116D6" w:rsidP="009133CA">
      <w:pPr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0116D6">
        <w:rPr>
          <w:rFonts w:ascii="Times New Roman" w:hAnsi="Times New Roman"/>
        </w:rPr>
        <w:t>„c) má splatené vklady do základného imania v minimálnej výške 500 000 eur, ak je právnickou osobou alebo nakupuje a predáva v rámci podnikania minerálny olej uvedený v § 6 ods. 1 písm. a) a d) alebo v § 7 ods. 1 a 2 minimálne jeden rok pred podaním žiadosti o vydanie povolenia na distribúciu, ak je fyzickou osobou; to platí, ak žiadateľ o vydanie povolenia na distribúciu v čase podania žiadosti o vydanie povolenia na distribúciu nedosahuje ročný objem predaja minerálneho oleja uvedeného v písmene b),“.</w:t>
      </w:r>
    </w:p>
    <w:p w:rsidR="009133CA" w:rsidP="009133CA">
      <w:pPr>
        <w:bidi w:val="0"/>
        <w:jc w:val="both"/>
        <w:rPr>
          <w:rFonts w:ascii="Times New Roman" w:hAnsi="Times New Roman"/>
        </w:rPr>
      </w:pPr>
    </w:p>
    <w:p w:rsidR="009133CA" w:rsidRPr="000116D6" w:rsidP="009133CA">
      <w:pPr>
        <w:bidi w:val="0"/>
        <w:ind w:left="2832"/>
        <w:jc w:val="both"/>
        <w:rPr>
          <w:rFonts w:ascii="Times New Roman" w:hAnsi="Times New Roman"/>
          <w:lang w:eastAsia="en-US"/>
        </w:rPr>
      </w:pPr>
      <w:r w:rsidRPr="000116D6">
        <w:rPr>
          <w:rFonts w:ascii="Times New Roman" w:hAnsi="Times New Roman"/>
        </w:rPr>
        <w:t xml:space="preserve">S ohľadom na skutočnosť, že žiadateľom o vydanie povolenia na distribúciu môže byť aj fyzická osoba - podnikateľ je pôvodne navrhovaná podmienka nesplniteľná, nakoľko základné imanie v zmysle Obchodného zákonníka (najmä § 58 a nasl. a § 223 a nasl.) je vytvárané výhradne obchodnými spoločnosťami ako súhrn peňažných i nepeňažných vkladov všetkých spoločníkov. Z uvedeného dôvodu sa navrhuje doplniť aj dočasná podmienka pre fyzickú osobu - podnikateľa, ktorý v čase podania žiadosti o vydanie povolenia na distribúciu nedosahuje ročný objem predaja minerálneho oleja uvedeného v písmene b). </w:t>
      </w:r>
      <w:r w:rsidRPr="000116D6">
        <w:rPr>
          <w:rFonts w:ascii="Times New Roman" w:hAnsi="Times New Roman"/>
          <w:lang w:eastAsia="en-US"/>
        </w:rPr>
        <w:t>Úprava vyplynula zo stanoviska Odboru legislatívy a aproximácie práva Kancelárie Národnej rady Slovenskej republiky.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44.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25b ods. 10 písm. e)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slovo „skončení“ nahrádza slovom „ukončení“. 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P="009133CA">
      <w:pPr>
        <w:widowControl w:val="0"/>
        <w:tabs>
          <w:tab w:val="center" w:pos="2835"/>
          <w:tab w:val="right" w:pos="9072"/>
        </w:tabs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                                              </w:t>
      </w:r>
      <w:r w:rsidRPr="00117DDA">
        <w:rPr>
          <w:rFonts w:ascii="Times New Roman" w:hAnsi="Times New Roman"/>
          <w:bCs/>
        </w:rPr>
        <w:t xml:space="preserve">Pozmeňujúci návrh zjednocuje pojmy použité v návrhu zákona </w:t>
      </w:r>
    </w:p>
    <w:p w:rsidR="009133CA" w:rsidP="009133CA">
      <w:pPr>
        <w:widowControl w:val="0"/>
        <w:tabs>
          <w:tab w:val="center" w:pos="2835"/>
          <w:tab w:val="right" w:pos="9072"/>
        </w:tabs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ab/>
      </w:r>
      <w:r w:rsidRPr="00117DDA">
        <w:rPr>
          <w:rFonts w:ascii="Times New Roman" w:hAnsi="Times New Roman"/>
          <w:bCs/>
        </w:rPr>
        <w:t xml:space="preserve">s pojmami v jeho platnom znení 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B"/>
      </w:r>
      <w:r w:rsidRPr="00117DDA">
        <w:rPr>
          <w:rFonts w:ascii="Times New Roman" w:hAnsi="Times New Roman"/>
          <w:bCs/>
        </w:rPr>
        <w:t xml:space="preserve">napr. § 11 ods. 12 písm. e), § 21 </w:t>
      </w:r>
    </w:p>
    <w:p w:rsidR="009133CA" w:rsidRPr="00117DDA" w:rsidP="009133CA">
      <w:pPr>
        <w:widowControl w:val="0"/>
        <w:tabs>
          <w:tab w:val="center" w:pos="2410"/>
          <w:tab w:val="left" w:pos="2835"/>
          <w:tab w:val="right" w:pos="9072"/>
        </w:tabs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ab/>
      </w:r>
      <w:r w:rsidRPr="00117DDA">
        <w:rPr>
          <w:rFonts w:ascii="Times New Roman" w:hAnsi="Times New Roman"/>
          <w:bCs/>
        </w:rPr>
        <w:t>ods. 7 písm. a)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D"/>
      </w:r>
      <w:r w:rsidRPr="00117DDA">
        <w:rPr>
          <w:rFonts w:ascii="Times New Roman" w:hAnsi="Times New Roman"/>
          <w:bCs/>
        </w:rPr>
        <w:t>.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44. bode 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B"/>
      </w:r>
      <w:r w:rsidRPr="00117DDA">
        <w:rPr>
          <w:rFonts w:ascii="Times New Roman" w:hAnsi="Times New Roman"/>
          <w:bCs/>
          <w:lang w:eastAsia="en-US"/>
        </w:rPr>
        <w:t>§ 25b ods. 14 písm. a)</w:t>
      </w:r>
      <w:r w:rsidRPr="00117DDA">
        <w:rPr>
          <w:rFonts w:ascii="Symbol" w:eastAsia="Times New Roman" w:hAnsi="Symbol" w:cs="Times New Roman"/>
          <w:bCs/>
          <w:rtl w:val="0"/>
          <w:lang w:eastAsia="en-US"/>
        </w:rPr>
        <w:sym w:font="Symbol" w:char="F05D"/>
      </w:r>
      <w:r w:rsidRPr="00117DDA">
        <w:rPr>
          <w:rFonts w:ascii="Times New Roman" w:hAnsi="Times New Roman"/>
          <w:bCs/>
          <w:lang w:eastAsia="en-US"/>
        </w:rPr>
        <w:t xml:space="preserve"> sa slová „nadobudnutého, dodaného“ nahrádzajú slovami „nadobudnutého a dodaného minerálneho oleja uvedeného v § 6 ods. 1 písm. a), d) a f) alebo v § 7 ods. 1 a 2“.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precizuje formuláciu povinnosti distribútora pohonných látok v zmysle znenia ďalších jeho povinností v rámci § 25b ods. 14 (čl. I, 44. bod návrhu zákona). 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Cs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</w:t>
      </w:r>
      <w:r w:rsidRPr="000116D6">
        <w:rPr>
          <w:rFonts w:ascii="Times New Roman" w:hAnsi="Times New Roman"/>
        </w:rPr>
        <w:t>44</w:t>
      </w:r>
      <w:r>
        <w:rPr>
          <w:rFonts w:ascii="Times New Roman" w:hAnsi="Times New Roman"/>
        </w:rPr>
        <w:t>.bode</w:t>
      </w:r>
      <w:r w:rsidRPr="000116D6">
        <w:rPr>
          <w:rFonts w:ascii="Times New Roman" w:hAnsi="Times New Roman"/>
        </w:rPr>
        <w:t xml:space="preserve"> § 25b ods. 15</w:t>
      </w:r>
      <w:r w:rsidRPr="00117DDA">
        <w:rPr>
          <w:rFonts w:ascii="Times New Roman" w:hAnsi="Times New Roman"/>
        </w:rPr>
        <w:t xml:space="preserve"> písm. b) sa slová „predaja pohonných látok“ nahrádzajú slovami „určenom na predaj minerálneho oleja uvedeného v § 6 ods. 1 písm. a), d) a f) alebo v § 7 ods. 1 a 2“.</w:t>
      </w:r>
    </w:p>
    <w:p w:rsidR="009133CA" w:rsidP="00005735">
      <w:pPr>
        <w:bidi w:val="0"/>
        <w:ind w:left="2832"/>
        <w:jc w:val="both"/>
        <w:rPr>
          <w:rFonts w:ascii="Times New Roman" w:hAnsi="Times New Roman"/>
          <w:color w:val="000000"/>
          <w:lang w:eastAsia="en-US"/>
        </w:rPr>
      </w:pPr>
      <w:r w:rsidRPr="00117DDA">
        <w:rPr>
          <w:rFonts w:ascii="Times New Roman" w:hAnsi="Times New Roman"/>
        </w:rPr>
        <w:t xml:space="preserve">Navrhovanou úpravou sa legislatívno-technicky zabezpečuje zosúladenie pojmov vo vládnom návrhu zákona. </w:t>
      </w:r>
      <w:r w:rsidRPr="00117DDA">
        <w:rPr>
          <w:rFonts w:ascii="Times New Roman" w:hAnsi="Times New Roman"/>
          <w:color w:val="000000"/>
          <w:lang w:eastAsia="en-US"/>
        </w:rPr>
        <w:t>Úprava vyplynula zo stanoviska Odboru legislatívy a aproximácie práva Kancelárie Národnej rady Slovenskej republiky.</w:t>
      </w:r>
    </w:p>
    <w:p w:rsidR="009133CA" w:rsidP="009133CA">
      <w:pPr>
        <w:bidi w:val="0"/>
        <w:ind w:left="3540"/>
        <w:jc w:val="both"/>
        <w:rPr>
          <w:rFonts w:ascii="Times New Roman" w:hAnsi="Times New Roman"/>
          <w:color w:val="000000"/>
          <w:lang w:eastAsia="en-US"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73756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3540"/>
        <w:jc w:val="both"/>
        <w:rPr>
          <w:rFonts w:ascii="Times New Roman" w:hAnsi="Times New Roman"/>
          <w:color w:val="000000"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44. bode (§ 25b ods. 16 úvodnej vete) sa za slovo „nakupovať“ vkladajú slová „alebo inak odoberať“. </w:t>
      </w:r>
    </w:p>
    <w:p w:rsidR="009133CA" w:rsidRPr="00117DDA" w:rsidP="00005735">
      <w:pPr>
        <w:widowControl w:val="0"/>
        <w:suppressAutoHyphens/>
        <w:autoSpaceDE w:val="0"/>
        <w:autoSpaceDN w:val="0"/>
        <w:bidi w:val="0"/>
        <w:adjustRightInd w:val="0"/>
        <w:ind w:left="2832" w:firstLine="3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Pozmeňujúci návrh harmonizuje pojmy použité v jednotlivých ustanoveniach návrhu zákona 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B"/>
      </w:r>
      <w:r w:rsidRPr="00117DDA">
        <w:rPr>
          <w:rFonts w:ascii="Times New Roman" w:hAnsi="Times New Roman"/>
          <w:bCs/>
        </w:rPr>
        <w:t>napr. čl. I, 44. bod - § 25b ods. 16, písm. b) a c)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D"/>
      </w:r>
      <w:r w:rsidRPr="00117DDA">
        <w:rPr>
          <w:rFonts w:ascii="Times New Roman" w:hAnsi="Times New Roman"/>
          <w:bCs/>
        </w:rPr>
        <w:t>.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44. bode (§ 25b ods. 16 úvodnej vete) sa slová „minerálny olej v spotrebiteľských baleniach“ nahrádzajú slovami „minerálny olej v uzavretých spotrebiteľských baleniach“. 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005735">
      <w:pPr>
        <w:widowControl w:val="0"/>
        <w:tabs>
          <w:tab w:val="center" w:pos="2835"/>
          <w:tab w:val="right" w:pos="7230"/>
        </w:tabs>
        <w:suppressAutoHyphens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="00005735">
        <w:rPr>
          <w:rFonts w:ascii="Times New Roman" w:hAnsi="Times New Roman"/>
          <w:bCs/>
        </w:rPr>
        <w:tab/>
        <w:tab/>
      </w:r>
      <w:r w:rsidRPr="00117DDA">
        <w:rPr>
          <w:rFonts w:ascii="Times New Roman" w:hAnsi="Times New Roman"/>
          <w:bCs/>
        </w:rPr>
        <w:t xml:space="preserve">Pozmeňujúci návrh harmonizuje pojmy použité v jednotlivých ustanoveniach návrhu zákona 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B"/>
      </w:r>
      <w:r w:rsidRPr="00117DDA">
        <w:rPr>
          <w:rFonts w:ascii="Times New Roman" w:hAnsi="Times New Roman"/>
          <w:bCs/>
        </w:rPr>
        <w:t>napr. čl. I, 44. bod - § 25b ods. 8 a ods. 18 písm. a)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D"/>
      </w:r>
      <w:r w:rsidRPr="00117DDA">
        <w:rPr>
          <w:rFonts w:ascii="Times New Roman" w:hAnsi="Times New Roman"/>
          <w:bCs/>
        </w:rPr>
        <w:t>.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44.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44. bode (§ 25b ods. 21) sa slová „platným povolením na distribúciu pohonných látok“ nahrádzajú slovami „povolením na distribúciu“.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005735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Pozmeňovací návrh vypúšťa nadbytočné slová, vzhľadom na zavedenie legislatívnej skratky v čl. I, 44. bode - § 25b ods. 1. </w:t>
      </w:r>
    </w:p>
    <w:p w:rsidR="00973756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73756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973756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973756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50. bodu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I, 50. bode (§ 40 ods. 9) sa vypúšťajú slová „ako v ods. 1“.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005735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Pozmeňujúci návrh vypúšťa nadbytočné a zmätočne pôsobiace slová. 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66.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66. bode (§ 46q ods. 2 úvodnej vete) sa slová „alebo povolenia“ nahrádzajú slovami „alebo držiteľ povolenia“.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005735">
      <w:pPr>
        <w:bidi w:val="0"/>
        <w:ind w:left="2124" w:firstLine="708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Pozmeňujúci návrh štylisticky koriguje citované ustanovenie.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66.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66. bode (§ 46q ods. 5) sa slová „povolenie predaj“ nahrádzajú slovami „povolenie na predaj“.</w:t>
      </w:r>
    </w:p>
    <w:p w:rsidR="009133CA" w:rsidRPr="00117DDA" w:rsidP="00005735">
      <w:pPr>
        <w:widowControl w:val="0"/>
        <w:suppressAutoHyphens/>
        <w:autoSpaceDE w:val="0"/>
        <w:autoSpaceDN w:val="0"/>
        <w:bidi w:val="0"/>
        <w:adjustRightInd w:val="0"/>
        <w:ind w:left="2124" w:firstLine="708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gramatickej povahy. 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I, 66. bodu</w:t>
      </w:r>
    </w:p>
    <w:p w:rsidR="009133CA" w:rsidRPr="00117DDA" w:rsidP="009133CA">
      <w:pPr>
        <w:bidi w:val="0"/>
        <w:contextualSpacing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I, 66. bode (§ 46q ods. 8) sa slová „k 31. marcu 2018“ nahrádzajú slovami „do 31. marca 2018“.</w:t>
      </w:r>
    </w:p>
    <w:p w:rsidR="009133CA" w:rsidRPr="00117DDA" w:rsidP="00005735">
      <w:pPr>
        <w:widowControl w:val="0"/>
        <w:suppressAutoHyphens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  <w:b/>
          <w:bCs/>
        </w:rPr>
      </w:pPr>
      <w:r w:rsidRPr="00117DDA">
        <w:rPr>
          <w:rFonts w:ascii="Times New Roman" w:hAnsi="Times New Roman"/>
          <w:bCs/>
        </w:rPr>
        <w:t>Pozmeňujúci návrh precizuje znenie prechodného ustanovenia.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bidi w:val="0"/>
        <w:ind w:left="3686"/>
        <w:contextualSpacing/>
        <w:rPr>
          <w:rFonts w:ascii="Times New Roman" w:hAnsi="Times New Roman"/>
          <w:bCs/>
          <w:lang w:eastAsia="en-US"/>
        </w:rPr>
      </w:pPr>
    </w:p>
    <w:p w:rsidR="00973756" w:rsidP="009133CA">
      <w:pPr>
        <w:bidi w:val="0"/>
        <w:ind w:left="3686"/>
        <w:contextualSpacing/>
        <w:rPr>
          <w:rFonts w:ascii="Times New Roman" w:hAnsi="Times New Roman"/>
          <w:bCs/>
          <w:lang w:eastAsia="en-US"/>
        </w:rPr>
      </w:pPr>
    </w:p>
    <w:p w:rsidR="00973756" w:rsidP="009133CA">
      <w:pPr>
        <w:bidi w:val="0"/>
        <w:ind w:left="3686"/>
        <w:contextualSpacing/>
        <w:rPr>
          <w:rFonts w:ascii="Times New Roman" w:hAnsi="Times New Roman"/>
          <w:bCs/>
          <w:lang w:eastAsia="en-US"/>
        </w:rPr>
      </w:pPr>
    </w:p>
    <w:p w:rsidR="00973756" w:rsidP="009133CA">
      <w:pPr>
        <w:bidi w:val="0"/>
        <w:ind w:left="3686"/>
        <w:contextualSpacing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II, 1. bodu</w:t>
      </w:r>
    </w:p>
    <w:p w:rsidR="009133CA" w:rsidRPr="00117DDA" w:rsidP="009133CA">
      <w:pPr>
        <w:bidi w:val="0"/>
        <w:ind w:left="426" w:hanging="426"/>
        <w:contextualSpacing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>V čl. II, 1. bode (§ 14a ods. 3) sa vypúšťajú slová „ich energetický obsah“.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005735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Pozmeňujúci návrh vypúšťa nadbytočné a zmätočne pôsobiace slová. 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II, 1. bodu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V čl. II, 1. bode (§ 14a ods. 4) sa slová „ktorá príslušnom“ nahrádzajú slovami „ktorá v príslušnom“. </w:t>
      </w:r>
    </w:p>
    <w:p w:rsidR="009133CA" w:rsidRPr="00117DDA" w:rsidP="00005735">
      <w:pPr>
        <w:widowControl w:val="0"/>
        <w:suppressAutoHyphens/>
        <w:autoSpaceDE w:val="0"/>
        <w:autoSpaceDN w:val="0"/>
        <w:bidi w:val="0"/>
        <w:adjustRightInd w:val="0"/>
        <w:ind w:left="2124" w:firstLine="708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gramatickej povahy. 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RPr="000116D6" w:rsidP="009133CA">
      <w:pPr>
        <w:numPr>
          <w:numId w:val="17"/>
        </w:numPr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b/>
        </w:rPr>
      </w:pPr>
      <w:r w:rsidRPr="000116D6">
        <w:rPr>
          <w:rFonts w:ascii="Times New Roman" w:hAnsi="Times New Roman"/>
          <w:b/>
        </w:rPr>
        <w:t>K čl. II, 1. bodu</w:t>
      </w:r>
    </w:p>
    <w:p w:rsidR="009133CA" w:rsidRPr="00117DDA" w:rsidP="009133CA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116D6">
        <w:rPr>
          <w:rFonts w:ascii="Times New Roman" w:hAnsi="Times New Roman"/>
        </w:rPr>
        <w:t>V čl. II 1. bode, § 14a ods. 5</w:t>
      </w:r>
      <w:r w:rsidRPr="00117DDA">
        <w:rPr>
          <w:rFonts w:ascii="Times New Roman" w:hAnsi="Times New Roman"/>
        </w:rPr>
        <w:t xml:space="preserve"> písm. a) sa slová „ich </w:t>
      </w:r>
      <w:r w:rsidRPr="00117DDA">
        <w:rPr>
          <w:rFonts w:ascii="Times New Roman" w:hAnsi="Times New Roman"/>
          <w:color w:val="000000"/>
        </w:rPr>
        <w:t>obchodné meno, sídlo a identifikačné číslo“ nahrádzajú slovami</w:t>
      </w:r>
      <w:r w:rsidRPr="00117DDA">
        <w:rPr>
          <w:rFonts w:ascii="Times New Roman" w:hAnsi="Times New Roman"/>
        </w:rPr>
        <w:t xml:space="preserve"> „obchodné meno, sídlo a identifikačné číslo právnickej osoby, meno, priezvisko, adresu trvalého pobytu a identifikačné číslo fyzickej osoby</w:t>
      </w:r>
      <w:bookmarkStart w:id="0" w:name="p_3.5.d"/>
      <w:bookmarkEnd w:id="0"/>
      <w:r w:rsidRPr="00117DDA">
        <w:rPr>
          <w:rFonts w:ascii="Times New Roman" w:hAnsi="Times New Roman"/>
        </w:rPr>
        <w:t>“.</w:t>
      </w:r>
    </w:p>
    <w:p w:rsidR="00005735" w:rsidP="00005735">
      <w:pPr>
        <w:bidi w:val="0"/>
        <w:jc w:val="both"/>
        <w:rPr>
          <w:rFonts w:ascii="Times New Roman" w:hAnsi="Times New Roman"/>
        </w:rPr>
      </w:pPr>
    </w:p>
    <w:p w:rsidR="009133CA" w:rsidRPr="00117DDA" w:rsidP="00005735">
      <w:pPr>
        <w:bidi w:val="0"/>
        <w:ind w:left="2832"/>
        <w:jc w:val="both"/>
        <w:rPr>
          <w:rFonts w:ascii="Times New Roman" w:hAnsi="Times New Roman"/>
          <w:color w:val="000000"/>
          <w:lang w:eastAsia="en-US"/>
        </w:rPr>
      </w:pPr>
      <w:r w:rsidRPr="00117DDA">
        <w:rPr>
          <w:rFonts w:ascii="Times New Roman" w:hAnsi="Times New Roman"/>
        </w:rPr>
        <w:t xml:space="preserve">Navrhovanou úpravou sa legislatívno-technicky upravuje, že Finančné riaditeľstvo Slovenskej republiky bude zasielať Ministerstvu hospodárstva Slovenskej republiky zoznam všetkých osôb nielen právnických  osôb ale aj fyzických osôb – podnikateľov, čo vo vládnom návrh zákona nebolo jednoznačne ustanovené. </w:t>
      </w:r>
      <w:r w:rsidRPr="00117DDA">
        <w:rPr>
          <w:rFonts w:ascii="Times New Roman" w:hAnsi="Times New Roman"/>
          <w:color w:val="000000"/>
          <w:lang w:eastAsia="en-US"/>
        </w:rPr>
        <w:t>Úprava vyplynula zo stanoviska Odboru legislatívy a aproximácie práva Kancelárie Národnej rady Slovenskej republiky.</w:t>
      </w:r>
    </w:p>
    <w:p w:rsidR="00005735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73756" w:rsidP="009133CA">
      <w:pPr>
        <w:bidi w:val="0"/>
        <w:ind w:left="2124" w:firstLine="708"/>
        <w:rPr>
          <w:rFonts w:ascii="Times New Roman" w:hAnsi="Times New Roman"/>
          <w:b/>
        </w:rPr>
      </w:pPr>
    </w:p>
    <w:p w:rsidR="009133CA" w:rsidP="009133CA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II, 1. bodu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V čl. II, 1. bode 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B"/>
      </w:r>
      <w:r w:rsidRPr="00117DDA">
        <w:rPr>
          <w:rFonts w:ascii="Times New Roman" w:hAnsi="Times New Roman"/>
          <w:bCs/>
        </w:rPr>
        <w:t>§ 14a ods. 5 písm. c)</w:t>
      </w:r>
      <w:r w:rsidRPr="00117DDA">
        <w:rPr>
          <w:rFonts w:ascii="Symbol" w:eastAsia="Times New Roman" w:hAnsi="Symbol" w:cs="Times New Roman"/>
          <w:bCs/>
          <w:rtl w:val="0"/>
        </w:rPr>
        <w:sym w:font="Symbol" w:char="F05D"/>
      </w:r>
      <w:r w:rsidRPr="00117DDA">
        <w:rPr>
          <w:rFonts w:ascii="Times New Roman" w:hAnsi="Times New Roman"/>
          <w:bCs/>
        </w:rPr>
        <w:t xml:space="preserve"> sa slovo „ktorým“ nahrádza slovom „ktorému“.</w:t>
      </w:r>
    </w:p>
    <w:p w:rsidR="00005735" w:rsidP="00005735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P="00005735">
      <w:pPr>
        <w:widowControl w:val="0"/>
        <w:suppressAutoHyphens/>
        <w:autoSpaceDE w:val="0"/>
        <w:autoSpaceDN w:val="0"/>
        <w:bidi w:val="0"/>
        <w:adjustRightInd w:val="0"/>
        <w:ind w:left="2124" w:firstLine="708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gramatickej povahy. 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ind w:left="3686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ind w:left="3686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>K čl. II, 2. bodu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>V čl. II, 2. bode (§ 14a ods. 8) sa slová „až 11“ nahrádzajú slovami „až 16“.</w:t>
      </w:r>
    </w:p>
    <w:p w:rsidR="00005735" w:rsidP="00005735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005735">
      <w:pPr>
        <w:widowControl w:val="0"/>
        <w:suppressAutoHyphens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Pozmeňovací návrh koriguje nesprávne označenie novelizovaných odsekov. 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 xml:space="preserve">K čl. II, nový bod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V čl. II sa za bod 2, vkladá nový bod 3, ktorý znie: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„3. V § 14a ods. 15 sa slová „podľa odseku 14 písm. b) a c) a odseku 15 písm. b) a c)“ nahrádzajú slovami „podľa odseku 13 písm. b) a c) a odseku 14 písm. b) a c)“.“.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Doterajšie body sa primerane prečíslujú. </w:t>
      </w: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color w:val="000000"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Nový bod 3 nadobúda účinnosť </w:t>
      </w:r>
      <w:r w:rsidRPr="00117DDA">
        <w:rPr>
          <w:rFonts w:ascii="Times New Roman" w:hAnsi="Times New Roman"/>
          <w:bCs/>
          <w:color w:val="000000"/>
          <w:lang w:eastAsia="en-US"/>
        </w:rPr>
        <w:t xml:space="preserve">prvým dňom kalendárneho mesiaca nasledujúceho po kalendárnom mesiaci, v ktorom sa uverejní oznámenie Európskej komisie, ktorým rozhodla, že štátna pomoc SA.47743 (2017/PN) – Slovenská republika – Daňové zvýhodnenie pre biopalivá, je zlučiteľná s právom Európskej únie, v Úradnom vestníku Európskej únie, čo sa premietne do ustanovenia o účinnosti v čistopise schváleného zákona.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005735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Pozmeňovací návrh koriguje vnútorné odkazy vzhľadom na zmeny vykonané v novelizovaných ustanoveniach (čl. II, 2. bod). </w:t>
      </w:r>
    </w:p>
    <w:p w:rsidR="009133C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05735" w:rsidP="0000573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</w:p>
    <w:p w:rsidR="00005735" w:rsidP="0000573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133C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</w:p>
    <w:p w:rsidR="009133CA" w:rsidRPr="00117DDA" w:rsidP="009133CA">
      <w:pPr>
        <w:widowControl w:val="0"/>
        <w:numPr>
          <w:numId w:val="17"/>
        </w:numPr>
        <w:suppressAutoHyphens/>
        <w:autoSpaceDE w:val="0"/>
        <w:autoSpaceDN w:val="0"/>
        <w:bidi w:val="0"/>
        <w:adjustRightInd w:val="0"/>
        <w:ind w:left="426" w:hanging="426"/>
        <w:contextualSpacing/>
        <w:rPr>
          <w:rFonts w:ascii="Times New Roman" w:hAnsi="Times New Roman"/>
          <w:b/>
          <w:bCs/>
          <w:lang w:eastAsia="en-US"/>
        </w:rPr>
      </w:pPr>
      <w:r w:rsidRPr="00117DDA">
        <w:rPr>
          <w:rFonts w:ascii="Times New Roman" w:hAnsi="Times New Roman"/>
          <w:b/>
          <w:bCs/>
          <w:lang w:eastAsia="en-US"/>
        </w:rPr>
        <w:t xml:space="preserve">K čl. II, nový bod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V čl. II sa za bod 6, vkladá nový bod 7, ktorý znie: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„7. V § 16 ods. 1 písm. ab) sa slová „ods. 14“ nahrádzajú slovami „ods. 13“ a v písm. ac) sa slová „ods. 15“ nahrádzajú slovami „ods. 14“.“.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117DDA">
        <w:rPr>
          <w:rFonts w:ascii="Times New Roman" w:hAnsi="Times New Roman"/>
          <w:bCs/>
        </w:rPr>
        <w:t xml:space="preserve">Doterajšie body sa primerane prečíslujú. </w:t>
      </w:r>
    </w:p>
    <w:p w:rsidR="009133C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bidi w:val="0"/>
        <w:contextualSpacing/>
        <w:jc w:val="both"/>
        <w:rPr>
          <w:rFonts w:ascii="Times New Roman" w:hAnsi="Times New Roman"/>
          <w:bCs/>
          <w:color w:val="000000"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Nový bod 7 nadobúda účinnosť </w:t>
      </w:r>
      <w:r w:rsidRPr="00117DDA">
        <w:rPr>
          <w:rFonts w:ascii="Times New Roman" w:hAnsi="Times New Roman"/>
          <w:bCs/>
          <w:color w:val="000000"/>
          <w:lang w:eastAsia="en-US"/>
        </w:rPr>
        <w:t xml:space="preserve">prvým dňom kalendárneho mesiaca nasledujúceho po kalendárnom mesiaci, v ktorom sa uverejní oznámenie Európskej komisie, ktorým rozhodla, že štátna pomoc SA.47743 (2017/PN) – Slovenská republika – Daňové zvýhodnenie pre biopalivá, je zlučiteľná s právom Európskej únie, v Úradnom vestníku Európskej únie, čo sa premietne do ustanovenia o účinnosti v čistopise schváleného zákona. </w:t>
      </w:r>
    </w:p>
    <w:p w:rsidR="009133CA" w:rsidRPr="00117DDA" w:rsidP="009133CA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9133CA" w:rsidRPr="00117DDA" w:rsidP="009133CA">
      <w:pPr>
        <w:bidi w:val="0"/>
        <w:ind w:left="2832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Pozmeňovací návrh koriguje vnútorné odkazy vzhľadom na zmeny vykonané v novelizovaných ustanoveniach (čl. II, 2. bod). </w:t>
      </w:r>
    </w:p>
    <w:p w:rsidR="009133CA" w:rsidRPr="00117DDA" w:rsidP="009133CA">
      <w:pPr>
        <w:bidi w:val="0"/>
        <w:ind w:left="3686"/>
        <w:contextualSpacing/>
        <w:jc w:val="both"/>
        <w:rPr>
          <w:rFonts w:ascii="Times New Roman" w:hAnsi="Times New Roman"/>
          <w:bCs/>
          <w:lang w:eastAsia="en-US"/>
        </w:rPr>
      </w:pPr>
      <w:r w:rsidRPr="00117DDA">
        <w:rPr>
          <w:rFonts w:ascii="Times New Roman" w:hAnsi="Times New Roman"/>
          <w:bCs/>
          <w:lang w:eastAsia="en-US"/>
        </w:rPr>
        <w:t xml:space="preserve"> </w:t>
      </w: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  <w:r w:rsidR="00C46F91">
        <w:rPr>
          <w:rFonts w:ascii="Times New Roman" w:hAnsi="Times New Roman"/>
          <w:b/>
        </w:rPr>
        <w:t>Výbor NR SR pre hospodárske záležitosti</w:t>
      </w:r>
    </w:p>
    <w:p w:rsidR="009133CA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 w:rsidR="00AD2E86">
        <w:rPr>
          <w:rFonts w:ascii="Times New Roman" w:hAnsi="Times New Roman"/>
        </w:rPr>
        <w:t xml:space="preserve"> </w:t>
      </w:r>
    </w:p>
    <w:p w:rsidR="00D81B1F" w:rsidRPr="00CE6895" w:rsidP="00CE6895">
      <w:pPr>
        <w:bidi w:val="0"/>
        <w:contextualSpacing/>
        <w:jc w:val="both"/>
        <w:rPr>
          <w:rFonts w:ascii="Times New Roman" w:hAnsi="Times New Roman"/>
          <w:b/>
          <w:iCs/>
        </w:rPr>
      </w:pP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973756" w:rsidP="005711FB">
      <w:pPr>
        <w:pStyle w:val="BodyText2"/>
        <w:bidi w:val="0"/>
        <w:rPr>
          <w:rFonts w:ascii="Times New Roman" w:hAnsi="Times New Roman"/>
          <w:color w:val="FF0000"/>
        </w:rPr>
      </w:pPr>
    </w:p>
    <w:p w:rsidR="00B755F7" w:rsidRPr="00501C94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501C94" w:rsidR="00973756">
        <w:rPr>
          <w:rFonts w:ascii="Times New Roman" w:hAnsi="Times New Roman"/>
        </w:rPr>
        <w:t xml:space="preserve">O bodoch spoločnej správy č. </w:t>
      </w:r>
      <w:r w:rsidRPr="0021046E" w:rsidR="00501C94">
        <w:rPr>
          <w:rFonts w:ascii="Times New Roman" w:hAnsi="Times New Roman"/>
          <w:b/>
        </w:rPr>
        <w:t>1 až 12, 15 až 32</w:t>
      </w:r>
      <w:r w:rsidRPr="00501C94" w:rsidR="00973756">
        <w:rPr>
          <w:rFonts w:ascii="Times New Roman" w:hAnsi="Times New Roman"/>
        </w:rPr>
        <w:t xml:space="preserve">  </w:t>
      </w:r>
      <w:r w:rsidRPr="00501C94">
        <w:rPr>
          <w:rFonts w:ascii="Times New Roman" w:hAnsi="Times New Roman"/>
        </w:rPr>
        <w:t xml:space="preserve">hlasovať spoločne s návrhom gestorského výboru </w:t>
      </w:r>
      <w:r w:rsidRPr="00501C94">
        <w:rPr>
          <w:rFonts w:ascii="Times New Roman" w:hAnsi="Times New Roman"/>
          <w:b/>
        </w:rPr>
        <w:t>schváliť.</w:t>
      </w:r>
    </w:p>
    <w:p w:rsidR="0011217D" w:rsidRPr="00501C94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973756" w:rsidRPr="00501C94" w:rsidP="00973756">
      <w:pPr>
        <w:bidi w:val="0"/>
        <w:ind w:firstLine="708"/>
        <w:jc w:val="both"/>
        <w:rPr>
          <w:rFonts w:ascii="Times New Roman" w:hAnsi="Times New Roman"/>
          <w:b/>
        </w:rPr>
      </w:pPr>
      <w:r w:rsidRPr="00501C94">
        <w:rPr>
          <w:rFonts w:ascii="Times New Roman" w:hAnsi="Times New Roman"/>
        </w:rPr>
        <w:t xml:space="preserve">O bodoch spoločnej správy č. </w:t>
      </w:r>
      <w:r w:rsidRPr="0021046E" w:rsidR="00501C94">
        <w:rPr>
          <w:rFonts w:ascii="Times New Roman" w:hAnsi="Times New Roman"/>
          <w:b/>
        </w:rPr>
        <w:t>13, 14</w:t>
      </w:r>
      <w:r w:rsidR="00501C94">
        <w:rPr>
          <w:rFonts w:ascii="Times New Roman" w:hAnsi="Times New Roman"/>
        </w:rPr>
        <w:t xml:space="preserve"> </w:t>
      </w:r>
      <w:r w:rsidRPr="00501C94">
        <w:rPr>
          <w:rFonts w:ascii="Times New Roman" w:hAnsi="Times New Roman"/>
        </w:rPr>
        <w:t xml:space="preserve">hlasovať </w:t>
      </w:r>
      <w:r w:rsidR="0021046E">
        <w:rPr>
          <w:rFonts w:ascii="Times New Roman" w:hAnsi="Times New Roman"/>
        </w:rPr>
        <w:t xml:space="preserve">spoločne </w:t>
      </w:r>
      <w:r w:rsidRPr="00501C94">
        <w:rPr>
          <w:rFonts w:ascii="Times New Roman" w:hAnsi="Times New Roman"/>
        </w:rPr>
        <w:t xml:space="preserve">s návrhom gestorského výboru </w:t>
      </w:r>
      <w:r w:rsidRPr="00501C94">
        <w:rPr>
          <w:rFonts w:ascii="Times New Roman" w:hAnsi="Times New Roman"/>
          <w:b/>
        </w:rPr>
        <w:t>neschváliť.</w:t>
      </w:r>
    </w:p>
    <w:p w:rsidR="00973756" w:rsidRPr="0011217D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C46F91">
        <w:rPr>
          <w:rFonts w:ascii="Times New Roman" w:hAnsi="Times New Roman"/>
        </w:rPr>
        <w:t>vládnemu</w:t>
      </w:r>
      <w:r w:rsidRPr="00C46F91" w:rsidR="00C46F91">
        <w:rPr>
          <w:rFonts w:ascii="Times New Roman" w:hAnsi="Times New Roman"/>
        </w:rPr>
        <w:t xml:space="preserve"> návrh</w:t>
      </w:r>
      <w:r w:rsidR="00C46F91">
        <w:rPr>
          <w:rFonts w:ascii="Times New Roman" w:hAnsi="Times New Roman"/>
        </w:rPr>
        <w:t>u</w:t>
      </w:r>
      <w:r w:rsidRPr="00C46F91" w:rsidR="00C46F91">
        <w:rPr>
          <w:rFonts w:ascii="Times New Roman" w:hAnsi="Times New Roman"/>
        </w:rPr>
        <w:t xml:space="preserve"> zákona, ktorým sa mení a 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652)</w:t>
      </w:r>
      <w:r w:rsidR="00C46F91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9133CA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11217D" w:rsidP="005711FB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C46F91">
        <w:rPr>
          <w:rFonts w:ascii="Times New Roman" w:hAnsi="Times New Roman"/>
        </w:rPr>
        <w:t>vládneho</w:t>
      </w:r>
      <w:r w:rsidRPr="00C46F91" w:rsidR="00C46F91">
        <w:rPr>
          <w:rFonts w:ascii="Times New Roman" w:hAnsi="Times New Roman"/>
        </w:rPr>
        <w:t xml:space="preserve"> návrh</w:t>
      </w:r>
      <w:r w:rsidR="00C46F91">
        <w:rPr>
          <w:rFonts w:ascii="Times New Roman" w:hAnsi="Times New Roman"/>
        </w:rPr>
        <w:t>u</w:t>
      </w:r>
      <w:r w:rsidRPr="00C46F91" w:rsidR="00C46F91">
        <w:rPr>
          <w:rFonts w:ascii="Times New Roman" w:hAnsi="Times New Roman"/>
        </w:rPr>
        <w:t xml:space="preserve"> zákona, ktorým sa mení a 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652</w:t>
      </w:r>
      <w:r w:rsidR="00C46F91">
        <w:rPr>
          <w:rFonts w:ascii="Times New Roman" w:hAnsi="Times New Roman"/>
        </w:rPr>
        <w:t>a</w:t>
      </w:r>
      <w:r w:rsidRPr="00C46F91" w:rsidR="00C46F91">
        <w:rPr>
          <w:rFonts w:ascii="Times New Roman" w:hAnsi="Times New Roman"/>
        </w:rPr>
        <w:t>)</w:t>
      </w:r>
      <w:r w:rsidR="00C46F91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501C94">
        <w:rPr>
          <w:rFonts w:ascii="Times New Roman" w:hAnsi="Times New Roman"/>
          <w:b/>
          <w:bCs/>
        </w:rPr>
        <w:t>215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B06562">
        <w:rPr>
          <w:rFonts w:ascii="Times New Roman" w:hAnsi="Times New Roman"/>
          <w:b/>
          <w:bCs/>
        </w:rPr>
        <w:t>9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B06562">
        <w:rPr>
          <w:rFonts w:ascii="Times New Roman" w:hAnsi="Times New Roman"/>
          <w:b/>
          <w:bCs/>
        </w:rPr>
        <w:t>7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005735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="00EA539E">
        <w:rPr>
          <w:rFonts w:ascii="Times New Roman" w:hAnsi="Times New Roman"/>
          <w:bCs/>
        </w:rPr>
        <w:t>spoločného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EA539E">
        <w:rPr>
          <w:rFonts w:ascii="Times New Roman" w:hAnsi="Times New Roman"/>
          <w:bCs/>
        </w:rPr>
        <w:t>cu</w:t>
      </w:r>
      <w:r w:rsidR="009B5C64">
        <w:rPr>
          <w:rFonts w:ascii="Times New Roman" w:hAnsi="Times New Roman"/>
          <w:bCs/>
        </w:rPr>
        <w:t xml:space="preserve"> </w:t>
      </w:r>
      <w:r w:rsidR="00C46F91">
        <w:rPr>
          <w:rFonts w:ascii="Times New Roman" w:hAnsi="Times New Roman"/>
          <w:b/>
          <w:bCs/>
        </w:rPr>
        <w:t>Emila Ďurovčíka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B06562">
        <w:rPr>
          <w:rFonts w:ascii="Times New Roman" w:hAnsi="Times New Roman"/>
          <w:szCs w:val="20"/>
        </w:rPr>
        <w:t>9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1046E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5">
    <w:nsid w:val="3C693668"/>
    <w:multiLevelType w:val="hybridMultilevel"/>
    <w:tmpl w:val="3564BF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  <w:lvlOverride w:ilvl="0"/>
  </w:num>
  <w:num w:numId="11">
    <w:abstractNumId w:val="0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735"/>
    <w:rsid w:val="00005E9C"/>
    <w:rsid w:val="000116D6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AA7"/>
    <w:rsid w:val="00094E4C"/>
    <w:rsid w:val="00095A32"/>
    <w:rsid w:val="00096949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17DDA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046E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468B9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442E4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86DE8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18CD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195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2BF6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1C94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89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7CE"/>
    <w:rsid w:val="00761DB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87C67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33CA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3756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B742D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01EB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8781B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6562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3B6D"/>
    <w:rsid w:val="00C45404"/>
    <w:rsid w:val="00C461D0"/>
    <w:rsid w:val="00C46F91"/>
    <w:rsid w:val="00C4736A"/>
    <w:rsid w:val="00C4758F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65E5"/>
    <w:rsid w:val="00C87B83"/>
    <w:rsid w:val="00C91BA8"/>
    <w:rsid w:val="00C92DED"/>
    <w:rsid w:val="00CA5A36"/>
    <w:rsid w:val="00CA664D"/>
    <w:rsid w:val="00CA6C5B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25D09"/>
    <w:rsid w:val="00D31BCE"/>
    <w:rsid w:val="00D352D6"/>
    <w:rsid w:val="00D42F41"/>
    <w:rsid w:val="00D44F85"/>
    <w:rsid w:val="00D54C86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562DD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539E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15DF-DC76-4161-94F7-57FEA66D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283</TotalTime>
  <Pages>11</Pages>
  <Words>2911</Words>
  <Characters>16596</Characters>
  <Application>Microsoft Office Word</Application>
  <DocSecurity>0</DocSecurity>
  <Lines>0</Lines>
  <Paragraphs>0</Paragraphs>
  <ScaleCrop>false</ScaleCrop>
  <Company>Kancelaria NR SR</Company>
  <LinksUpToDate>false</LinksUpToDate>
  <CharactersWithSpaces>19469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143</cp:revision>
  <cp:lastPrinted>2015-05-06T17:18:00Z</cp:lastPrinted>
  <dcterms:created xsi:type="dcterms:W3CDTF">2015-03-09T15:36:00Z</dcterms:created>
  <dcterms:modified xsi:type="dcterms:W3CDTF">2017-10-09T10:28:00Z</dcterms:modified>
</cp:coreProperties>
</file>