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6B1FC5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95D25">
        <w:rPr>
          <w:rFonts w:ascii="Times New Roman" w:hAnsi="Times New Roman"/>
        </w:rPr>
        <w:t>1</w:t>
      </w:r>
      <w:r w:rsidR="00F61205">
        <w:rPr>
          <w:rFonts w:ascii="Times New Roman" w:hAnsi="Times New Roman"/>
        </w:rPr>
        <w:t>5</w:t>
      </w:r>
      <w:r w:rsidR="005A5191">
        <w:rPr>
          <w:rFonts w:ascii="Times New Roman" w:hAnsi="Times New Roman"/>
        </w:rPr>
        <w:t>91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B16E4" w:rsidRPr="001C729D" w:rsidP="003B16E4">
      <w:pPr>
        <w:bidi w:val="0"/>
        <w:rPr>
          <w:rFonts w:ascii="Times New Roman" w:hAnsi="Times New Roman"/>
        </w:rPr>
      </w:pPr>
    </w:p>
    <w:p w:rsidR="003B16E4" w:rsidRPr="00393C7E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93C7E" w:rsidR="00393C7E">
        <w:rPr>
          <w:rFonts w:ascii="Times New Roman" w:hAnsi="Times New Roman"/>
          <w:sz w:val="36"/>
          <w:szCs w:val="36"/>
        </w:rPr>
        <w:t>277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E419EE" w:rsidP="003B16E4">
      <w:pPr>
        <w:bidi w:val="0"/>
        <w:jc w:val="center"/>
        <w:rPr>
          <w:rFonts w:ascii="Times New Roman" w:hAnsi="Times New Roman"/>
          <w:b/>
        </w:rPr>
      </w:pPr>
      <w:r w:rsidRPr="00E419EE" w:rsidR="001C0674">
        <w:rPr>
          <w:rFonts w:ascii="Times New Roman" w:hAnsi="Times New Roman"/>
          <w:b/>
        </w:rPr>
        <w:t xml:space="preserve">z </w:t>
      </w:r>
      <w:r w:rsidR="006B1FC5">
        <w:rPr>
          <w:rFonts w:ascii="Times New Roman" w:hAnsi="Times New Roman"/>
          <w:b/>
        </w:rPr>
        <w:t>3</w:t>
      </w:r>
      <w:r w:rsidRPr="00E419EE" w:rsidR="00095D25">
        <w:rPr>
          <w:rFonts w:ascii="Times New Roman" w:hAnsi="Times New Roman"/>
          <w:b/>
        </w:rPr>
        <w:t>. októbra</w:t>
      </w:r>
      <w:r w:rsidRPr="00E419EE" w:rsidR="00B26A42">
        <w:rPr>
          <w:rFonts w:ascii="Times New Roman" w:hAnsi="Times New Roman"/>
          <w:b/>
        </w:rPr>
        <w:t xml:space="preserve"> </w:t>
      </w:r>
      <w:r w:rsidRPr="00E419EE">
        <w:rPr>
          <w:rFonts w:ascii="Times New Roman" w:hAnsi="Times New Roman"/>
          <w:b/>
        </w:rPr>
        <w:t>2017</w:t>
      </w:r>
    </w:p>
    <w:p w:rsidR="003B16E4" w:rsidRPr="00AA4F3B" w:rsidP="003B16E4">
      <w:pPr>
        <w:pStyle w:val="BodyText"/>
        <w:bidi w:val="0"/>
        <w:rPr>
          <w:rFonts w:ascii="Times New Roman" w:hAnsi="Times New Roman"/>
        </w:rPr>
      </w:pPr>
    </w:p>
    <w:p w:rsidR="009D585B" w:rsidRPr="009D585B" w:rsidP="009D585B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noProof/>
          <w:sz w:val="24"/>
          <w:lang w:val="sk-SK"/>
        </w:rPr>
      </w:pPr>
      <w:r w:rsidRPr="00AA4F3B" w:rsidR="00D75B2F">
        <w:rPr>
          <w:rFonts w:ascii="Times New Roman" w:hAnsi="Times New Roman" w:cs="Arial"/>
          <w:noProof/>
          <w:sz w:val="24"/>
        </w:rPr>
        <w:t xml:space="preserve">k vládnemu návrhu zákona, </w:t>
      </w:r>
      <w:r w:rsidRPr="00DE7C63">
        <w:rPr>
          <w:rFonts w:ascii="Times New Roman" w:hAnsi="Times New Roman" w:cs="Arial"/>
          <w:noProof/>
          <w:sz w:val="24"/>
        </w:rPr>
        <w:t xml:space="preserve">ktorým </w:t>
      </w:r>
      <w:r w:rsidRPr="009D585B">
        <w:rPr>
          <w:rFonts w:ascii="Times New Roman" w:hAnsi="Times New Roman" w:cs="Arial"/>
          <w:noProof/>
          <w:sz w:val="24"/>
        </w:rPr>
        <w:t xml:space="preserve">sa mení a dopĺňa zákon č. 483/2001 Z. z. o bankách a o zmene a doplnení niektorých zákonov v znení neskorších predpisov a ktorým sa menia a dopĺňajú niektoré zákony </w:t>
      </w:r>
      <w:r w:rsidRPr="009D585B">
        <w:rPr>
          <w:rFonts w:ascii="Times New Roman" w:hAnsi="Times New Roman" w:cs="Arial"/>
          <w:sz w:val="24"/>
        </w:rPr>
        <w:t xml:space="preserve">(tlač 647) </w:t>
      </w:r>
    </w:p>
    <w:p w:rsidR="00F61205" w:rsidP="001C729D">
      <w:pPr>
        <w:tabs>
          <w:tab w:val="left" w:pos="851"/>
        </w:tabs>
        <w:bidi w:val="0"/>
        <w:jc w:val="both"/>
        <w:rPr>
          <w:rFonts w:ascii="Times New Roman" w:hAnsi="Times New Roman"/>
          <w:noProof/>
        </w:rPr>
      </w:pPr>
    </w:p>
    <w:p w:rsidR="004F7A6D" w:rsidRPr="00856B68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3B16E4" w:rsidRPr="00294C32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3B16E4" w:rsidRPr="00503895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 xml:space="preserve">A.  </w:t>
      </w:r>
      <w:r w:rsidRPr="00503895" w:rsidR="001C2B7F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s ú h l a s í</w:t>
      </w:r>
      <w:r w:rsidRPr="00503895">
        <w:rPr>
          <w:rFonts w:ascii="Times New Roman" w:hAnsi="Times New Roman"/>
        </w:rPr>
        <w:t xml:space="preserve"> </w:t>
      </w:r>
    </w:p>
    <w:p w:rsidR="003B16E4" w:rsidRPr="00503895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D585B" w:rsidRPr="009D585B" w:rsidP="009D585B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noProof/>
          <w:sz w:val="24"/>
          <w:lang w:val="sk-SK"/>
        </w:rPr>
      </w:pPr>
      <w:r w:rsidRPr="00503895" w:rsidR="001C2B7F">
        <w:rPr>
          <w:rFonts w:ascii="Times New Roman" w:hAnsi="Times New Roman"/>
          <w:sz w:val="24"/>
        </w:rPr>
        <w:tab/>
      </w:r>
      <w:r w:rsidR="00AA4F3B">
        <w:rPr>
          <w:rFonts w:ascii="Times New Roman" w:hAnsi="Times New Roman"/>
          <w:sz w:val="24"/>
        </w:rPr>
        <w:tab/>
      </w:r>
      <w:r w:rsidRPr="00503895" w:rsidR="003B16E4">
        <w:rPr>
          <w:rFonts w:ascii="Times New Roman" w:hAnsi="Times New Roman"/>
          <w:sz w:val="24"/>
        </w:rPr>
        <w:t>s</w:t>
      </w:r>
      <w:r w:rsidRPr="00503895" w:rsidR="00EC0BB9">
        <w:rPr>
          <w:rFonts w:ascii="Times New Roman" w:hAnsi="Times New Roman"/>
          <w:sz w:val="24"/>
        </w:rPr>
        <w:t> </w:t>
      </w:r>
      <w:r w:rsidRPr="00503895" w:rsidR="003B16E4">
        <w:rPr>
          <w:rFonts w:ascii="Times New Roman" w:hAnsi="Times New Roman"/>
          <w:sz w:val="24"/>
        </w:rPr>
        <w:t>v</w:t>
      </w:r>
      <w:r w:rsidRPr="00503895" w:rsidR="003B16E4">
        <w:rPr>
          <w:rFonts w:ascii="Times New Roman" w:hAnsi="Times New Roman"/>
          <w:noProof/>
          <w:sz w:val="24"/>
        </w:rPr>
        <w:t>ládnym</w:t>
      </w:r>
      <w:r w:rsidRPr="00503895" w:rsidR="00EC0BB9">
        <w:rPr>
          <w:rFonts w:ascii="Times New Roman" w:hAnsi="Times New Roman"/>
          <w:noProof/>
          <w:sz w:val="24"/>
        </w:rPr>
        <w:t xml:space="preserve"> </w:t>
      </w:r>
      <w:r w:rsidRPr="00503895" w:rsidR="003B16E4">
        <w:rPr>
          <w:rFonts w:ascii="Times New Roman" w:hAnsi="Times New Roman"/>
          <w:noProof/>
          <w:sz w:val="24"/>
        </w:rPr>
        <w:t>návrhom zákona</w:t>
      </w:r>
      <w:r w:rsidRPr="00503895" w:rsidR="00E419EE">
        <w:rPr>
          <w:rFonts w:ascii="Times New Roman" w:hAnsi="Times New Roman"/>
          <w:noProof/>
          <w:sz w:val="24"/>
        </w:rPr>
        <w:t xml:space="preserve">, </w:t>
      </w:r>
      <w:r w:rsidRPr="00DE7C63">
        <w:rPr>
          <w:rFonts w:ascii="Times New Roman" w:hAnsi="Times New Roman" w:cs="Arial"/>
          <w:noProof/>
          <w:sz w:val="24"/>
        </w:rPr>
        <w:t xml:space="preserve">ktorým </w:t>
      </w:r>
      <w:r w:rsidRPr="009D585B">
        <w:rPr>
          <w:rFonts w:ascii="Times New Roman" w:hAnsi="Times New Roman" w:cs="Arial"/>
          <w:noProof/>
          <w:sz w:val="24"/>
        </w:rPr>
        <w:t xml:space="preserve">sa mení a dopĺňa zákon č. 483/2001 Z. z. o bankách a o zmene a doplnení niektorých zákonov v znení neskorších predpisov a ktorým sa menia a dopĺňajú niektoré zákony </w:t>
      </w:r>
      <w:r w:rsidRPr="009D585B">
        <w:rPr>
          <w:rFonts w:ascii="Times New Roman" w:hAnsi="Times New Roman" w:cs="Arial"/>
          <w:sz w:val="24"/>
        </w:rPr>
        <w:t>(tlač 647)</w:t>
      </w:r>
      <w:r>
        <w:rPr>
          <w:rFonts w:ascii="Times New Roman" w:hAnsi="Times New Roman" w:cs="Arial"/>
          <w:sz w:val="24"/>
        </w:rPr>
        <w:t>;</w:t>
      </w:r>
    </w:p>
    <w:p w:rsidR="00B92C5C" w:rsidRPr="00503895" w:rsidP="00B92C5C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</w:r>
      <w:r w:rsidRPr="00503895" w:rsidR="00C748DB">
        <w:rPr>
          <w:rFonts w:ascii="Times New Roman" w:hAnsi="Times New Roman"/>
          <w:b/>
        </w:rPr>
        <w:t>  </w:t>
      </w:r>
      <w:r w:rsidRPr="00503895">
        <w:rPr>
          <w:rFonts w:ascii="Times New Roman" w:hAnsi="Times New Roman"/>
          <w:b/>
        </w:rPr>
        <w:t>B.  o d p o r ú č a</w:t>
      </w: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</w:r>
      <w:r w:rsidRPr="00503895" w:rsidR="001C729D">
        <w:rPr>
          <w:rFonts w:ascii="Times New Roman" w:hAnsi="Times New Roman"/>
          <w:b/>
        </w:rPr>
        <w:tab/>
      </w:r>
      <w:r w:rsidRPr="00503895" w:rsidR="000A4F64">
        <w:rPr>
          <w:rFonts w:ascii="Times New Roman" w:hAnsi="Times New Roman"/>
          <w:b/>
        </w:rPr>
        <w:t xml:space="preserve"> </w:t>
      </w:r>
      <w:r w:rsidRPr="00503895" w:rsidR="00EC0BB9">
        <w:rPr>
          <w:rFonts w:ascii="Times New Roman" w:hAnsi="Times New Roman"/>
          <w:b/>
        </w:rPr>
        <w:t> </w:t>
      </w:r>
      <w:r w:rsidRPr="00503895" w:rsidR="00C748DB">
        <w:rPr>
          <w:rFonts w:ascii="Times New Roman" w:hAnsi="Times New Roman"/>
          <w:b/>
        </w:rPr>
        <w:t> </w:t>
      </w:r>
      <w:r w:rsidRPr="00503895">
        <w:rPr>
          <w:rFonts w:ascii="Times New Roman" w:hAnsi="Times New Roman"/>
        </w:rPr>
        <w:t>Národnej rade Slovenskej republiky</w:t>
      </w:r>
    </w:p>
    <w:p w:rsidR="001C729D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9D585B" w:rsidP="009D585B">
      <w:pPr>
        <w:pStyle w:val="TxBrp9"/>
        <w:tabs>
          <w:tab w:val="clear" w:pos="204"/>
          <w:tab w:val="left" w:pos="284"/>
          <w:tab w:val="left" w:pos="1134"/>
        </w:tabs>
        <w:bidi w:val="0"/>
        <w:spacing w:line="240" w:lineRule="auto"/>
        <w:rPr>
          <w:rFonts w:ascii="Times New Roman" w:hAnsi="Times New Roman"/>
          <w:noProof/>
          <w:sz w:val="24"/>
          <w:lang w:val="sk-SK"/>
        </w:rPr>
      </w:pPr>
      <w:r w:rsidRPr="00503895" w:rsidR="00297AEF">
        <w:rPr>
          <w:rFonts w:ascii="Times New Roman" w:hAnsi="Times New Roman"/>
          <w:noProof/>
          <w:sz w:val="24"/>
        </w:rPr>
        <w:tab/>
      </w:r>
      <w:r w:rsidR="009D585B">
        <w:rPr>
          <w:rFonts w:ascii="Times New Roman" w:hAnsi="Times New Roman"/>
          <w:noProof/>
          <w:sz w:val="24"/>
        </w:rPr>
        <w:tab/>
      </w:r>
      <w:r w:rsidRPr="00503895" w:rsidR="000569DC">
        <w:rPr>
          <w:rFonts w:ascii="Times New Roman" w:hAnsi="Times New Roman"/>
          <w:noProof/>
          <w:sz w:val="24"/>
        </w:rPr>
        <w:t>vládny návrh zákona</w:t>
      </w:r>
      <w:r w:rsidRPr="00503895" w:rsidR="00E419EE">
        <w:rPr>
          <w:rFonts w:ascii="Times New Roman" w:hAnsi="Times New Roman"/>
          <w:noProof/>
          <w:sz w:val="24"/>
        </w:rPr>
        <w:t>,</w:t>
      </w:r>
      <w:r w:rsidRPr="00503895" w:rsidR="00E419EE">
        <w:rPr>
          <w:rFonts w:ascii="Times New Roman" w:hAnsi="Times New Roman" w:cs="Arial"/>
          <w:noProof/>
          <w:sz w:val="24"/>
        </w:rPr>
        <w:t xml:space="preserve"> </w:t>
      </w:r>
      <w:r w:rsidRPr="00DE7C63" w:rsidR="009D585B">
        <w:rPr>
          <w:rFonts w:ascii="Times New Roman" w:hAnsi="Times New Roman" w:cs="Arial"/>
          <w:noProof/>
          <w:sz w:val="24"/>
        </w:rPr>
        <w:t xml:space="preserve">ktorým </w:t>
      </w:r>
      <w:r w:rsidRPr="009D585B" w:rsidR="009D585B">
        <w:rPr>
          <w:rFonts w:ascii="Times New Roman" w:hAnsi="Times New Roman" w:cs="Arial"/>
          <w:noProof/>
          <w:sz w:val="24"/>
        </w:rPr>
        <w:t xml:space="preserve">sa mení a dopĺňa zákon č. 483/2001 Z. z. o bankách a o zmene a doplnení niektorých zákonov v znení neskorších predpisov a ktorým sa menia a dopĺňajú niektoré zákony </w:t>
      </w:r>
      <w:r w:rsidRPr="009D585B" w:rsidR="009D585B">
        <w:rPr>
          <w:rFonts w:ascii="Times New Roman" w:hAnsi="Times New Roman" w:cs="Arial"/>
          <w:sz w:val="24"/>
        </w:rPr>
        <w:t xml:space="preserve">(tlač 647) </w:t>
      </w:r>
      <w:r w:rsidRPr="00503895">
        <w:rPr>
          <w:rFonts w:ascii="Times New Roman" w:hAnsi="Times New Roman"/>
          <w:b/>
          <w:bCs/>
          <w:sz w:val="24"/>
        </w:rPr>
        <w:t xml:space="preserve">schváliť </w:t>
      </w:r>
      <w:r w:rsidRPr="00503895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503895" w:rsidP="00AB2C4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419EE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 w:rsidR="00C748DB">
        <w:rPr>
          <w:rFonts w:ascii="Times New Roman" w:hAnsi="Times New Roman"/>
          <w:b/>
        </w:rPr>
        <w:t> </w:t>
      </w:r>
      <w:r w:rsidRPr="00E419EE">
        <w:rPr>
          <w:rFonts w:ascii="Times New Roman" w:hAnsi="Times New Roman"/>
          <w:b/>
        </w:rPr>
        <w:t>C.</w:t>
        <w:tab/>
        <w:t>p o v e r u j e</w:t>
      </w:r>
    </w:p>
    <w:p w:rsidR="001C729D" w:rsidRPr="00E419EE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predsedu výboru </w:t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Pr="00E419EE" w:rsidR="000A4F64">
        <w:rPr>
          <w:rFonts w:ascii="Times New Roman" w:hAnsi="Times New Roman"/>
        </w:rPr>
        <w:t xml:space="preserve"> </w:t>
      </w:r>
      <w:r w:rsidR="009D585B">
        <w:rPr>
          <w:rFonts w:ascii="Times New Roman" w:hAnsi="Times New Roman"/>
        </w:rPr>
        <w:t xml:space="preserve">financie a rozpočet. </w:t>
      </w:r>
    </w:p>
    <w:p w:rsidR="001C729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F7A6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F7A6D" w:rsidRPr="00E419EE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RPr="00E419EE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E419EE" w:rsidR="003B16E4">
        <w:rPr>
          <w:rFonts w:ascii="Times New Roman" w:hAnsi="Times New Roman"/>
          <w:b/>
        </w:rPr>
        <w:tab/>
      </w: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="00864A7D">
        <w:rPr>
          <w:rFonts w:ascii="Times New Roman" w:hAnsi="Times New Roman"/>
        </w:rPr>
        <w:t xml:space="preserve">      </w:t>
      </w:r>
      <w:r w:rsidRPr="000A4F64">
        <w:rPr>
          <w:rFonts w:ascii="Times New Roman" w:hAnsi="Times New Roman"/>
        </w:rPr>
        <w:t xml:space="preserve"> </w:t>
      </w:r>
      <w:r w:rsidR="00864A7D">
        <w:rPr>
          <w:rFonts w:ascii="Times New Roman" w:hAnsi="Times New Roman"/>
        </w:rPr>
        <w:t xml:space="preserve">      </w:t>
      </w:r>
      <w:r w:rsidRPr="000A4F64" w:rsidR="005F4E47">
        <w:rPr>
          <w:rFonts w:ascii="Times New Roman" w:hAnsi="Times New Roman"/>
        </w:rPr>
        <w:t>Róbert Madej</w:t>
      </w:r>
      <w:r w:rsidR="00864A7D">
        <w:rPr>
          <w:rFonts w:ascii="Times New Roman" w:hAnsi="Times New Roman"/>
        </w:rPr>
        <w:t xml:space="preserve"> 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AB2C4B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93C7E">
        <w:rPr>
          <w:rFonts w:ascii="Times New Roman" w:hAnsi="Times New Roman"/>
          <w:b/>
        </w:rPr>
        <w:t xml:space="preserve"> 277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F955A8">
        <w:rPr>
          <w:rFonts w:ascii="Times New Roman" w:hAnsi="Times New Roman"/>
          <w:b/>
        </w:rPr>
        <w:t xml:space="preserve"> </w:t>
      </w:r>
      <w:r w:rsidR="00680CC5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EC0BB9" w:rsidP="00261C0D">
      <w:pPr>
        <w:bidi w:val="0"/>
        <w:jc w:val="both"/>
        <w:rPr>
          <w:rFonts w:ascii="Times New Roman" w:hAnsi="Times New Roman"/>
          <w:b/>
        </w:rPr>
      </w:pPr>
    </w:p>
    <w:p w:rsidR="009D585B" w:rsidRPr="009D585B" w:rsidP="009D585B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b/>
          <w:noProof/>
          <w:sz w:val="24"/>
          <w:lang w:val="sk-SK"/>
        </w:rPr>
      </w:pPr>
      <w:r w:rsidRPr="009D585B" w:rsidR="005A5191">
        <w:rPr>
          <w:rFonts w:ascii="Times New Roman" w:hAnsi="Times New Roman" w:cs="Arial"/>
          <w:b/>
          <w:noProof/>
          <w:sz w:val="24"/>
        </w:rPr>
        <w:t xml:space="preserve">k vládnemu návrhu zákona, </w:t>
      </w:r>
      <w:r w:rsidRPr="009D585B">
        <w:rPr>
          <w:rFonts w:ascii="Times New Roman" w:hAnsi="Times New Roman" w:cs="Arial"/>
          <w:b/>
          <w:noProof/>
          <w:sz w:val="24"/>
        </w:rPr>
        <w:t xml:space="preserve">ktorým sa mení a dopĺňa zákon č. 483/2001 Z. z. o bankách a o zmene a doplnení niektorých zákonov v znení neskorších predpisov a ktorým sa menia a dopĺňajú niektoré zákony </w:t>
      </w:r>
      <w:r w:rsidRPr="009D585B">
        <w:rPr>
          <w:rFonts w:ascii="Times New Roman" w:hAnsi="Times New Roman" w:cs="Arial"/>
          <w:b/>
          <w:sz w:val="24"/>
        </w:rPr>
        <w:t xml:space="preserve">(tlač 647) </w:t>
      </w:r>
    </w:p>
    <w:p w:rsidR="002C7346" w:rsidRPr="001C729D" w:rsidP="00B348A8">
      <w:pPr>
        <w:bidi w:val="0"/>
        <w:jc w:val="both"/>
        <w:rPr>
          <w:rFonts w:ascii="Times New Roman" w:hAnsi="Times New Roman"/>
          <w:b/>
        </w:rPr>
      </w:pPr>
      <w:r w:rsidRPr="00B333A6" w:rsidR="000B4B0D">
        <w:rPr>
          <w:rFonts w:ascii="Times New Roman" w:hAnsi="Times New Roman"/>
          <w:b/>
        </w:rPr>
        <w:t>_______________________</w:t>
      </w:r>
      <w:r w:rsidRPr="001C729D" w:rsidR="000B4B0D">
        <w:rPr>
          <w:rFonts w:ascii="Times New Roman" w:hAnsi="Times New Roman"/>
          <w:b/>
        </w:rPr>
        <w:t>____________________</w:t>
      </w:r>
      <w:r w:rsidRPr="001C729D" w:rsidR="005D4246">
        <w:rPr>
          <w:rFonts w:ascii="Times New Roman" w:hAnsi="Times New Roman"/>
          <w:b/>
        </w:rPr>
        <w:t>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D22F23" w:rsidRPr="00D22F23" w:rsidP="00BC606E">
      <w:pPr>
        <w:pStyle w:val="ListParagraph"/>
        <w:bidi w:val="0"/>
        <w:spacing w:line="360" w:lineRule="auto"/>
        <w:ind w:left="0" w:right="293"/>
        <w:jc w:val="both"/>
        <w:rPr>
          <w:rFonts w:ascii="Times New Roman" w:hAnsi="Times New Roman"/>
        </w:rPr>
      </w:pPr>
    </w:p>
    <w:p w:rsidR="00D22F23" w:rsidP="00807776">
      <w:pPr>
        <w:pStyle w:val="ListParagraph"/>
        <w:widowControl w:val="0"/>
        <w:numPr>
          <w:numId w:val="26"/>
        </w:numPr>
        <w:bidi w:val="0"/>
        <w:adjustRightInd w:val="0"/>
        <w:ind w:left="284" w:right="295" w:hanging="284"/>
        <w:jc w:val="both"/>
        <w:rPr>
          <w:rFonts w:ascii="Times New Roman" w:hAnsi="Times New Roman"/>
        </w:rPr>
      </w:pPr>
      <w:r w:rsidRPr="00D4382D">
        <w:rPr>
          <w:rFonts w:ascii="Times New Roman" w:hAnsi="Times New Roman"/>
        </w:rPr>
        <w:t>V čl. I bod 11, v čl. X bod 51, v čl. XIV</w:t>
      </w:r>
    </w:p>
    <w:p w:rsidR="00807776" w:rsidRPr="00D4382D" w:rsidP="00807776">
      <w:pPr>
        <w:pStyle w:val="ListParagraph"/>
        <w:widowControl w:val="0"/>
        <w:bidi w:val="0"/>
        <w:adjustRightInd w:val="0"/>
        <w:ind w:left="284" w:right="295"/>
        <w:jc w:val="both"/>
        <w:rPr>
          <w:rFonts w:ascii="Times New Roman" w:hAnsi="Times New Roman"/>
        </w:rPr>
      </w:pPr>
    </w:p>
    <w:p w:rsidR="00D22F23" w:rsidRPr="00D22F23" w:rsidP="00807776">
      <w:pPr>
        <w:bidi w:val="0"/>
        <w:ind w:left="284" w:right="295"/>
        <w:jc w:val="both"/>
        <w:rPr>
          <w:rFonts w:ascii="Times New Roman" w:hAnsi="Times New Roman"/>
        </w:rPr>
      </w:pPr>
      <w:r w:rsidRPr="00D22F23">
        <w:rPr>
          <w:rFonts w:ascii="Times New Roman" w:hAnsi="Times New Roman"/>
        </w:rPr>
        <w:t>V čl. I bod 11 v poznámke pod čiarou k odkazu 25af), v čl. X bod 51 v poznámkach pod čiarou k odkazu 47g), 47h), 47i), 47j), 47k), 47l), 47n), 47p), 47r), 47s), a 47t), v čl. XIV v poznámke pod čiarou k odkazu 95) sa vypúšťajú slová „v platnom znení“.</w:t>
      </w:r>
    </w:p>
    <w:p w:rsidR="00D22F23" w:rsidRPr="00D22F23" w:rsidP="00D22F23">
      <w:pPr>
        <w:bidi w:val="0"/>
        <w:ind w:right="295"/>
        <w:jc w:val="both"/>
        <w:rPr>
          <w:rFonts w:ascii="Times New Roman" w:hAnsi="Times New Roman"/>
        </w:rPr>
      </w:pPr>
    </w:p>
    <w:p w:rsidR="00D22F23" w:rsidRPr="00D22F23" w:rsidP="00D22F23">
      <w:pPr>
        <w:bidi w:val="0"/>
        <w:ind w:left="3538" w:right="295"/>
        <w:jc w:val="both"/>
        <w:rPr>
          <w:rFonts w:ascii="Times New Roman" w:hAnsi="Times New Roman"/>
        </w:rPr>
      </w:pPr>
      <w:r w:rsidRPr="00D22F23">
        <w:rPr>
          <w:rFonts w:ascii="Times New Roman" w:hAnsi="Times New Roman"/>
        </w:rPr>
        <w:t>Ide o legislatívno-technickú úpravu v súvislosti so zaužívaným spôsobom uvádzania skrátených citácií právne záväzných aktov EÚ.</w:t>
      </w:r>
    </w:p>
    <w:p w:rsidR="00D22F23" w:rsidRPr="00D22F23" w:rsidP="00807776">
      <w:pPr>
        <w:bidi w:val="0"/>
        <w:ind w:right="295"/>
        <w:jc w:val="both"/>
        <w:rPr>
          <w:rFonts w:ascii="Times New Roman" w:hAnsi="Times New Roman"/>
        </w:rPr>
      </w:pPr>
    </w:p>
    <w:p w:rsidR="00D22F23" w:rsidP="00807776">
      <w:pPr>
        <w:widowControl w:val="0"/>
        <w:numPr>
          <w:numId w:val="26"/>
        </w:numPr>
        <w:autoSpaceDE w:val="0"/>
        <w:autoSpaceDN w:val="0"/>
        <w:bidi w:val="0"/>
        <w:adjustRightInd w:val="0"/>
        <w:ind w:left="284" w:right="293" w:hanging="284"/>
        <w:jc w:val="both"/>
        <w:rPr>
          <w:rFonts w:ascii="Times New Roman" w:hAnsi="Times New Roman"/>
        </w:rPr>
      </w:pPr>
      <w:r w:rsidRPr="00D4382D">
        <w:rPr>
          <w:rFonts w:ascii="Times New Roman" w:hAnsi="Times New Roman"/>
        </w:rPr>
        <w:t xml:space="preserve"> V čl. X bod 6</w:t>
      </w:r>
    </w:p>
    <w:p w:rsidR="00807776" w:rsidRPr="00D4382D" w:rsidP="00807776">
      <w:pPr>
        <w:widowControl w:val="0"/>
        <w:autoSpaceDE w:val="0"/>
        <w:autoSpaceDN w:val="0"/>
        <w:bidi w:val="0"/>
        <w:adjustRightInd w:val="0"/>
        <w:ind w:left="284" w:right="293"/>
        <w:jc w:val="both"/>
        <w:rPr>
          <w:rFonts w:ascii="Times New Roman" w:hAnsi="Times New Roman"/>
        </w:rPr>
      </w:pPr>
    </w:p>
    <w:p w:rsidR="00D4382D" w:rsidRPr="00D22F23" w:rsidP="00807776">
      <w:pPr>
        <w:bidi w:val="0"/>
        <w:ind w:left="284" w:hanging="284"/>
        <w:jc w:val="both"/>
        <w:rPr>
          <w:rFonts w:ascii="Times New Roman" w:hAnsi="Times New Roman"/>
        </w:rPr>
      </w:pPr>
      <w:r w:rsidRPr="00D22F23" w:rsidR="00D22F23">
        <w:rPr>
          <w:rFonts w:ascii="Times New Roman" w:hAnsi="Times New Roman"/>
        </w:rPr>
        <w:t xml:space="preserve">      V čl. X sa vypúšťa šiesty bod.</w:t>
      </w:r>
    </w:p>
    <w:p w:rsidR="00D4382D" w:rsidP="00FB6D19">
      <w:pPr>
        <w:bidi w:val="0"/>
        <w:ind w:left="3540"/>
        <w:jc w:val="both"/>
        <w:rPr>
          <w:rFonts w:ascii="Times New Roman" w:hAnsi="Times New Roman"/>
        </w:rPr>
      </w:pPr>
      <w:r w:rsidRPr="00D22F23" w:rsidR="00D22F23">
        <w:rPr>
          <w:rFonts w:ascii="Times New Roman" w:hAnsi="Times New Roman"/>
        </w:rPr>
        <w:t>V čl. X  (zákon o dohľade nad finančným trhom) je</w:t>
      </w:r>
      <w:r w:rsidRPr="005610DE" w:rsidR="00D22F23">
        <w:rPr>
          <w:rFonts w:ascii="Times New Roman" w:hAnsi="Times New Roman"/>
        </w:rPr>
        <w:t xml:space="preserve"> potrebné vypustiť šiesty bod ako duplicitný, nakoľko znenie poznámky pod čiarou k odkazu 15 je už  súčasťou zákona zo 6. septembra 2017, ktorým sa mení a dopĺňa zákon č. 566/2001 Z.</w:t>
      </w:r>
      <w:r w:rsidR="00D22F23">
        <w:rPr>
          <w:rFonts w:ascii="Times New Roman" w:hAnsi="Times New Roman"/>
        </w:rPr>
        <w:t xml:space="preserve"> </w:t>
      </w:r>
      <w:r w:rsidRPr="005610DE" w:rsidR="00D22F23">
        <w:rPr>
          <w:rFonts w:ascii="Times New Roman" w:hAnsi="Times New Roman"/>
        </w:rPr>
        <w:t xml:space="preserve">z. o cenných papieroch a investičných službách a o zmene a doplnení niektorých zákonov </w:t>
      </w:r>
      <w:r w:rsidR="00D22F23">
        <w:rPr>
          <w:rFonts w:ascii="Times New Roman" w:hAnsi="Times New Roman"/>
        </w:rPr>
        <w:t xml:space="preserve">(čl. III druhý bod), </w:t>
      </w:r>
      <w:r w:rsidRPr="005610DE" w:rsidR="00D22F23">
        <w:rPr>
          <w:rFonts w:ascii="Times New Roman" w:hAnsi="Times New Roman"/>
        </w:rPr>
        <w:t xml:space="preserve">ktorý nadobudne účinnosť 1. novembra 2017. Navrhovaná zmena sa premietne aj </w:t>
      </w:r>
      <w:r w:rsidR="00D22F23">
        <w:rPr>
          <w:rFonts w:ascii="Times New Roman" w:hAnsi="Times New Roman"/>
        </w:rPr>
        <w:t>do</w:t>
      </w:r>
      <w:r w:rsidRPr="005610DE" w:rsidR="00D22F23">
        <w:rPr>
          <w:rFonts w:ascii="Times New Roman" w:hAnsi="Times New Roman"/>
        </w:rPr>
        <w:t> us</w:t>
      </w:r>
      <w:r w:rsidR="00FB6D19">
        <w:rPr>
          <w:rFonts w:ascii="Times New Roman" w:hAnsi="Times New Roman"/>
        </w:rPr>
        <w:t xml:space="preserve">tanovenia o delenej účinnosti. </w:t>
      </w:r>
    </w:p>
    <w:p w:rsidR="00D4382D" w:rsidP="00D22F23">
      <w:pPr>
        <w:bidi w:val="0"/>
        <w:ind w:firstLine="360"/>
        <w:jc w:val="both"/>
        <w:rPr>
          <w:rFonts w:ascii="Times New Roman" w:hAnsi="Times New Roman"/>
        </w:rPr>
      </w:pPr>
    </w:p>
    <w:p w:rsidR="00D4382D" w:rsidP="00D4382D">
      <w:pPr>
        <w:pStyle w:val="ListParagraph"/>
        <w:numPr>
          <w:numId w:val="26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bode 40 § 35h odsek 3 znie:</w:t>
      </w:r>
    </w:p>
    <w:p w:rsidR="00D4382D" w:rsidRPr="0012692C" w:rsidP="00D4382D">
      <w:pPr>
        <w:bidi w:val="0"/>
        <w:ind w:left="425" w:firstLine="425"/>
        <w:jc w:val="both"/>
        <w:rPr>
          <w:rFonts w:ascii="Times New Roman" w:hAnsi="Times New Roman"/>
        </w:rPr>
      </w:pPr>
      <w:bookmarkStart w:id="0" w:name="_Hlk494660249"/>
      <w:r w:rsidRPr="0012692C">
        <w:rPr>
          <w:rFonts w:ascii="Times New Roman" w:hAnsi="Times New Roman"/>
        </w:rPr>
        <w:t xml:space="preserve">„(3) Ak Národná banka Slovenska v jednom konaní </w:t>
      </w:r>
      <w:r w:rsidRPr="00BE7DFF">
        <w:rPr>
          <w:rFonts w:ascii="Times New Roman" w:hAnsi="Times New Roman"/>
        </w:rPr>
        <w:t>koná a rozhoduje o uložení sankcie jednej osobe za dva alebo viaceré nedostatky v oblasti ochrany finančných spotrebiteľov podľa tohto zákona alebo osobitných predpisov,</w:t>
      </w:r>
      <w:r w:rsidRPr="00BE7DFF">
        <w:rPr>
          <w:rFonts w:ascii="Times New Roman" w:hAnsi="Times New Roman"/>
          <w:vertAlign w:val="superscript"/>
        </w:rPr>
        <w:t>1</w:t>
      </w:r>
      <w:r w:rsidRPr="00BE7DFF">
        <w:rPr>
          <w:rFonts w:ascii="Times New Roman" w:hAnsi="Times New Roman"/>
        </w:rPr>
        <w:t>), ktoré boli zistené za obdobie najviac dvanásť po sebe nasledujúcich mesiacov, Národná</w:t>
      </w:r>
      <w:r w:rsidRPr="0012692C">
        <w:rPr>
          <w:rFonts w:ascii="Times New Roman" w:hAnsi="Times New Roman"/>
        </w:rPr>
        <w:t xml:space="preserve"> banka Slovenska za všetky postihované nedostatky uloží úhrnnú pokutu podľa ustanovenia, ktoré sa vzťahuje na nedostatok s najvyššou hornou hranicou sadzby pokuty vrátane zvýšenia sadzby podľa § 35g ods. 2 alebo osobitných predpisov;</w:t>
      </w:r>
      <w:r w:rsidRPr="0012692C">
        <w:rPr>
          <w:rFonts w:ascii="Times New Roman" w:hAnsi="Times New Roman"/>
          <w:vertAlign w:val="superscript"/>
        </w:rPr>
        <w:t>1</w:t>
      </w:r>
      <w:r w:rsidRPr="0012692C">
        <w:rPr>
          <w:rFonts w:ascii="Times New Roman" w:hAnsi="Times New Roman"/>
        </w:rPr>
        <w:t>) ak za viaceré nedostatky sú rovnaké najvyššie horné hranice sadzieb pokút vrátane ich zvýšenia podľa § 35g ods. 2 alebo osobitných predpisov,</w:t>
      </w:r>
      <w:r w:rsidRPr="0012692C">
        <w:rPr>
          <w:rFonts w:ascii="Times New Roman" w:hAnsi="Times New Roman"/>
          <w:vertAlign w:val="superscript"/>
        </w:rPr>
        <w:t>1</w:t>
      </w:r>
      <w:r w:rsidRPr="0012692C">
        <w:rPr>
          <w:rFonts w:ascii="Times New Roman" w:hAnsi="Times New Roman"/>
        </w:rPr>
        <w:t>) úhrnná pokuta sa uloží podľa ustanovenia, ktoré sa vzťahuje na jeden z nich. Ak za postihované nedostatky sú dolné hranice sadzieb pokuty rôzne, dolnou hranicou sadzby úhrnnej pokuty je najvyššia z týchto sadzieb vrátane jej zvýšenia podľa § 35g ods. 2 alebo osobitných predpisov.</w:t>
      </w:r>
      <w:r w:rsidRPr="0012692C">
        <w:rPr>
          <w:rFonts w:ascii="Times New Roman" w:hAnsi="Times New Roman"/>
          <w:vertAlign w:val="superscript"/>
        </w:rPr>
        <w:t>1</w:t>
      </w:r>
      <w:r w:rsidRPr="0012692C">
        <w:rPr>
          <w:rFonts w:ascii="Times New Roman" w:hAnsi="Times New Roman"/>
        </w:rPr>
        <w:t>) Národná banka Slovenska pri určení výšky úhrnnej pokuty zohľadní skutočnosti uvedené v § 35f ods. 1 vo vzťahu ku všetkým nedostatkom, ktoré sú postihované rozhodnutím o uložení sankcie, a aj počet týchto nedostatkov.</w:t>
      </w:r>
      <w:r>
        <w:rPr>
          <w:rFonts w:ascii="Times New Roman" w:hAnsi="Times New Roman"/>
        </w:rPr>
        <w:t>“.</w:t>
      </w:r>
    </w:p>
    <w:p w:rsidR="00D4382D" w:rsidP="00D4382D">
      <w:pPr>
        <w:pStyle w:val="ListParagraph"/>
        <w:bidi w:val="0"/>
        <w:ind w:left="360"/>
        <w:jc w:val="both"/>
        <w:rPr>
          <w:rFonts w:ascii="Times New Roman" w:hAnsi="Times New Roman"/>
        </w:rPr>
      </w:pPr>
      <w:bookmarkEnd w:id="0"/>
    </w:p>
    <w:p w:rsidR="00D4382D" w:rsidRPr="00D4382D" w:rsidP="00D4382D">
      <w:pPr>
        <w:tabs>
          <w:tab w:val="left" w:pos="720"/>
        </w:tabs>
        <w:bidi w:val="0"/>
        <w:ind w:left="3540"/>
        <w:jc w:val="both"/>
        <w:rPr>
          <w:rFonts w:ascii="Times New Roman" w:hAnsi="Times New Roman"/>
          <w:bCs/>
        </w:rPr>
      </w:pPr>
      <w:r w:rsidRPr="00D4382D">
        <w:rPr>
          <w:rFonts w:ascii="Times New Roman" w:hAnsi="Times New Roman"/>
          <w:bCs/>
        </w:rPr>
        <w:t xml:space="preserve">S cieľom zachovať predkladateľom sledovaný cieľ právnej úpravy a dosiahnutie tohto proporcionálne vyvážiť s verejným záujmom na adekvátnom postihovaní porušovania práv finančných spotrebiteľov sa navrhuje ustanovenie odseku 3 stanovujúce pravidlá pre ukladanie úhrnnej pokuty časovo limitovať na prípady, kedy sa bude jednať o viaceré samostatné nedostatky, ktoré boli zistené za obdobie najviac 12 po sebe idúcich mesiacov. V prípade, ak by sa jednalo o viaceré nedostatky zistené za obdobie presahujúce tento časový rámec, Národná banka Slovenska nemôže udeliť jedinú úhrnnú pokutu za takéto nedostatky. V praxi to znamená, že Národná banka Slovenska by mala o predmetných nedostatkoch viesť viaceré samostatné konania, pričom v každom z nich uloží za takéto nedostatky samostatné pokuty. V takom prípade sa uplatní pravidlo stanovené v ods. 4 tohto § 35h (za splnenia ostatných predpokladov v predmetnom ustanovení uvedených). </w:t>
      </w:r>
    </w:p>
    <w:p w:rsidR="00D22F23" w:rsidRPr="00FB6D19" w:rsidP="00FB6D19">
      <w:pPr>
        <w:bidi w:val="0"/>
        <w:jc w:val="both"/>
        <w:rPr>
          <w:rFonts w:ascii="Times New Roman" w:hAnsi="Times New Roman"/>
        </w:rPr>
      </w:pPr>
    </w:p>
    <w:p w:rsidR="00D22F23" w:rsidP="00807776">
      <w:pPr>
        <w:numPr>
          <w:numId w:val="26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B6D19">
        <w:rPr>
          <w:rFonts w:ascii="Times New Roman" w:hAnsi="Times New Roman"/>
        </w:rPr>
        <w:t>V čl. X  bod 40</w:t>
      </w:r>
    </w:p>
    <w:p w:rsidR="00807776" w:rsidRPr="00FB6D19" w:rsidP="00807776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</w:p>
    <w:p w:rsidR="00D22F23" w:rsidRPr="005610DE" w:rsidP="00807776">
      <w:pPr>
        <w:bidi w:val="0"/>
        <w:ind w:left="426" w:hanging="142"/>
        <w:jc w:val="both"/>
        <w:rPr>
          <w:rFonts w:ascii="Times New Roman" w:hAnsi="Times New Roman"/>
        </w:rPr>
      </w:pPr>
      <w:r w:rsidRPr="005610DE">
        <w:rPr>
          <w:rFonts w:ascii="Times New Roman" w:hAnsi="Times New Roman"/>
        </w:rPr>
        <w:t xml:space="preserve">  V čl.</w:t>
      </w:r>
      <w:r>
        <w:rPr>
          <w:rFonts w:ascii="Times New Roman" w:hAnsi="Times New Roman"/>
        </w:rPr>
        <w:t xml:space="preserve"> X 40. bode § 35h ods. 3 a 4  </w:t>
      </w:r>
      <w:r w:rsidRPr="005610DE">
        <w:rPr>
          <w:rFonts w:ascii="Times New Roman" w:hAnsi="Times New Roman"/>
        </w:rPr>
        <w:t xml:space="preserve">v celom texte sa  slová „podľa § 35g ods.2“ nahrádzajú slovami „podľa § 35f ods. 2“. </w:t>
      </w:r>
    </w:p>
    <w:p w:rsidR="00D22F23" w:rsidP="00D22F23">
      <w:pPr>
        <w:bidi w:val="0"/>
        <w:ind w:left="3538"/>
        <w:jc w:val="both"/>
        <w:rPr>
          <w:rFonts w:ascii="Times New Roman" w:hAnsi="Times New Roman"/>
        </w:rPr>
      </w:pPr>
    </w:p>
    <w:p w:rsidR="00D22F23" w:rsidP="00FB6D19">
      <w:pPr>
        <w:bidi w:val="0"/>
        <w:ind w:left="3538"/>
        <w:jc w:val="both"/>
        <w:rPr>
          <w:rFonts w:ascii="Times New Roman" w:hAnsi="Times New Roman"/>
        </w:rPr>
      </w:pPr>
      <w:r w:rsidRPr="005610DE">
        <w:rPr>
          <w:rFonts w:ascii="Times New Roman" w:hAnsi="Times New Roman"/>
        </w:rPr>
        <w:t>Ide o precizovanie  navrhovaného znenia § 35h  pri konaní a roz</w:t>
      </w:r>
      <w:r>
        <w:rPr>
          <w:rFonts w:ascii="Times New Roman" w:hAnsi="Times New Roman"/>
        </w:rPr>
        <w:t xml:space="preserve">hodovaní NBS o uložení sankcie </w:t>
      </w:r>
      <w:r w:rsidRPr="005610DE">
        <w:rPr>
          <w:rFonts w:ascii="Times New Roman" w:hAnsi="Times New Roman"/>
        </w:rPr>
        <w:t>jednej osobe za dva alebo viaceré nedostatky nahradením správneho vnútorného odkazu zákona na § 35f ods.2, ktorý upravuje inštitút zvýšenia pokuty</w:t>
      </w:r>
      <w:r w:rsidR="00FB6D19">
        <w:rPr>
          <w:rFonts w:ascii="Times New Roman" w:hAnsi="Times New Roman"/>
        </w:rPr>
        <w:t>.</w:t>
      </w:r>
    </w:p>
    <w:p w:rsidR="00FB6D19" w:rsidP="00D22F23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B6D19" w:rsidP="00FB6D19">
      <w:pPr>
        <w:pStyle w:val="ListParagraph"/>
        <w:numPr>
          <w:numId w:val="26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sa za bod 43 vkladajú nové body 44 až 46, ktoré znejú:</w:t>
      </w:r>
    </w:p>
    <w:p w:rsidR="00FB6D19" w:rsidP="00FB6D19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„44. § 35j sa dopĺňa odsekom 4, ktorý znie:</w:t>
      </w:r>
    </w:p>
    <w:p w:rsidR="00FB6D19" w:rsidP="00FB6D19">
      <w:pPr>
        <w:pStyle w:val="ListParagraph"/>
        <w:bidi w:val="0"/>
        <w:ind w:left="360"/>
        <w:jc w:val="both"/>
        <w:rPr>
          <w:rFonts w:ascii="Times New Roman" w:hAnsi="Times New Roman"/>
        </w:rPr>
      </w:pPr>
      <w:bookmarkStart w:id="1" w:name="_Hlk494663507"/>
      <w:r>
        <w:rPr>
          <w:rFonts w:ascii="Times New Roman" w:hAnsi="Times New Roman"/>
        </w:rPr>
        <w:t>„(4) Národná banka Slovenska vybaví podanie podľa § 1 ods. 3 písm. c) tak, že zhodnotí zistený skutkový stav, právne ho posúdi a uvedie porušenia predpisov v oblasti, ktorú dohliada Národná banka Slovenska, dohliadaným subjektom, ak k nim došlo. Prebiehajúci dohľad nad dohliadaným subjektom nemôže byť prekážkou vybavenia podania, najmä pokiaľ ide o zhodnotenie skutkového stavu, jeho právne posúdenie a uvedenie porušení právnych predpisov v oblasti ochrany finančného spotrebiteľa.“.</w:t>
      </w:r>
    </w:p>
    <w:p w:rsidR="00FB6D19" w:rsidRPr="00CB3364" w:rsidP="00FB6D19">
      <w:pPr>
        <w:pStyle w:val="BodyText"/>
        <w:bidi w:val="0"/>
        <w:rPr>
          <w:rFonts w:ascii="Times New Roman" w:hAnsi="Times New Roman"/>
        </w:rPr>
      </w:pPr>
      <w:bookmarkEnd w:id="1"/>
      <w:r>
        <w:rPr>
          <w:rFonts w:ascii="Times New Roman" w:hAnsi="Times New Roman"/>
        </w:rPr>
        <w:t xml:space="preserve">      45. </w:t>
      </w:r>
      <w:r w:rsidRPr="00CB3364">
        <w:rPr>
          <w:rFonts w:ascii="Times New Roman" w:hAnsi="Times New Roman"/>
        </w:rPr>
        <w:t>Za § </w:t>
      </w:r>
      <w:r>
        <w:rPr>
          <w:rFonts w:ascii="Times New Roman" w:hAnsi="Times New Roman"/>
        </w:rPr>
        <w:t>35j</w:t>
      </w:r>
      <w:r w:rsidRPr="00CB3364">
        <w:rPr>
          <w:rFonts w:ascii="Times New Roman" w:hAnsi="Times New Roman"/>
        </w:rPr>
        <w:t xml:space="preserve"> sa vkladá § </w:t>
      </w:r>
      <w:r>
        <w:rPr>
          <w:rFonts w:ascii="Times New Roman" w:hAnsi="Times New Roman"/>
        </w:rPr>
        <w:t>35ja</w:t>
      </w:r>
      <w:r w:rsidRPr="00CB3364">
        <w:rPr>
          <w:rFonts w:ascii="Times New Roman" w:hAnsi="Times New Roman"/>
        </w:rPr>
        <w:t>, ktorý znie:</w:t>
      </w:r>
    </w:p>
    <w:p w:rsidR="00FB6D19" w:rsidRPr="00B800EA" w:rsidP="00FB6D19">
      <w:pPr>
        <w:bidi w:val="0"/>
        <w:jc w:val="both"/>
        <w:rPr>
          <w:rFonts w:ascii="Times New Roman" w:hAnsi="Times New Roman"/>
        </w:rPr>
      </w:pPr>
    </w:p>
    <w:p w:rsidR="00FB6D19" w:rsidP="00FB6D1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35ja</w:t>
      </w:r>
    </w:p>
    <w:p w:rsidR="00FB6D19" w:rsidP="00FB6D19">
      <w:pPr>
        <w:bidi w:val="0"/>
        <w:jc w:val="center"/>
        <w:rPr>
          <w:rFonts w:ascii="Times New Roman" w:hAnsi="Times New Roman"/>
        </w:rPr>
      </w:pPr>
    </w:p>
    <w:p w:rsidR="00FB6D19" w:rsidP="00FB6D19">
      <w:pPr>
        <w:bidi w:val="0"/>
        <w:ind w:left="708" w:firstLine="708"/>
        <w:jc w:val="both"/>
        <w:rPr>
          <w:rFonts w:ascii="Times New Roman" w:hAnsi="Times New Roman"/>
        </w:rPr>
      </w:pPr>
      <w:r w:rsidRPr="00B17F90">
        <w:rPr>
          <w:rFonts w:ascii="Times New Roman" w:hAnsi="Times New Roman"/>
        </w:rPr>
        <w:t xml:space="preserve">Národná banka Slovenska podanie § 1 ods. 3 písm. c) vybaví v základnej lehote </w:t>
      </w:r>
      <w:r>
        <w:rPr>
          <w:rFonts w:ascii="Times New Roman" w:hAnsi="Times New Roman"/>
        </w:rPr>
        <w:t>6</w:t>
      </w:r>
      <w:r w:rsidRPr="00B17F90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>kalendárnych</w:t>
      </w:r>
      <w:r w:rsidRPr="00B17F90">
        <w:rPr>
          <w:rFonts w:ascii="Times New Roman" w:hAnsi="Times New Roman"/>
        </w:rPr>
        <w:t xml:space="preserve"> dní (ďalej len „základná lehota“), ktorá plynie od doručenia podania alebo odstránenia nedostatkov podania. Základnú lehotu </w:t>
      </w:r>
      <w:r>
        <w:rPr>
          <w:rFonts w:ascii="Times New Roman" w:hAnsi="Times New Roman"/>
        </w:rPr>
        <w:t xml:space="preserve">môže </w:t>
      </w:r>
      <w:r w:rsidRPr="00B17F90">
        <w:rPr>
          <w:rFonts w:ascii="Times New Roman" w:hAnsi="Times New Roman"/>
        </w:rPr>
        <w:t xml:space="preserve">Národná banka Slovenska z dôvodu závažných prekážok, ktoré bránia vybaveniu podania alebo z iného dôležitého dôvodu, ak tieto nastali bez zavinenia Národnej banky Slovenska, predĺžiť o ďalších 30 </w:t>
      </w:r>
      <w:r>
        <w:rPr>
          <w:rFonts w:ascii="Times New Roman" w:hAnsi="Times New Roman"/>
        </w:rPr>
        <w:t>kalendárnych</w:t>
      </w:r>
      <w:r w:rsidRPr="00B17F90">
        <w:rPr>
          <w:rFonts w:ascii="Times New Roman" w:hAnsi="Times New Roman"/>
        </w:rPr>
        <w:t xml:space="preserve"> dní, avšak najviac o </w:t>
      </w:r>
      <w:r>
        <w:rPr>
          <w:rFonts w:ascii="Times New Roman" w:hAnsi="Times New Roman"/>
        </w:rPr>
        <w:t>9</w:t>
      </w:r>
      <w:r w:rsidRPr="00B17F90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 xml:space="preserve">kalendárnych </w:t>
      </w:r>
      <w:r w:rsidRPr="00B17F90">
        <w:rPr>
          <w:rFonts w:ascii="Times New Roman" w:hAnsi="Times New Roman"/>
        </w:rPr>
        <w:t xml:space="preserve">dní. </w:t>
      </w:r>
      <w:r>
        <w:rPr>
          <w:rFonts w:ascii="Times New Roman" w:hAnsi="Times New Roman"/>
        </w:rPr>
        <w:t xml:space="preserve">O predĺžení lehoty a o dôvodoch predĺženia Národná banka Slovenska bezodkladne písomne informuje </w:t>
      </w:r>
      <w:r w:rsidRPr="00AD3099">
        <w:rPr>
          <w:rFonts w:ascii="Times New Roman" w:hAnsi="Times New Roman"/>
        </w:rPr>
        <w:t>predkladateľ</w:t>
      </w:r>
      <w:r>
        <w:rPr>
          <w:rFonts w:ascii="Times New Roman" w:hAnsi="Times New Roman"/>
        </w:rPr>
        <w:t>a podania.“.</w:t>
      </w:r>
    </w:p>
    <w:p w:rsidR="00FB6D19" w:rsidP="00FB6D19">
      <w:pPr>
        <w:bidi w:val="0"/>
        <w:jc w:val="both"/>
        <w:rPr>
          <w:rFonts w:ascii="Times New Roman" w:hAnsi="Times New Roman"/>
        </w:rPr>
      </w:pPr>
    </w:p>
    <w:p w:rsidR="00FB6D19" w:rsidP="00FB6D1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46. V § 35k sa slová „v § 35a až 35j“ nahrádzajú slovami „v § 35a až 35ja“.“.</w:t>
      </w:r>
    </w:p>
    <w:p w:rsidR="00FB6D19" w:rsidP="00FB6D19">
      <w:pPr>
        <w:bidi w:val="0"/>
        <w:jc w:val="both"/>
        <w:rPr>
          <w:rFonts w:ascii="Times New Roman" w:hAnsi="Times New Roman"/>
        </w:rPr>
      </w:pPr>
    </w:p>
    <w:p w:rsidR="00FB6D19" w:rsidRPr="00FB6D19" w:rsidP="00FB6D19">
      <w:pPr>
        <w:bidi w:val="0"/>
        <w:ind w:firstLine="360"/>
        <w:jc w:val="both"/>
        <w:rPr>
          <w:rFonts w:ascii="Times New Roman" w:hAnsi="Times New Roman"/>
        </w:rPr>
      </w:pPr>
      <w:r w:rsidRPr="00FB6D19">
        <w:rPr>
          <w:rFonts w:ascii="Times New Roman" w:hAnsi="Times New Roman"/>
        </w:rPr>
        <w:t>Ostávajúce body sa primerane prečíslujú.</w:t>
      </w:r>
    </w:p>
    <w:p w:rsidR="00FB6D19" w:rsidRPr="004B3390" w:rsidP="00FB6D19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B6D19" w:rsidRPr="00FB6D19" w:rsidP="00FB6D19">
      <w:pPr>
        <w:tabs>
          <w:tab w:val="left" w:pos="720"/>
        </w:tabs>
        <w:bidi w:val="0"/>
        <w:ind w:left="3540"/>
        <w:jc w:val="both"/>
        <w:rPr>
          <w:rFonts w:ascii="Times New Roman" w:hAnsi="Times New Roman"/>
          <w:bCs/>
        </w:rPr>
      </w:pPr>
      <w:r w:rsidRPr="00FB6D19">
        <w:rPr>
          <w:rFonts w:ascii="Times New Roman" w:hAnsi="Times New Roman"/>
          <w:bCs/>
        </w:rPr>
        <w:t>Navrhuje sa upraviť náležitosti a obsah, akým spôsobom Národná banka Slovenska vybaví podnet finančného spotrebiteľa. Výraznou zmenou bude povinnosť vyjadriť sa finančnému spotrebiteľovi aj k takým skutočnostiam, pre ktoré aktuálne prebieha dohľad. (bod 44)</w:t>
        <w:tab/>
        <w:tab/>
        <w:t xml:space="preserve"> </w:t>
      </w:r>
    </w:p>
    <w:p w:rsidR="00FB6D19" w:rsidRPr="00FB6D19" w:rsidP="00FB6D19">
      <w:pPr>
        <w:bidi w:val="0"/>
        <w:ind w:left="3540"/>
        <w:jc w:val="both"/>
        <w:rPr>
          <w:rFonts w:ascii="Times New Roman" w:hAnsi="Times New Roman"/>
          <w:bCs/>
        </w:rPr>
      </w:pPr>
      <w:r w:rsidRPr="00FB6D19">
        <w:rPr>
          <w:rFonts w:ascii="Times New Roman" w:hAnsi="Times New Roman"/>
          <w:bCs/>
        </w:rPr>
        <w:t xml:space="preserve">Napriek skutočnosti, že Národná banka Slovenska je orgánom ochrany finančného spotrebiteľa s rozsiahlymi právomocami, ktorého ochrana napĺňa ciele a požiadavky verejného záujmu iba vtedy, ak je poskytovaná v reálnom čase, keď možno porušenie jeho práv minimalizovať alebo mu predísť, právna úprava dlhodobo postráda jednoznačný režim a inštitúty zabezpečujúce včasné vybavenie podnetov finančných spotrebiteľov a ďalších oprávnených osôb. Z uvedeného dôvodu sa ustanovuje postup pri vybavení podania v tzv. základnej a predĺženej lehote. (bod 45) </w:t>
      </w:r>
    </w:p>
    <w:p w:rsidR="00FB6D19" w:rsidRPr="00FB6D19" w:rsidP="00FB6D19">
      <w:pPr>
        <w:bidi w:val="0"/>
        <w:ind w:left="3540"/>
        <w:rPr>
          <w:rFonts w:ascii="Times New Roman" w:hAnsi="Times New Roman"/>
          <w:bCs/>
        </w:rPr>
      </w:pPr>
      <w:r w:rsidRPr="00FB6D19">
        <w:rPr>
          <w:rFonts w:ascii="Times New Roman" w:hAnsi="Times New Roman"/>
          <w:bCs/>
        </w:rPr>
        <w:t>Ide o legislatívno-technickú úpravu v ustanovení § 35k vyvolanú návrhom nového ustanovenia § 35ja. (bod 46)</w:t>
      </w:r>
    </w:p>
    <w:p w:rsidR="00FB6D19" w:rsidP="00FB6D19">
      <w:pPr>
        <w:bidi w:val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ab/>
      </w:r>
    </w:p>
    <w:p w:rsidR="00FB6D19" w:rsidP="00FB6D19">
      <w:pPr>
        <w:pStyle w:val="ListParagraph"/>
        <w:numPr>
          <w:numId w:val="26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sa za bod 45 vkladá nový bod 46, ktorý znie:</w:t>
      </w:r>
    </w:p>
    <w:p w:rsidR="00FB6D19" w:rsidP="00FB6D1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„46. V § 37 ods. 1 písm. d) text za bodkočiarkou znie:</w:t>
      </w:r>
    </w:p>
    <w:p w:rsidR="00FB6D19" w:rsidP="00FB6D1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4B3390">
        <w:rPr>
          <w:rFonts w:ascii="Times New Roman" w:hAnsi="Times New Roman"/>
        </w:rPr>
        <w:t>Národná banka Slovenska rovnakým spôsobom zverejňuje aj výroky a odôvodnenia vydaných rozhodnutí Národnej banky Slovenska vo veciach ochrany finančných spotrebiteľov vrátane vydaných predbežných opatrení a rozhodnutí vydaných v rozkaznom konaní bez ohľadu na podanie opravného prostriedku zo strany dohliadaného subjektu, s</w:t>
      </w:r>
      <w:r>
        <w:rPr>
          <w:rFonts w:ascii="Times New Roman" w:hAnsi="Times New Roman"/>
        </w:rPr>
        <w:t> </w:t>
      </w:r>
      <w:r w:rsidRPr="004B3390">
        <w:rPr>
          <w:rFonts w:ascii="Times New Roman" w:hAnsi="Times New Roman"/>
        </w:rPr>
        <w:t>výnimkou rozhodnutí procesnej povahy a informácie o uložených blokových pokutách, pričom pred zverejnením takých rozhodnutí sa v nich anonymizujú údaje o finančných spotrebiteľoch a do času nadobudnutia ich právoplatnosti aj údaje o dohliadanom subjekte a osobách konajúcich za dohliadaný subjekt, a to v rozsahu obchodné meno alebo meno a priezvisko, sídlo alebo miesto podnikania, IČO, údaj o zápise v obchodnom registri alebo inom verejne prístupnom úradnom registri, v ktorom je zapísaný, číslo a dátum vydania povolenia alebo iného udeleného oprávnenia na vykonávanie činnosti v oblasti finančného trhu; spolu so zverejnením rozhodnutia podľa tohto ustanovenia je Národná banka Slovenska povinná, do času nadobudnutia právoplatnosti rozhodnutia, zverejniť aj oznámenie o tom, že rozhodnutie nie je právoplatné a záväzné</w:t>
      </w:r>
      <w:r w:rsidRPr="00761A5F">
        <w:rPr>
          <w:rFonts w:ascii="Times New Roman" w:hAnsi="Times New Roman"/>
        </w:rPr>
        <w:t>,</w:t>
      </w:r>
      <w:r>
        <w:rPr>
          <w:rFonts w:ascii="Times New Roman" w:hAnsi="Times New Roman"/>
        </w:rPr>
        <w:t>“.“.</w:t>
      </w:r>
    </w:p>
    <w:p w:rsidR="00FB6D19" w:rsidRPr="00BE7DFF" w:rsidP="00FB6D19">
      <w:pPr>
        <w:bidi w:val="0"/>
        <w:jc w:val="both"/>
        <w:rPr>
          <w:rFonts w:ascii="Times New Roman" w:hAnsi="Times New Roman"/>
        </w:rPr>
      </w:pPr>
    </w:p>
    <w:p w:rsidR="00FB6D19" w:rsidRPr="00FB6D19" w:rsidP="00FB6D19">
      <w:pPr>
        <w:bidi w:val="0"/>
        <w:jc w:val="both"/>
        <w:rPr>
          <w:rFonts w:ascii="Times New Roman" w:hAnsi="Times New Roman"/>
        </w:rPr>
      </w:pPr>
      <w:r w:rsidRPr="00FB6D19">
        <w:rPr>
          <w:rFonts w:ascii="Times New Roman" w:hAnsi="Times New Roman"/>
        </w:rPr>
        <w:t>Ostávajúce body sa primerane prečíslujú.</w:t>
      </w:r>
    </w:p>
    <w:p w:rsidR="00FB6D19" w:rsidRPr="00B17F90" w:rsidP="00FB6D19">
      <w:pPr>
        <w:bidi w:val="0"/>
        <w:jc w:val="both"/>
        <w:rPr>
          <w:rFonts w:ascii="Times New Roman" w:hAnsi="Times New Roman"/>
        </w:rPr>
      </w:pPr>
    </w:p>
    <w:p w:rsidR="00FB6D19" w:rsidRPr="00FB6D19" w:rsidP="00FB6D19">
      <w:pPr>
        <w:tabs>
          <w:tab w:val="left" w:pos="720"/>
        </w:tabs>
        <w:bidi w:val="0"/>
        <w:ind w:left="3540"/>
        <w:jc w:val="both"/>
        <w:rPr>
          <w:rFonts w:ascii="Times New Roman" w:hAnsi="Times New Roman"/>
          <w:bCs/>
        </w:rPr>
      </w:pPr>
      <w:r w:rsidRPr="00FB6D19">
        <w:rPr>
          <w:rFonts w:ascii="Times New Roman" w:hAnsi="Times New Roman"/>
          <w:bCs/>
        </w:rPr>
        <w:t xml:space="preserve">Navrhuje sa zverejňovať, prvostupňové a doposiaľ neprávoplatné rozhodnutia Národnej banky Slovenska vydané  pri dohľade. Národná banka Slovenska zverejní tieto rozhodnutia výlučne v režime podľa navrhovaného ustanovenia a v anonymizovanej podobe. </w:t>
      </w:r>
      <w:bookmarkStart w:id="2" w:name="_Hlk494665645"/>
      <w:r w:rsidRPr="00FB6D19">
        <w:rPr>
          <w:rFonts w:ascii="Times New Roman" w:hAnsi="Times New Roman"/>
          <w:bCs/>
        </w:rPr>
        <w:t xml:space="preserve">Ide o osobitný právny režim zverejňovania podľa navrhovaného ustanovenia. Na uvedené zverejňovanie/sprístupňovanie (rozhodnutí o dohľade) nemožno aplikovať právny režim sprístupňovania informácií (ani individuálny a ani hromadný) podľa zákona č. 211/2000 Z.z. nakoľko tento je vylúčený podľa § 11 ods. 1  písm. h) infozákona.  </w:t>
      </w:r>
    </w:p>
    <w:p w:rsidR="00FB6D19" w:rsidP="00D22F23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</w:rPr>
      </w:pPr>
      <w:bookmarkEnd w:id="2"/>
    </w:p>
    <w:p w:rsidR="00D22F23" w:rsidRPr="001C07BB" w:rsidP="00BC606E">
      <w:pPr>
        <w:numPr>
          <w:numId w:val="26"/>
        </w:numPr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1C07BB">
        <w:rPr>
          <w:rFonts w:ascii="Times New Roman" w:hAnsi="Times New Roman"/>
        </w:rPr>
        <w:t>V čl. X bod 57</w:t>
      </w:r>
    </w:p>
    <w:p w:rsidR="00D22F23" w:rsidRPr="005610DE" w:rsidP="00BC606E">
      <w:p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5610DE">
        <w:rPr>
          <w:rFonts w:ascii="Times New Roman" w:hAnsi="Times New Roman"/>
        </w:rPr>
        <w:t xml:space="preserve">    V čl. X sa vypúšťa 57 bod.</w:t>
      </w:r>
    </w:p>
    <w:p w:rsidR="00D22F23" w:rsidRPr="005610DE" w:rsidP="00D22F23">
      <w:pPr>
        <w:bidi w:val="0"/>
        <w:ind w:left="339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  (</w:t>
      </w:r>
      <w:r w:rsidRPr="005610DE">
        <w:rPr>
          <w:rFonts w:ascii="Times New Roman" w:hAnsi="Times New Roman"/>
        </w:rPr>
        <w:t>zákon o dohľade nad finančným trhom)  sa vypúšťa 57.  bod ako duplicitný nakoľko znenie § 40</w:t>
      </w:r>
      <w:r>
        <w:rPr>
          <w:rFonts w:ascii="Times New Roman" w:hAnsi="Times New Roman"/>
        </w:rPr>
        <w:t xml:space="preserve"> ods. 10 v znení tohto návrhu </w:t>
      </w:r>
      <w:r w:rsidRPr="005610DE">
        <w:rPr>
          <w:rFonts w:ascii="Times New Roman" w:hAnsi="Times New Roman"/>
        </w:rPr>
        <w:t>bolo schválené zákonom zo 6. septembra 2017, ktorým sa mení a dopĺňa zákon č. 566/2001 Z. z. o cenných papieroch a investičných službách a o zmene a doplnení n</w:t>
      </w:r>
      <w:r>
        <w:rPr>
          <w:rFonts w:ascii="Times New Roman" w:hAnsi="Times New Roman"/>
        </w:rPr>
        <w:t>iektorých zákonov (čl. III</w:t>
      </w:r>
      <w:r w:rsidRPr="005610DE">
        <w:rPr>
          <w:rFonts w:ascii="Times New Roman" w:hAnsi="Times New Roman"/>
        </w:rPr>
        <w:t xml:space="preserve"> 25. bod), ktorý nadobudne účinnosť 1. novembra 2017. Navrhovaná zmena sa premietne aj </w:t>
      </w:r>
      <w:r>
        <w:rPr>
          <w:rFonts w:ascii="Times New Roman" w:hAnsi="Times New Roman"/>
        </w:rPr>
        <w:t>do</w:t>
      </w:r>
      <w:r w:rsidRPr="005610DE">
        <w:rPr>
          <w:rFonts w:ascii="Times New Roman" w:hAnsi="Times New Roman"/>
        </w:rPr>
        <w:t> ustanovenia o delenej účinnosti.</w:t>
      </w:r>
    </w:p>
    <w:p w:rsidR="00D22F23" w:rsidP="00D22F23">
      <w:pPr>
        <w:pStyle w:val="ListParagraph"/>
        <w:bidi w:val="0"/>
        <w:spacing w:after="200" w:line="360" w:lineRule="auto"/>
        <w:ind w:left="0" w:right="293"/>
        <w:jc w:val="both"/>
        <w:rPr>
          <w:rFonts w:ascii="Times New Roman" w:hAnsi="Times New Roman"/>
        </w:rPr>
      </w:pPr>
    </w:p>
    <w:p w:rsidR="001C07BB" w:rsidRPr="001C07BB" w:rsidP="001C07BB">
      <w:pPr>
        <w:pStyle w:val="ListParagraph"/>
        <w:numPr>
          <w:numId w:val="26"/>
        </w:numPr>
        <w:bidi w:val="0"/>
        <w:spacing w:after="200" w:line="276" w:lineRule="auto"/>
        <w:jc w:val="both"/>
        <w:rPr>
          <w:rFonts w:ascii="Times New Roman" w:hAnsi="Times New Roman"/>
          <w:bCs/>
        </w:rPr>
      </w:pPr>
      <w:r w:rsidRPr="00BE6B82">
        <w:rPr>
          <w:rFonts w:ascii="Times New Roman" w:hAnsi="Times New Roman"/>
        </w:rPr>
        <w:t xml:space="preserve">V čl. X </w:t>
      </w:r>
      <w:r>
        <w:rPr>
          <w:rFonts w:ascii="Times New Roman" w:hAnsi="Times New Roman"/>
        </w:rPr>
        <w:t>bode 61 s</w:t>
      </w:r>
      <w:r w:rsidRPr="00BE6B82">
        <w:rPr>
          <w:rFonts w:ascii="Times New Roman" w:hAnsi="Times New Roman"/>
        </w:rPr>
        <w:t>a § 45f dopĺňa odsekom</w:t>
      </w:r>
      <w:r>
        <w:rPr>
          <w:rFonts w:ascii="Times New Roman" w:hAnsi="Times New Roman"/>
        </w:rPr>
        <w:t xml:space="preserve"> 4</w:t>
      </w:r>
      <w:r w:rsidRPr="00BE6B82">
        <w:rPr>
          <w:rFonts w:ascii="Times New Roman" w:hAnsi="Times New Roman"/>
        </w:rPr>
        <w:t>, ktorý znie:</w:t>
      </w:r>
    </w:p>
    <w:p w:rsidR="001C07BB" w:rsidRPr="00BE6B82" w:rsidP="001C07BB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000000"/>
        </w:rPr>
      </w:pPr>
      <w:r w:rsidRPr="00BE6B82">
        <w:rPr>
          <w:rFonts w:ascii="Times New Roman" w:hAnsi="Times New Roman"/>
          <w:color w:val="000000"/>
        </w:rPr>
        <w:t>„</w:t>
      </w:r>
      <w:r>
        <w:rPr>
          <w:rFonts w:ascii="Times New Roman" w:hAnsi="Times New Roman"/>
          <w:color w:val="000000"/>
        </w:rPr>
        <w:t xml:space="preserve">(4) </w:t>
      </w:r>
      <w:r w:rsidRPr="00BE6B82">
        <w:rPr>
          <w:rFonts w:ascii="Times New Roman" w:hAnsi="Times New Roman"/>
          <w:color w:val="000000"/>
        </w:rPr>
        <w:t xml:space="preserve">Národná banka Slovenska je povinná zverejniť podľa § 37 ods. 1 písm. d) </w:t>
      </w:r>
      <w:r>
        <w:rPr>
          <w:rFonts w:ascii="Times New Roman" w:hAnsi="Times New Roman"/>
          <w:color w:val="000000"/>
        </w:rPr>
        <w:t xml:space="preserve">tohto zákona </w:t>
      </w:r>
      <w:r w:rsidRPr="00BE6B82">
        <w:rPr>
          <w:rFonts w:ascii="Times New Roman" w:hAnsi="Times New Roman"/>
          <w:color w:val="000000"/>
        </w:rPr>
        <w:t xml:space="preserve">aj rozhodnutia </w:t>
      </w:r>
      <w:r w:rsidRPr="00BE6B82">
        <w:rPr>
          <w:rFonts w:ascii="Times New Roman" w:hAnsi="Times New Roman"/>
          <w:bCs/>
          <w:color w:val="000000"/>
        </w:rPr>
        <w:t>vo veciach ochrany finančných spotrebiteľov</w:t>
      </w:r>
      <w:r w:rsidRPr="00BE6B82">
        <w:rPr>
          <w:rFonts w:ascii="Times New Roman" w:hAnsi="Times New Roman"/>
          <w:color w:val="000000"/>
        </w:rPr>
        <w:t xml:space="preserve">, ktoré boli vydané pred </w:t>
      </w:r>
      <w:r w:rsidRPr="0012692C">
        <w:rPr>
          <w:rFonts w:ascii="Times New Roman" w:hAnsi="Times New Roman"/>
        </w:rPr>
        <w:t>15</w:t>
      </w:r>
      <w:r>
        <w:rPr>
          <w:rFonts w:ascii="Times New Roman" w:hAnsi="Times New Roman"/>
        </w:rPr>
        <w:t>. decembrom</w:t>
      </w:r>
      <w:r w:rsidRPr="0012692C">
        <w:rPr>
          <w:rFonts w:ascii="Times New Roman" w:hAnsi="Times New Roman"/>
        </w:rPr>
        <w:t xml:space="preserve"> 2017</w:t>
      </w:r>
      <w:r w:rsidRPr="00BE6B82">
        <w:rPr>
          <w:rFonts w:ascii="Times New Roman" w:hAnsi="Times New Roman"/>
          <w:color w:val="000000"/>
        </w:rPr>
        <w:t xml:space="preserve">, a to v lehote do </w:t>
      </w:r>
      <w:r>
        <w:rPr>
          <w:rFonts w:ascii="Times New Roman" w:hAnsi="Times New Roman"/>
          <w:color w:val="000000"/>
        </w:rPr>
        <w:t>31</w:t>
      </w:r>
      <w:r w:rsidRPr="00BE6B8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marca </w:t>
      </w:r>
      <w:r w:rsidRPr="00BE6B82">
        <w:rPr>
          <w:rFonts w:ascii="Times New Roman" w:hAnsi="Times New Roman"/>
          <w:color w:val="000000"/>
        </w:rPr>
        <w:t>2018.“</w:t>
      </w:r>
      <w:r>
        <w:rPr>
          <w:rFonts w:ascii="Times New Roman" w:hAnsi="Times New Roman"/>
          <w:color w:val="000000"/>
        </w:rPr>
        <w:t>.</w:t>
      </w:r>
    </w:p>
    <w:p w:rsidR="001C07BB" w:rsidRPr="001C07BB" w:rsidP="001C07BB">
      <w:pPr>
        <w:bidi w:val="0"/>
        <w:rPr>
          <w:rFonts w:ascii="Times New Roman" w:hAnsi="Times New Roman"/>
          <w:bCs/>
        </w:rPr>
      </w:pPr>
    </w:p>
    <w:p w:rsidR="001C07BB" w:rsidRPr="001C07BB" w:rsidP="001C07BB">
      <w:pPr>
        <w:tabs>
          <w:tab w:val="left" w:pos="720"/>
        </w:tabs>
        <w:bidi w:val="0"/>
        <w:ind w:left="3540"/>
        <w:jc w:val="both"/>
        <w:rPr>
          <w:rFonts w:ascii="Times New Roman" w:hAnsi="Times New Roman"/>
          <w:bCs/>
        </w:rPr>
      </w:pPr>
      <w:r w:rsidRPr="001C07BB">
        <w:rPr>
          <w:rFonts w:ascii="Times New Roman" w:hAnsi="Times New Roman"/>
          <w:bCs/>
        </w:rPr>
        <w:t>V súvislosti s návrhom na osobitné zverejňovanie neprávoplatných prvostupňových rozhodnutí vo veciach ochrany finančných spotrebiteľov sa navrhuje ustanoviť prechodným ustanovením osobitnú lehotu na zverejnenie rozhodnutí v rozsahu podľa nového znenia § 37 ods. 1 písm. d), ktoré boli vydané pred nadobudnutím účinnosti tohto zákona.</w:t>
      </w:r>
    </w:p>
    <w:p w:rsidR="001C07BB" w:rsidRPr="001C07BB" w:rsidP="001C07BB">
      <w:pPr>
        <w:tabs>
          <w:tab w:val="left" w:pos="720"/>
          <w:tab w:val="left" w:pos="4253"/>
        </w:tabs>
        <w:bidi w:val="0"/>
        <w:jc w:val="both"/>
        <w:rPr>
          <w:rFonts w:ascii="Times New Roman" w:hAnsi="Times New Roman"/>
          <w:bCs/>
          <w:i/>
        </w:rPr>
      </w:pPr>
    </w:p>
    <w:p w:rsidR="001C07BB" w:rsidP="00BA0F00">
      <w:pPr>
        <w:bidi w:val="0"/>
        <w:jc w:val="both"/>
        <w:rPr>
          <w:rFonts w:ascii="Times New Roman" w:hAnsi="Times New Roman"/>
        </w:rPr>
      </w:pPr>
      <w:r w:rsidRPr="001C07BB">
        <w:rPr>
          <w:rFonts w:ascii="Times New Roman" w:hAnsi="Times New Roman"/>
        </w:rPr>
        <w:t>Ostávajúc</w:t>
      </w:r>
      <w:r w:rsidR="00BA0F00">
        <w:rPr>
          <w:rFonts w:ascii="Times New Roman" w:hAnsi="Times New Roman"/>
        </w:rPr>
        <w:t>e body sa primerane prečíslujú.</w:t>
      </w:r>
    </w:p>
    <w:p w:rsidR="00BA0F00" w:rsidP="00BA0F00">
      <w:pPr>
        <w:bidi w:val="0"/>
        <w:jc w:val="both"/>
        <w:rPr>
          <w:rFonts w:ascii="Times New Roman" w:hAnsi="Times New Roman"/>
        </w:rPr>
      </w:pPr>
    </w:p>
    <w:p w:rsidR="00BA0F00" w:rsidP="00BA0F00">
      <w:pPr>
        <w:pStyle w:val="ListParagraph"/>
        <w:numPr>
          <w:numId w:val="26"/>
        </w:numPr>
        <w:bidi w:val="0"/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XII bode 34 § 9 ods. 18 sa v prvej vete za slová „zmluvy o spotrebiteľskom úvere“ vkladajú </w:t>
      </w:r>
      <w:r w:rsidRPr="00135392">
        <w:rPr>
          <w:rFonts w:ascii="Times New Roman" w:hAnsi="Times New Roman"/>
        </w:rPr>
        <w:t xml:space="preserve">slová „a </w:t>
      </w:r>
      <w:r w:rsidRPr="00BC13C5">
        <w:rPr>
          <w:rFonts w:ascii="Times New Roman" w:hAnsi="Times New Roman"/>
        </w:rPr>
        <w:t>všeobecných obchodných podmienok poskytnutia spotrebiteľského úveru, vrátane ich zmien“ a na konci sa pripája</w:t>
      </w:r>
      <w:r w:rsidRPr="00135392">
        <w:rPr>
          <w:rFonts w:ascii="Times New Roman" w:hAnsi="Times New Roman"/>
        </w:rPr>
        <w:t xml:space="preserve"> táto veta: „</w:t>
      </w:r>
      <w:r w:rsidRPr="004417F6">
        <w:rPr>
          <w:rFonts w:ascii="Times New Roman" w:hAnsi="Times New Roman"/>
        </w:rPr>
        <w:t>Veriteľ na svojom webovom sídle zverejňuje aj všeobecné obchodné podmienky vrátane ich zmien</w:t>
      </w:r>
      <w:r w:rsidRPr="00135392">
        <w:rPr>
          <w:rFonts w:ascii="Times New Roman" w:hAnsi="Times New Roman"/>
        </w:rPr>
        <w:t>.“.</w:t>
      </w:r>
      <w:r>
        <w:rPr>
          <w:rFonts w:ascii="Times New Roman" w:hAnsi="Times New Roman"/>
        </w:rPr>
        <w:t xml:space="preserve"> </w:t>
      </w:r>
    </w:p>
    <w:p w:rsidR="00BA0F00" w:rsidRPr="00BA0F00" w:rsidP="00BA0F00">
      <w:pPr>
        <w:tabs>
          <w:tab w:val="left" w:pos="720"/>
        </w:tabs>
        <w:bidi w:val="0"/>
        <w:ind w:left="35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 xml:space="preserve"> </w:t>
      </w:r>
      <w:r w:rsidRPr="00BA0F00">
        <w:rPr>
          <w:rFonts w:ascii="Times New Roman" w:hAnsi="Times New Roman"/>
          <w:bCs/>
        </w:rPr>
        <w:t>V záujme precizovania dikcie a posilnenia výslovne ustanoveného práva spotrebiteľa na poskytnutie zmluvy o spotrebiteľskom úvere sa navrhuje doplnenie, aby veriteľ mal povinnosť spotrebiteľovi poskytnúť aj písomné vyhotovenie všeobecných zmluvných podmienok regulujúcich spotrebiteľovi poskytnutý spotrebiteľský úver a ich zmien. Súčasne sa zavádza povinnosť veriteľa zverejniť na webovom sídle aj všeobecné zmluvné podmienky ním poskytovaných spotrebiteľských úverov vrátane ich zmien. Uvedená povinnosť zásadným spôsobom stransparentní</w:t>
      </w:r>
      <w:r>
        <w:rPr>
          <w:rFonts w:ascii="Times New Roman" w:hAnsi="Times New Roman"/>
          <w:bCs/>
        </w:rPr>
        <w:t xml:space="preserve"> </w:t>
      </w:r>
      <w:r w:rsidRPr="00BA0F00">
        <w:rPr>
          <w:rFonts w:ascii="Times New Roman" w:hAnsi="Times New Roman"/>
          <w:bCs/>
        </w:rPr>
        <w:t xml:space="preserve">podmienky poskytovania spotrebiteľských úverov, zlepší informovanosť záujemcov o poskytnutie spotrebiteľských úverov a uľahči výkon práv spotrebiteľov a aj združení na ochranu spotrebiteľa, napríklad pri uplatňovaní kolektívneho záujmu spotrebiteľov a využívaní abstraktnej kontroly spotrebiteľských zmlúv. </w:t>
      </w:r>
    </w:p>
    <w:p w:rsidR="00BA0F00" w:rsidP="00BA0F00">
      <w:pPr>
        <w:tabs>
          <w:tab w:val="left" w:pos="720"/>
          <w:tab w:val="left" w:pos="4253"/>
        </w:tabs>
        <w:bidi w:val="0"/>
        <w:ind w:left="4248"/>
        <w:jc w:val="both"/>
        <w:rPr>
          <w:rFonts w:ascii="Times New Roman" w:hAnsi="Times New Roman"/>
          <w:bCs/>
          <w:i/>
        </w:rPr>
      </w:pPr>
    </w:p>
    <w:p w:rsidR="00BA0F00" w:rsidP="00BA0F00">
      <w:pPr>
        <w:tabs>
          <w:tab w:val="left" w:pos="720"/>
          <w:tab w:val="left" w:pos="4253"/>
        </w:tabs>
        <w:bidi w:val="0"/>
        <w:ind w:left="4248"/>
        <w:jc w:val="both"/>
        <w:rPr>
          <w:rFonts w:ascii="Times New Roman" w:hAnsi="Times New Roman"/>
          <w:bCs/>
          <w:i/>
        </w:rPr>
      </w:pPr>
    </w:p>
    <w:p w:rsidR="00BA0F00" w:rsidP="00BA0F00">
      <w:pPr>
        <w:pStyle w:val="ListParagraph"/>
        <w:numPr>
          <w:numId w:val="26"/>
        </w:numPr>
        <w:bidi w:val="0"/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bode 34 § 9 ods. 19 sa v prvej vete slová „</w:t>
      </w:r>
      <w:r w:rsidRPr="0012692C">
        <w:rPr>
          <w:rFonts w:ascii="Times New Roman" w:hAnsi="Times New Roman"/>
        </w:rPr>
        <w:t>Pri neplatnosti zmluvy o spotrebiteľskom úvere z dôvodu podľa § 53 ods. 6 Občianskeho zákonníka a podľa osobitných predpisov</w:t>
      </w:r>
      <w:r w:rsidRPr="0012692C">
        <w:rPr>
          <w:rFonts w:ascii="Times New Roman" w:hAnsi="Times New Roman"/>
          <w:vertAlign w:val="superscript"/>
        </w:rPr>
        <w:t>18aa</w:t>
      </w:r>
      <w:r w:rsidRPr="0012692C">
        <w:rPr>
          <w:rFonts w:ascii="Times New Roman" w:hAnsi="Times New Roman"/>
        </w:rPr>
        <w:t>)</w:t>
      </w:r>
      <w:r w:rsidRPr="0012692C">
        <w:rPr>
          <w:rFonts w:ascii="Times New Roman" w:hAnsi="Times New Roman"/>
          <w:vertAlign w:val="superscript"/>
        </w:rPr>
        <w:t xml:space="preserve"> </w:t>
      </w:r>
      <w:r w:rsidRPr="0012692C">
        <w:rPr>
          <w:rFonts w:ascii="Times New Roman" w:hAnsi="Times New Roman"/>
        </w:rPr>
        <w:t>spotrebiteľovi vzniká</w:t>
      </w:r>
      <w:r>
        <w:rPr>
          <w:rFonts w:ascii="Times New Roman" w:hAnsi="Times New Roman"/>
        </w:rPr>
        <w:t>“ nahrádzajú slovami</w:t>
      </w:r>
      <w:r w:rsidRPr="00135392">
        <w:rPr>
          <w:rFonts w:ascii="Times New Roman" w:hAnsi="Times New Roman"/>
        </w:rPr>
        <w:t xml:space="preserve"> „</w:t>
      </w:r>
      <w:r w:rsidRPr="00890CF9">
        <w:rPr>
          <w:rFonts w:ascii="Times New Roman" w:hAnsi="Times New Roman"/>
        </w:rPr>
        <w:t>Ak je zmluva o spotrebiteľskom úvere neplatná z dôvodu podľa § 53 ods. 6 Občianskeho zákonníka a podľa osobitných predpisov</w:t>
      </w:r>
      <w:r w:rsidRPr="0012692C">
        <w:rPr>
          <w:rFonts w:ascii="Times New Roman" w:hAnsi="Times New Roman"/>
          <w:vertAlign w:val="superscript"/>
        </w:rPr>
        <w:t>18aa</w:t>
      </w:r>
      <w:r w:rsidRPr="0012692C">
        <w:rPr>
          <w:rFonts w:ascii="Times New Roman" w:hAnsi="Times New Roman"/>
        </w:rPr>
        <w:t>)</w:t>
      </w:r>
      <w:r w:rsidRPr="0012692C">
        <w:rPr>
          <w:rFonts w:ascii="Times New Roman" w:hAnsi="Times New Roman"/>
          <w:vertAlign w:val="superscript"/>
        </w:rPr>
        <w:t xml:space="preserve"> </w:t>
      </w:r>
      <w:r w:rsidRPr="00890CF9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</w:t>
      </w:r>
      <w:r w:rsidRPr="00890CF9">
        <w:rPr>
          <w:rFonts w:ascii="Times New Roman" w:hAnsi="Times New Roman"/>
        </w:rPr>
        <w:t>spotrebiteľovi</w:t>
      </w:r>
      <w:r>
        <w:rPr>
          <w:rFonts w:ascii="Times New Roman" w:hAnsi="Times New Roman"/>
        </w:rPr>
        <w:t xml:space="preserve"> </w:t>
      </w:r>
      <w:r w:rsidRPr="00890CF9">
        <w:rPr>
          <w:rFonts w:ascii="Times New Roman" w:hAnsi="Times New Roman"/>
        </w:rPr>
        <w:t xml:space="preserve">vznikne“. </w:t>
      </w:r>
    </w:p>
    <w:p w:rsidR="00BA0F00" w:rsidRPr="00BA0F00" w:rsidP="00BA0F00">
      <w:pPr>
        <w:pStyle w:val="ListParagraph"/>
        <w:bidi w:val="0"/>
        <w:spacing w:after="200"/>
        <w:ind w:left="360"/>
        <w:jc w:val="both"/>
        <w:rPr>
          <w:rFonts w:ascii="Times New Roman" w:hAnsi="Times New Roman"/>
        </w:rPr>
      </w:pPr>
    </w:p>
    <w:p w:rsidR="00BA0F00" w:rsidRPr="007C20A2" w:rsidP="007C20A2">
      <w:pPr>
        <w:tabs>
          <w:tab w:val="left" w:pos="720"/>
        </w:tabs>
        <w:bidi w:val="0"/>
        <w:ind w:left="3540"/>
        <w:jc w:val="both"/>
        <w:rPr>
          <w:rFonts w:ascii="Times New Roman" w:hAnsi="Times New Roman"/>
          <w:bCs/>
        </w:rPr>
      </w:pPr>
      <w:r w:rsidRPr="00BA0F00">
        <w:rPr>
          <w:rFonts w:ascii="Times New Roman" w:hAnsi="Times New Roman"/>
          <w:bCs/>
        </w:rPr>
        <w:t>Precizuje sa dikcia prvej vety, kde je potrebné hypotézu právnej normy ustanoviť podmieňujúcim spôsobom najmä vo vzťahu k vzniku povinnosti vrátiť finančné plnenie, keďže navrhovaná dikcia jednak vzbudzuje dojem nového osobitného nároku, a tým výkladovo popiera v aplikačnej praxi nesporný nárok na vydanie bezdôvodného obohatenia z neplatnej zmluvy plynúci už z ustanovení Občianskeho zákonníka, a jednak je nutné rozlišovať prípady, kedy per se povinnosť vrátiť finančné plnenie pri neplatnosti zmluvy nevznikne z dôvodu, že spotrebiteľ istinu spotrebiteľského úveru už skôr splatil.</w:t>
      </w:r>
    </w:p>
    <w:p w:rsidR="007C20A2" w:rsidRPr="007C20A2" w:rsidP="007C20A2">
      <w:pPr>
        <w:pStyle w:val="ListParagraph"/>
        <w:numPr>
          <w:numId w:val="26"/>
        </w:numPr>
        <w:bidi w:val="0"/>
        <w:spacing w:after="200"/>
        <w:jc w:val="both"/>
        <w:rPr>
          <w:rFonts w:ascii="Times New Roman" w:hAnsi="Times New Roman"/>
        </w:rPr>
      </w:pPr>
      <w:r w:rsidRPr="00634C3D" w:rsidR="00BA0F00">
        <w:rPr>
          <w:rFonts w:ascii="Times New Roman" w:hAnsi="Times New Roman"/>
        </w:rPr>
        <w:t>V čl. XII bode 39 § 11 ods. 4 sa za slová „zmluvy o spotrebiteľskom úvere“ vkladajú slová „alebo určenia bezúročnosti a bezpoplatkovosti poskytnutého spotrebiteľského úveru“.</w:t>
      </w:r>
      <w:r w:rsidRPr="007C20A2" w:rsidR="00BA0F00">
        <w:rPr>
          <w:rFonts w:ascii="Times New Roman" w:hAnsi="Times New Roman"/>
          <w:bCs/>
          <w:i/>
        </w:rPr>
        <w:t xml:space="preserve"> </w:t>
      </w:r>
    </w:p>
    <w:p w:rsidR="007C20A2" w:rsidP="007C20A2">
      <w:pPr>
        <w:pStyle w:val="ListParagraph"/>
        <w:bidi w:val="0"/>
        <w:spacing w:after="200"/>
        <w:ind w:left="360"/>
        <w:jc w:val="both"/>
        <w:rPr>
          <w:rFonts w:ascii="Times New Roman" w:hAnsi="Times New Roman"/>
          <w:bCs/>
          <w:i/>
        </w:rPr>
      </w:pPr>
    </w:p>
    <w:p w:rsidR="00BA0F00" w:rsidRPr="007C20A2" w:rsidP="007C20A2">
      <w:pPr>
        <w:pStyle w:val="ListParagraph"/>
        <w:bidi w:val="0"/>
        <w:spacing w:after="200"/>
        <w:ind w:left="3540"/>
        <w:jc w:val="both"/>
        <w:rPr>
          <w:rFonts w:ascii="Times New Roman" w:hAnsi="Times New Roman"/>
        </w:rPr>
      </w:pPr>
      <w:r w:rsidRPr="007C20A2">
        <w:rPr>
          <w:rFonts w:ascii="Times New Roman" w:hAnsi="Times New Roman"/>
          <w:bCs/>
        </w:rPr>
        <w:t>Vzhľadom na dikciu § 137 CSP sa navrhuje doplnenie navrhovanej právnej úpravy tak, aby bol spotrebiteľ výslovne oprávnený domáhať sa na súde žalobou eventuálne aj určenia bezúročnosti a bezpoplatkovosti spotrebiteľského úveru, čím sa pro futuro dosiahne aj zachovanie platnosti zmluvy v prípadoch, keď nebudú dané vady zakladajúce jej absolútnu neplatnosť. Javí sa ako procesne neefektívne, aby spotrebiteľove nároky boli obmedzené iba na žalovanie neplatnosti zmluvy, ak je dôvod žalovať určenie bezúročnosti a bezpoplatkovosti spotrebiteľského úveru, ktorá nastáva ex lege.</w:t>
      </w:r>
    </w:p>
    <w:p w:rsidR="00BA0F00" w:rsidRPr="007C20A2" w:rsidP="00BA0F0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BA0F00" w:rsidP="00BA0F0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BA0F00" w:rsidP="00BA0F00">
      <w:pPr>
        <w:pStyle w:val="ListParagraph"/>
        <w:numPr>
          <w:numId w:val="26"/>
        </w:numPr>
        <w:bidi w:val="0"/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bode 41 § 16 ods. 6 štvrtej vete sa bodka na konci nahrádza bodkočiarkou a pripájajú sa tieto slová: „to neplatí ak veriteľ potvrdenie nevydal v lehote podľa predchádzajúcej vety.“.</w:t>
      </w:r>
    </w:p>
    <w:p w:rsidR="00BA0F00" w:rsidRPr="00E60DD8" w:rsidP="007C20A2">
      <w:pPr>
        <w:tabs>
          <w:tab w:val="left" w:pos="720"/>
        </w:tabs>
        <w:bidi w:val="0"/>
        <w:ind w:left="3540"/>
        <w:jc w:val="both"/>
        <w:rPr>
          <w:rFonts w:ascii="Times New Roman" w:hAnsi="Times New Roman"/>
          <w:bCs/>
        </w:rPr>
      </w:pPr>
      <w:r w:rsidRPr="00E60DD8">
        <w:rPr>
          <w:rFonts w:ascii="Times New Roman" w:hAnsi="Times New Roman"/>
          <w:bCs/>
        </w:rPr>
        <w:t xml:space="preserve">Modifikuje sa režim znášania nákladov vydaného potvrdenia spotrebiteľom s ohľadom na skutočnosť, že nie je spravodlivé od spotrebiteľa požadovať úhradu nákladov v prípadoch, ak veriteľ poruší svoju zákonnú povinnosť vydať potvrdenie v ustanovenej lehote. V týchto prípadoch môže totiž sám veriteľ sťažiť alebo dokonca zmariť čiastočné splatenie spotrebiteľského úveru. </w:t>
      </w:r>
    </w:p>
    <w:p w:rsidR="00BA0F00" w:rsidP="00BA0F00">
      <w:pPr>
        <w:bidi w:val="0"/>
        <w:jc w:val="both"/>
        <w:rPr>
          <w:rFonts w:ascii="Times New Roman" w:hAnsi="Times New Roman"/>
          <w:color w:val="FF0000"/>
        </w:rPr>
      </w:pPr>
    </w:p>
    <w:p w:rsidR="00E60DD8" w:rsidRPr="00634C3D" w:rsidP="00BA0F00">
      <w:pPr>
        <w:bidi w:val="0"/>
        <w:jc w:val="both"/>
        <w:rPr>
          <w:rFonts w:ascii="Times New Roman" w:hAnsi="Times New Roman"/>
          <w:color w:val="FF0000"/>
        </w:rPr>
      </w:pPr>
    </w:p>
    <w:p w:rsidR="00E60DD8" w:rsidP="00E60DD8">
      <w:pPr>
        <w:pStyle w:val="ListParagraph"/>
        <w:numPr>
          <w:numId w:val="26"/>
        </w:numPr>
        <w:bidi w:val="0"/>
        <w:spacing w:after="200"/>
        <w:jc w:val="both"/>
        <w:rPr>
          <w:rFonts w:ascii="Times New Roman" w:hAnsi="Times New Roman"/>
          <w:bCs/>
          <w:i/>
        </w:rPr>
      </w:pPr>
      <w:r w:rsidR="00BA0F00">
        <w:rPr>
          <w:rFonts w:ascii="Times New Roman" w:hAnsi="Times New Roman"/>
        </w:rPr>
        <w:t>V čl. XII bode 41 § 16 ods. 10 sa bodka na konci nahrádza čiarkou a pripájajú sa tieto slová: „</w:t>
      </w:r>
      <w:r w:rsidRPr="00844154" w:rsidR="00BA0F00">
        <w:rPr>
          <w:rFonts w:ascii="Times New Roman" w:hAnsi="Times New Roman"/>
        </w:rPr>
        <w:t>o čom je veriteľ povinný spotrebiteľa informovať pred čiastočným splatením spotrebiteľského úveru.</w:t>
      </w:r>
      <w:r w:rsidR="00BA0F00">
        <w:rPr>
          <w:rFonts w:ascii="Times New Roman" w:hAnsi="Times New Roman"/>
        </w:rPr>
        <w:t>“.</w:t>
      </w:r>
      <w:r>
        <w:rPr>
          <w:rFonts w:ascii="Times New Roman" w:hAnsi="Times New Roman"/>
          <w:bCs/>
          <w:i/>
        </w:rPr>
        <w:t xml:space="preserve"> </w:t>
      </w:r>
    </w:p>
    <w:p w:rsidR="00E60DD8" w:rsidRPr="00E60DD8" w:rsidP="00E60DD8">
      <w:pPr>
        <w:pStyle w:val="ListParagraph"/>
        <w:bidi w:val="0"/>
        <w:spacing w:after="200"/>
        <w:ind w:left="360"/>
        <w:jc w:val="both"/>
        <w:rPr>
          <w:rFonts w:ascii="Times New Roman" w:hAnsi="Times New Roman"/>
          <w:bCs/>
          <w:i/>
        </w:rPr>
      </w:pPr>
    </w:p>
    <w:p w:rsidR="00BA0F00" w:rsidRPr="00E60DD8" w:rsidP="00E60DD8">
      <w:pPr>
        <w:pStyle w:val="ListParagraph"/>
        <w:bidi w:val="0"/>
        <w:spacing w:after="200"/>
        <w:ind w:left="3540"/>
        <w:jc w:val="both"/>
        <w:rPr>
          <w:rFonts w:ascii="Times New Roman" w:hAnsi="Times New Roman"/>
          <w:bCs/>
        </w:rPr>
      </w:pPr>
      <w:r w:rsidRPr="00E60DD8">
        <w:rPr>
          <w:rFonts w:ascii="Times New Roman" w:hAnsi="Times New Roman"/>
          <w:bCs/>
        </w:rPr>
        <w:t xml:space="preserve">Vzhľadom na významnosť následku spojeného s čiastočným splatením spotrebiteľského úveru je nevyhnutné informovať spotrebiteľa o tom, že môže rozhodnúť, že namiesto skrátenia doby plnenia spotrebiteľského úveru sa mu poníži mesačná splátka. Uvedený následok má priamy vplyv na príjmovú situáciu spotrebiteľa a jeho životnú úroveň, preto je adekvátne požadovať od veriteľa, aby spotrebiteľa o voľbe následku čiastočného splnenia spotrebiteľského úveru spotrebiteľa prinajmenej ústne informoval v čase pred jeho vykonaním. </w:t>
      </w:r>
    </w:p>
    <w:p w:rsidR="001C07BB" w:rsidP="00D22F23">
      <w:pPr>
        <w:pStyle w:val="ListParagraph"/>
        <w:bidi w:val="0"/>
        <w:spacing w:after="200" w:line="360" w:lineRule="auto"/>
        <w:ind w:left="0" w:right="293"/>
        <w:jc w:val="both"/>
        <w:rPr>
          <w:rFonts w:ascii="Times New Roman" w:hAnsi="Times New Roman"/>
        </w:rPr>
      </w:pPr>
    </w:p>
    <w:p w:rsidR="001C07BB" w:rsidRPr="005610DE" w:rsidP="00D22F23">
      <w:pPr>
        <w:pStyle w:val="ListParagraph"/>
        <w:bidi w:val="0"/>
        <w:spacing w:after="200" w:line="360" w:lineRule="auto"/>
        <w:ind w:left="0" w:right="293"/>
        <w:jc w:val="both"/>
        <w:rPr>
          <w:rFonts w:ascii="Times New Roman" w:hAnsi="Times New Roman"/>
        </w:rPr>
      </w:pPr>
    </w:p>
    <w:p w:rsidR="00D22F23" w:rsidRPr="00A464E4" w:rsidP="00807776">
      <w:pPr>
        <w:pStyle w:val="ListParagraph"/>
        <w:widowControl w:val="0"/>
        <w:numPr>
          <w:numId w:val="26"/>
        </w:numPr>
        <w:bidi w:val="0"/>
        <w:adjustRightInd w:val="0"/>
        <w:spacing w:line="360" w:lineRule="auto"/>
        <w:ind w:right="295"/>
        <w:jc w:val="both"/>
        <w:rPr>
          <w:rFonts w:ascii="Times New Roman" w:hAnsi="Times New Roman"/>
        </w:rPr>
      </w:pPr>
      <w:r w:rsidRPr="00A464E4">
        <w:rPr>
          <w:rFonts w:ascii="Times New Roman" w:hAnsi="Times New Roman"/>
        </w:rPr>
        <w:t>V čl. XV bod 4</w:t>
      </w:r>
    </w:p>
    <w:p w:rsidR="00D22F23" w:rsidRPr="005610DE" w:rsidP="00A464E4">
      <w:pPr>
        <w:bidi w:val="0"/>
        <w:ind w:left="284" w:right="295"/>
        <w:jc w:val="both"/>
        <w:rPr>
          <w:rFonts w:ascii="Times New Roman" w:hAnsi="Times New Roman"/>
        </w:rPr>
      </w:pPr>
      <w:r w:rsidRPr="005610DE">
        <w:rPr>
          <w:rFonts w:ascii="Times New Roman" w:hAnsi="Times New Roman"/>
        </w:rPr>
        <w:t xml:space="preserve">V čl. XV </w:t>
      </w:r>
      <w:r>
        <w:rPr>
          <w:rFonts w:ascii="Times New Roman" w:hAnsi="Times New Roman"/>
        </w:rPr>
        <w:t>štvrtom bode</w:t>
      </w:r>
      <w:r w:rsidRPr="005610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</w:t>
      </w:r>
      <w:r w:rsidRPr="005610DE">
        <w:rPr>
          <w:rFonts w:ascii="Times New Roman" w:hAnsi="Times New Roman"/>
        </w:rPr>
        <w:t>poznámke pod čiarou k odkazu 22a sa za slovo „nariadenia“ vkladajú slová „ Európskeho parlamentu a</w:t>
      </w:r>
      <w:r>
        <w:rPr>
          <w:rFonts w:ascii="Times New Roman" w:hAnsi="Times New Roman"/>
        </w:rPr>
        <w:t> </w:t>
      </w:r>
      <w:r w:rsidRPr="005610DE">
        <w:rPr>
          <w:rFonts w:ascii="Times New Roman" w:hAnsi="Times New Roman"/>
        </w:rPr>
        <w:t>Rady“.</w:t>
      </w:r>
    </w:p>
    <w:p w:rsidR="00BC606E" w:rsidP="00D22F23">
      <w:pPr>
        <w:bidi w:val="0"/>
        <w:ind w:left="3538" w:right="295"/>
        <w:jc w:val="both"/>
        <w:rPr>
          <w:rFonts w:ascii="Times New Roman" w:hAnsi="Times New Roman"/>
        </w:rPr>
      </w:pPr>
    </w:p>
    <w:p w:rsidR="00D22F23" w:rsidRPr="005610DE" w:rsidP="00D22F23">
      <w:pPr>
        <w:bidi w:val="0"/>
        <w:ind w:left="3538" w:right="295"/>
        <w:jc w:val="both"/>
        <w:rPr>
          <w:rFonts w:ascii="Times New Roman" w:hAnsi="Times New Roman"/>
        </w:rPr>
      </w:pPr>
      <w:r w:rsidRPr="005610DE">
        <w:rPr>
          <w:rFonts w:ascii="Times New Roman" w:hAnsi="Times New Roman"/>
        </w:rPr>
        <w:t>Ide o legislatívno-technickú úpravu v súvislosti s doplnením názvu nariadenia</w:t>
      </w:r>
      <w:r>
        <w:rPr>
          <w:rFonts w:ascii="Times New Roman" w:hAnsi="Times New Roman"/>
        </w:rPr>
        <w:t xml:space="preserve"> (EÚ) č. 2016/1011</w:t>
      </w:r>
      <w:r w:rsidRPr="005610DE">
        <w:rPr>
          <w:rFonts w:ascii="Times New Roman" w:hAnsi="Times New Roman"/>
        </w:rPr>
        <w:t xml:space="preserve">. </w:t>
      </w:r>
    </w:p>
    <w:p w:rsidR="00D22F23" w:rsidRPr="005610DE" w:rsidP="00F36D6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1562A" w:rsidRPr="00DF5815" w:rsidP="00807776">
      <w:pPr>
        <w:pStyle w:val="ListParagraph"/>
        <w:numPr>
          <w:numId w:val="26"/>
        </w:numPr>
        <w:bidi w:val="0"/>
        <w:jc w:val="both"/>
        <w:rPr>
          <w:rFonts w:ascii="Times New Roman" w:hAnsi="Times New Roman"/>
        </w:rPr>
      </w:pPr>
      <w:r w:rsidRPr="00DF5815">
        <w:rPr>
          <w:rFonts w:ascii="Times New Roman" w:hAnsi="Times New Roman"/>
        </w:rPr>
        <w:t>V čl. XV bode 21 § 15 ods. 4 sa za slová „zmluvy o úvere na bývanie“ vkladajú slová „alebo určenia bezúročnosti a bezpoplatkovosti poskytnutého úveru na bývanie</w:t>
      </w:r>
      <w:r>
        <w:rPr>
          <w:rFonts w:ascii="Times New Roman" w:hAnsi="Times New Roman"/>
        </w:rPr>
        <w:t>.</w:t>
      </w:r>
      <w:r w:rsidRPr="00DF5815">
        <w:rPr>
          <w:rFonts w:ascii="Times New Roman" w:hAnsi="Times New Roman"/>
        </w:rPr>
        <w:t>“.</w:t>
      </w:r>
    </w:p>
    <w:p w:rsidR="0021562A" w:rsidP="0021562A">
      <w:pPr>
        <w:tabs>
          <w:tab w:val="left" w:pos="720"/>
        </w:tabs>
        <w:bidi w:val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ab/>
        <w:tab/>
        <w:tab/>
        <w:tab/>
        <w:tab/>
        <w:tab/>
        <w:t xml:space="preserve"> </w:t>
      </w:r>
    </w:p>
    <w:p w:rsidR="0021562A" w:rsidRPr="0021562A" w:rsidP="0021562A">
      <w:pPr>
        <w:tabs>
          <w:tab w:val="left" w:pos="720"/>
        </w:tabs>
        <w:bidi w:val="0"/>
        <w:ind w:left="3540"/>
        <w:jc w:val="both"/>
        <w:rPr>
          <w:rFonts w:ascii="Times New Roman" w:hAnsi="Times New Roman"/>
          <w:bCs/>
        </w:rPr>
      </w:pPr>
      <w:r w:rsidRPr="0021562A">
        <w:rPr>
          <w:rFonts w:ascii="Times New Roman" w:hAnsi="Times New Roman"/>
          <w:bCs/>
        </w:rPr>
        <w:t>Vzhľadom na dikciu § 137 CSP sa navrhuje doplnenie navrhovanej právnej úpravy tak, aby bol spotrebiteľ výslovne oprávnený domáhať sa na súde žalobou eventuálne aj určenia bezúročnosti a bezpoplatkovosti poskytnutého úveru na bývanie, čím sa pro futuro dosiahne aj zachovanie platnosti zmluvy v prípadoch, keď nebudú dané vady zakladajúce jej absolútnu neplatnosť. Javí sa ako procesne neefektívne, aby spotrebiteľove nároky boli obmedzené iba na žalovanie neplatnosti zmluvy, ak je dôvod žalovať určenie bezúročnosti a bezpoplatkovosti úveru na bývanie, ktorá nastáva ex lege.</w:t>
      </w:r>
    </w:p>
    <w:p w:rsidR="0021562A" w:rsidRPr="0021562A" w:rsidP="0021562A">
      <w:pPr>
        <w:tabs>
          <w:tab w:val="left" w:pos="720"/>
        </w:tabs>
        <w:bidi w:val="0"/>
        <w:ind w:left="4248"/>
        <w:jc w:val="both"/>
        <w:rPr>
          <w:rFonts w:ascii="Times New Roman" w:hAnsi="Times New Roman"/>
          <w:bCs/>
        </w:rPr>
      </w:pPr>
    </w:p>
    <w:p w:rsidR="0021562A" w:rsidRPr="0021562A" w:rsidP="0021562A">
      <w:pPr>
        <w:tabs>
          <w:tab w:val="left" w:pos="720"/>
        </w:tabs>
        <w:bidi w:val="0"/>
        <w:ind w:left="4248" w:firstLine="3"/>
        <w:jc w:val="both"/>
        <w:rPr>
          <w:rFonts w:ascii="Times New Roman" w:hAnsi="Times New Roman"/>
          <w:bCs/>
          <w:color w:val="FF0000"/>
        </w:rPr>
      </w:pPr>
    </w:p>
    <w:p w:rsidR="00D22F23" w:rsidRPr="001C729D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6C156B"/>
    <w:multiLevelType w:val="hybridMultilevel"/>
    <w:tmpl w:val="F7BED2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F027782"/>
    <w:multiLevelType w:val="hybridMultilevel"/>
    <w:tmpl w:val="D95C25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87105C"/>
    <w:multiLevelType w:val="hybridMultilevel"/>
    <w:tmpl w:val="4CA23054"/>
    <w:lvl w:ilvl="0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2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8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10030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4FB0"/>
    <w:rsid w:val="00085F65"/>
    <w:rsid w:val="00095773"/>
    <w:rsid w:val="00095D25"/>
    <w:rsid w:val="000A131F"/>
    <w:rsid w:val="000A4F64"/>
    <w:rsid w:val="000B4B0D"/>
    <w:rsid w:val="000C6EE5"/>
    <w:rsid w:val="000D11D5"/>
    <w:rsid w:val="000D7017"/>
    <w:rsid w:val="000F4A21"/>
    <w:rsid w:val="000F7919"/>
    <w:rsid w:val="0011659C"/>
    <w:rsid w:val="0012498D"/>
    <w:rsid w:val="0012692C"/>
    <w:rsid w:val="00135392"/>
    <w:rsid w:val="001408B8"/>
    <w:rsid w:val="00145B73"/>
    <w:rsid w:val="0015407E"/>
    <w:rsid w:val="00157ABA"/>
    <w:rsid w:val="0016311B"/>
    <w:rsid w:val="001675FA"/>
    <w:rsid w:val="00180775"/>
    <w:rsid w:val="00195B23"/>
    <w:rsid w:val="001C042F"/>
    <w:rsid w:val="001C0674"/>
    <w:rsid w:val="001C07BB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562A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74F7"/>
    <w:rsid w:val="00280394"/>
    <w:rsid w:val="00293328"/>
    <w:rsid w:val="00294C32"/>
    <w:rsid w:val="00297AEF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81962"/>
    <w:rsid w:val="00386D14"/>
    <w:rsid w:val="00387EB0"/>
    <w:rsid w:val="00393C7E"/>
    <w:rsid w:val="003A2CF6"/>
    <w:rsid w:val="003A4509"/>
    <w:rsid w:val="003B16E4"/>
    <w:rsid w:val="003B48DF"/>
    <w:rsid w:val="003B5025"/>
    <w:rsid w:val="003F3FB3"/>
    <w:rsid w:val="003F71E7"/>
    <w:rsid w:val="003F7533"/>
    <w:rsid w:val="00400444"/>
    <w:rsid w:val="00401DB9"/>
    <w:rsid w:val="004048F2"/>
    <w:rsid w:val="0040559F"/>
    <w:rsid w:val="004207DA"/>
    <w:rsid w:val="0042443B"/>
    <w:rsid w:val="004417F6"/>
    <w:rsid w:val="00445986"/>
    <w:rsid w:val="0045309D"/>
    <w:rsid w:val="00453FB8"/>
    <w:rsid w:val="00475F91"/>
    <w:rsid w:val="004867B1"/>
    <w:rsid w:val="00494410"/>
    <w:rsid w:val="0049477B"/>
    <w:rsid w:val="004A0985"/>
    <w:rsid w:val="004A4006"/>
    <w:rsid w:val="004B3390"/>
    <w:rsid w:val="004B52C8"/>
    <w:rsid w:val="004C2167"/>
    <w:rsid w:val="004D304C"/>
    <w:rsid w:val="004E6ADD"/>
    <w:rsid w:val="004F07EC"/>
    <w:rsid w:val="004F6ED1"/>
    <w:rsid w:val="004F76D2"/>
    <w:rsid w:val="004F7A6D"/>
    <w:rsid w:val="005019D5"/>
    <w:rsid w:val="00502405"/>
    <w:rsid w:val="0050389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5104B"/>
    <w:rsid w:val="00556067"/>
    <w:rsid w:val="005610DE"/>
    <w:rsid w:val="00567A29"/>
    <w:rsid w:val="005800CC"/>
    <w:rsid w:val="00581C83"/>
    <w:rsid w:val="005865BB"/>
    <w:rsid w:val="005966AE"/>
    <w:rsid w:val="005A094E"/>
    <w:rsid w:val="005A5191"/>
    <w:rsid w:val="005D15F6"/>
    <w:rsid w:val="005D3A23"/>
    <w:rsid w:val="005D4246"/>
    <w:rsid w:val="005F1818"/>
    <w:rsid w:val="005F2668"/>
    <w:rsid w:val="005F4E47"/>
    <w:rsid w:val="005F6D60"/>
    <w:rsid w:val="005F7909"/>
    <w:rsid w:val="005F7C19"/>
    <w:rsid w:val="006014AD"/>
    <w:rsid w:val="00611509"/>
    <w:rsid w:val="006205E6"/>
    <w:rsid w:val="00625598"/>
    <w:rsid w:val="00625A09"/>
    <w:rsid w:val="00633163"/>
    <w:rsid w:val="006347B8"/>
    <w:rsid w:val="00634C3D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65421"/>
    <w:rsid w:val="00670F8D"/>
    <w:rsid w:val="006732EA"/>
    <w:rsid w:val="00674F37"/>
    <w:rsid w:val="00676301"/>
    <w:rsid w:val="00680CC5"/>
    <w:rsid w:val="00686334"/>
    <w:rsid w:val="006906F6"/>
    <w:rsid w:val="00691D31"/>
    <w:rsid w:val="0069430F"/>
    <w:rsid w:val="006A1DF7"/>
    <w:rsid w:val="006A3FC4"/>
    <w:rsid w:val="006B1FC5"/>
    <w:rsid w:val="006B660E"/>
    <w:rsid w:val="006C02F7"/>
    <w:rsid w:val="006D08DF"/>
    <w:rsid w:val="006D121F"/>
    <w:rsid w:val="006D1A30"/>
    <w:rsid w:val="006D1C71"/>
    <w:rsid w:val="006D62A3"/>
    <w:rsid w:val="006D7226"/>
    <w:rsid w:val="007228D5"/>
    <w:rsid w:val="00737008"/>
    <w:rsid w:val="00740C84"/>
    <w:rsid w:val="00741BD4"/>
    <w:rsid w:val="0075143C"/>
    <w:rsid w:val="0075728A"/>
    <w:rsid w:val="00761A5F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C20A2"/>
    <w:rsid w:val="007E16F5"/>
    <w:rsid w:val="007F0517"/>
    <w:rsid w:val="007F3316"/>
    <w:rsid w:val="00805D8C"/>
    <w:rsid w:val="00807776"/>
    <w:rsid w:val="00815BB8"/>
    <w:rsid w:val="008200B2"/>
    <w:rsid w:val="0082154D"/>
    <w:rsid w:val="00844154"/>
    <w:rsid w:val="00845AF1"/>
    <w:rsid w:val="00845D41"/>
    <w:rsid w:val="0084672F"/>
    <w:rsid w:val="00846FCB"/>
    <w:rsid w:val="008549D2"/>
    <w:rsid w:val="00856B68"/>
    <w:rsid w:val="008646D8"/>
    <w:rsid w:val="00864A7D"/>
    <w:rsid w:val="00866249"/>
    <w:rsid w:val="00866416"/>
    <w:rsid w:val="00867155"/>
    <w:rsid w:val="0087441E"/>
    <w:rsid w:val="00880B72"/>
    <w:rsid w:val="00881487"/>
    <w:rsid w:val="00887C40"/>
    <w:rsid w:val="00890CF9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274DF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36D3"/>
    <w:rsid w:val="009947FE"/>
    <w:rsid w:val="00994936"/>
    <w:rsid w:val="00995FEA"/>
    <w:rsid w:val="009C0B91"/>
    <w:rsid w:val="009C3A1D"/>
    <w:rsid w:val="009D585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464E4"/>
    <w:rsid w:val="00A65A35"/>
    <w:rsid w:val="00A735B2"/>
    <w:rsid w:val="00A829F5"/>
    <w:rsid w:val="00A8389A"/>
    <w:rsid w:val="00A94248"/>
    <w:rsid w:val="00A961FD"/>
    <w:rsid w:val="00A97450"/>
    <w:rsid w:val="00AA25F6"/>
    <w:rsid w:val="00AA4F3B"/>
    <w:rsid w:val="00AB1998"/>
    <w:rsid w:val="00AB2C4B"/>
    <w:rsid w:val="00AC0041"/>
    <w:rsid w:val="00AC4481"/>
    <w:rsid w:val="00AD3099"/>
    <w:rsid w:val="00AD570A"/>
    <w:rsid w:val="00AE50E4"/>
    <w:rsid w:val="00AE5D87"/>
    <w:rsid w:val="00AF3C7D"/>
    <w:rsid w:val="00AF4506"/>
    <w:rsid w:val="00B01563"/>
    <w:rsid w:val="00B126C1"/>
    <w:rsid w:val="00B17F90"/>
    <w:rsid w:val="00B2007A"/>
    <w:rsid w:val="00B20AD2"/>
    <w:rsid w:val="00B252E1"/>
    <w:rsid w:val="00B25410"/>
    <w:rsid w:val="00B26A42"/>
    <w:rsid w:val="00B32E55"/>
    <w:rsid w:val="00B333A6"/>
    <w:rsid w:val="00B348A8"/>
    <w:rsid w:val="00B37653"/>
    <w:rsid w:val="00B61D9F"/>
    <w:rsid w:val="00B76C54"/>
    <w:rsid w:val="00B800EA"/>
    <w:rsid w:val="00B80D02"/>
    <w:rsid w:val="00B863B1"/>
    <w:rsid w:val="00B92C5C"/>
    <w:rsid w:val="00B933E0"/>
    <w:rsid w:val="00B93401"/>
    <w:rsid w:val="00BA0F00"/>
    <w:rsid w:val="00BA65A4"/>
    <w:rsid w:val="00BB39AB"/>
    <w:rsid w:val="00BC13C5"/>
    <w:rsid w:val="00BC606E"/>
    <w:rsid w:val="00BD31F2"/>
    <w:rsid w:val="00BD69BC"/>
    <w:rsid w:val="00BE2A9D"/>
    <w:rsid w:val="00BE64DC"/>
    <w:rsid w:val="00BE6B82"/>
    <w:rsid w:val="00BE6BF3"/>
    <w:rsid w:val="00BE6FE9"/>
    <w:rsid w:val="00BE7DFF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3364"/>
    <w:rsid w:val="00CD3BED"/>
    <w:rsid w:val="00CD738B"/>
    <w:rsid w:val="00CE06F8"/>
    <w:rsid w:val="00CE6292"/>
    <w:rsid w:val="00D063FE"/>
    <w:rsid w:val="00D1165C"/>
    <w:rsid w:val="00D14363"/>
    <w:rsid w:val="00D14D38"/>
    <w:rsid w:val="00D22F23"/>
    <w:rsid w:val="00D2405B"/>
    <w:rsid w:val="00D259F2"/>
    <w:rsid w:val="00D27A16"/>
    <w:rsid w:val="00D346C5"/>
    <w:rsid w:val="00D35424"/>
    <w:rsid w:val="00D409B0"/>
    <w:rsid w:val="00D4382D"/>
    <w:rsid w:val="00D45992"/>
    <w:rsid w:val="00D60656"/>
    <w:rsid w:val="00D60B6B"/>
    <w:rsid w:val="00D62315"/>
    <w:rsid w:val="00D65F85"/>
    <w:rsid w:val="00D73193"/>
    <w:rsid w:val="00D73B41"/>
    <w:rsid w:val="00D75B2F"/>
    <w:rsid w:val="00D80EAF"/>
    <w:rsid w:val="00D81491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D5811"/>
    <w:rsid w:val="00DE1EAA"/>
    <w:rsid w:val="00DE7C63"/>
    <w:rsid w:val="00DF5815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60DD8"/>
    <w:rsid w:val="00E74566"/>
    <w:rsid w:val="00E774D0"/>
    <w:rsid w:val="00E90402"/>
    <w:rsid w:val="00E9120E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36D62"/>
    <w:rsid w:val="00F412F7"/>
    <w:rsid w:val="00F42119"/>
    <w:rsid w:val="00F4221C"/>
    <w:rsid w:val="00F539C1"/>
    <w:rsid w:val="00F54451"/>
    <w:rsid w:val="00F61205"/>
    <w:rsid w:val="00F6356F"/>
    <w:rsid w:val="00F80887"/>
    <w:rsid w:val="00F92EF2"/>
    <w:rsid w:val="00F955A8"/>
    <w:rsid w:val="00FB6D19"/>
    <w:rsid w:val="00FC2785"/>
    <w:rsid w:val="00FC4DC4"/>
    <w:rsid w:val="00FD01F4"/>
    <w:rsid w:val="00FD1F5F"/>
    <w:rsid w:val="00FD25C3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2 Char,body Char"/>
    <w:basedOn w:val="DefaultParagraphFont"/>
    <w:link w:val="ListParagraph"/>
    <w:uiPriority w:val="34"/>
    <w:locked/>
    <w:rsid w:val="00D4382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AF4E-B601-499A-999E-501126BC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363</TotalTime>
  <Pages>8</Pages>
  <Words>2355</Words>
  <Characters>13429</Characters>
  <Application>Microsoft Office Word</Application>
  <DocSecurity>0</DocSecurity>
  <Lines>0</Lines>
  <Paragraphs>0</Paragraphs>
  <ScaleCrop>false</ScaleCrop>
  <Company/>
  <LinksUpToDate>false</LinksUpToDate>
  <CharactersWithSpaces>15753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284</cp:revision>
  <cp:lastPrinted>2017-10-04T14:49:00Z</cp:lastPrinted>
  <dcterms:created xsi:type="dcterms:W3CDTF">2013-05-23T10:57:00Z</dcterms:created>
  <dcterms:modified xsi:type="dcterms:W3CDTF">2017-10-04T14:49:00Z</dcterms:modified>
</cp:coreProperties>
</file>