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7C30" w:rsidRPr="001C6FFA" w:rsidP="003B7C30">
      <w:pPr>
        <w:bidi w:val="0"/>
        <w:spacing w:line="240" w:lineRule="auto"/>
        <w:ind w:left="0"/>
        <w:jc w:val="both"/>
        <w:rPr>
          <w:b/>
          <w:bCs w:val="0"/>
        </w:rPr>
      </w:pPr>
      <w:r>
        <w:rPr>
          <w:b/>
        </w:rPr>
        <w:t xml:space="preserve">                      </w:t>
      </w:r>
      <w:r w:rsidRPr="001C6FFA">
        <w:rPr>
          <w:b/>
        </w:rPr>
        <w:t xml:space="preserve">Výbor </w:t>
      </w:r>
    </w:p>
    <w:p w:rsidR="003B7C30" w:rsidRPr="001C6FFA" w:rsidP="003B7C30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>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3B7C30" w:rsidRPr="00A04213" w:rsidP="003B7C30">
      <w:pPr>
        <w:bidi w:val="0"/>
        <w:spacing w:line="240" w:lineRule="auto"/>
        <w:ind w:left="0"/>
        <w:rPr>
          <w:b/>
          <w:bCs w:val="0"/>
        </w:rPr>
      </w:pPr>
      <w:r w:rsidRPr="001C6FFA">
        <w:rPr>
          <w:b/>
        </w:rPr>
        <w:t xml:space="preserve">                pre zdravotníctvo</w:t>
      </w:r>
    </w:p>
    <w:p w:rsidR="003B7C30" w:rsidRPr="001C6FFA" w:rsidP="003B7C30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 xml:space="preserve">    </w:t>
      </w:r>
      <w:r>
        <w:rPr>
          <w:b/>
        </w:rPr>
        <w:t>28</w:t>
      </w:r>
      <w:r w:rsidRPr="00BB53DD">
        <w:rPr>
          <w:b/>
        </w:rPr>
        <w:t>.</w:t>
      </w:r>
      <w:r w:rsidRPr="001C6FFA">
        <w:rPr>
          <w:b/>
        </w:rPr>
        <w:t xml:space="preserve"> schôdza</w:t>
      </w:r>
      <w:r w:rsidRPr="001C6FFA">
        <w:t xml:space="preserve"> výboru</w:t>
      </w:r>
    </w:p>
    <w:p w:rsidR="003B7C30" w:rsidRPr="001C6FFA" w:rsidP="003B7C30">
      <w:pPr>
        <w:bidi w:val="0"/>
        <w:spacing w:line="240" w:lineRule="auto"/>
        <w:jc w:val="right"/>
      </w:pPr>
      <w:r w:rsidRPr="001C6FFA">
        <w:tab/>
        <w:tab/>
        <w:tab/>
        <w:tab/>
        <w:tab/>
        <w:tab/>
        <w:tab/>
        <w:tab/>
        <w:t>Číslo: CDR-</w:t>
      </w:r>
      <w:r>
        <w:t>1385</w:t>
      </w:r>
      <w:r w:rsidRPr="001C6FFA">
        <w:t>/201</w:t>
      </w:r>
      <w:r>
        <w:t>7</w:t>
      </w:r>
    </w:p>
    <w:p w:rsidR="003B7C30" w:rsidP="003B7C30">
      <w:pPr>
        <w:bidi w:val="0"/>
        <w:ind w:left="0"/>
      </w:pPr>
    </w:p>
    <w:p w:rsidR="003B7C30" w:rsidP="003B7C30">
      <w:pPr>
        <w:bidi w:val="0"/>
        <w:spacing w:line="240" w:lineRule="auto"/>
        <w:ind w:left="-142"/>
        <w:jc w:val="center"/>
        <w:rPr>
          <w:b/>
          <w:sz w:val="28"/>
        </w:rPr>
      </w:pPr>
    </w:p>
    <w:p w:rsidR="003B7C30" w:rsidRPr="001C6FFA" w:rsidP="003B7C30">
      <w:pPr>
        <w:bidi w:val="0"/>
        <w:spacing w:line="240" w:lineRule="auto"/>
        <w:ind w:left="-142"/>
        <w:jc w:val="center"/>
        <w:rPr>
          <w:b/>
          <w:bCs w:val="0"/>
          <w:sz w:val="28"/>
        </w:rPr>
      </w:pPr>
      <w:r>
        <w:rPr>
          <w:b/>
          <w:sz w:val="28"/>
        </w:rPr>
        <w:t>60</w:t>
      </w:r>
    </w:p>
    <w:p w:rsidR="003B7C30" w:rsidRPr="001C6FFA" w:rsidP="003B7C30">
      <w:pPr>
        <w:bidi w:val="0"/>
        <w:spacing w:line="240" w:lineRule="auto"/>
        <w:ind w:left="-142"/>
        <w:jc w:val="center"/>
        <w:rPr>
          <w:b/>
          <w:bCs w:val="0"/>
        </w:rPr>
      </w:pPr>
    </w:p>
    <w:p w:rsidR="003B7C30" w:rsidRPr="001C6FFA" w:rsidP="003B7C30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U z n e s e n i e</w:t>
      </w:r>
    </w:p>
    <w:p w:rsidR="003B7C30" w:rsidRPr="001C6FFA" w:rsidP="003B7C30">
      <w:pPr>
        <w:bidi w:val="0"/>
        <w:spacing w:line="240" w:lineRule="auto"/>
        <w:ind w:left="-142"/>
        <w:jc w:val="center"/>
        <w:rPr>
          <w:b/>
          <w:bCs w:val="0"/>
        </w:rPr>
      </w:pPr>
    </w:p>
    <w:p w:rsidR="003B7C30" w:rsidRPr="001C6FFA" w:rsidP="003B7C30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Výboru Národnej rady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3B7C30" w:rsidRPr="001C6FFA" w:rsidP="003B7C30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pre zdravotníctvo</w:t>
      </w:r>
    </w:p>
    <w:p w:rsidR="003B7C30" w:rsidRPr="001C6FFA" w:rsidP="003B7C30">
      <w:pPr>
        <w:bidi w:val="0"/>
        <w:spacing w:line="240" w:lineRule="auto"/>
        <w:ind w:left="-142"/>
        <w:jc w:val="center"/>
        <w:rPr>
          <w:b/>
          <w:bCs w:val="0"/>
        </w:rPr>
      </w:pPr>
      <w:r w:rsidRPr="001C6FFA">
        <w:rPr>
          <w:b/>
        </w:rPr>
        <w:t>z</w:t>
      </w:r>
      <w:r>
        <w:rPr>
          <w:b/>
        </w:rPr>
        <w:t xml:space="preserve">o 4. októbra </w:t>
      </w:r>
      <w:r w:rsidRPr="001C6FFA">
        <w:rPr>
          <w:b/>
        </w:rPr>
        <w:t>201</w:t>
      </w:r>
      <w:r>
        <w:rPr>
          <w:b/>
        </w:rPr>
        <w:t>7</w:t>
      </w:r>
    </w:p>
    <w:p w:rsidR="003B7C30" w:rsidRPr="001C6FFA" w:rsidP="003B7C30">
      <w:pPr>
        <w:bidi w:val="0"/>
        <w:spacing w:line="240" w:lineRule="auto"/>
        <w:ind w:left="-142"/>
      </w:pPr>
    </w:p>
    <w:p w:rsidR="003B7C30" w:rsidRPr="001C6FFA" w:rsidP="003B7C30">
      <w:pPr>
        <w:bidi w:val="0"/>
        <w:spacing w:line="240" w:lineRule="auto"/>
      </w:pPr>
    </w:p>
    <w:p w:rsidR="003B7C30" w:rsidRPr="00974AA8" w:rsidP="003B7C30">
      <w:pPr>
        <w:pStyle w:val="ListParagraph"/>
        <w:autoSpaceDE w:val="0"/>
        <w:autoSpaceDN w:val="0"/>
        <w:bidi w:val="0"/>
        <w:adjustRightInd w:val="0"/>
        <w:ind w:left="0"/>
        <w:jc w:val="both"/>
        <w:rPr>
          <w:b/>
        </w:rPr>
      </w:pPr>
      <w:r>
        <w:t xml:space="preserve">k </w:t>
      </w:r>
      <w:r w:rsidRPr="00BB53DD">
        <w:rPr>
          <w:b/>
        </w:rPr>
        <w:t xml:space="preserve">vládnemu návrhu zákona, </w:t>
      </w:r>
      <w:r w:rsidRPr="00487D16">
        <w:rPr>
          <w:b/>
          <w:szCs w:val="24"/>
        </w:rPr>
        <w:t>ktorým sa mení a dopĺňa zákon č. 139/1998 Z. z. o omamných látkach, psychotropných látkach a prípravkoch v znení neskorších predpisov (tlač 617)</w:t>
      </w:r>
      <w:r>
        <w:rPr>
          <w:b/>
          <w:szCs w:val="24"/>
        </w:rPr>
        <w:t xml:space="preserve"> </w:t>
      </w:r>
      <w:r w:rsidRPr="003B43C4">
        <w:t>a</w:t>
      </w:r>
    </w:p>
    <w:p w:rsidR="003B7C30" w:rsidRPr="001C6FFA" w:rsidP="003B7C30">
      <w:pPr>
        <w:pStyle w:val="BodyText"/>
        <w:bidi w:val="0"/>
        <w:rPr>
          <w:b/>
        </w:rPr>
      </w:pPr>
    </w:p>
    <w:p w:rsidR="003B7C30" w:rsidRPr="001C6FFA" w:rsidP="003B7C30">
      <w:pPr>
        <w:pStyle w:val="BodyText"/>
        <w:bidi w:val="0"/>
        <w:rPr>
          <w:b/>
          <w:bCs w:val="0"/>
        </w:rPr>
      </w:pPr>
      <w:r w:rsidRPr="001C6FFA">
        <w:tab/>
      </w:r>
      <w:r w:rsidRPr="001C6FFA">
        <w:rPr>
          <w:b/>
        </w:rPr>
        <w:t>Výbor Národnej rady Slovenskej republiky pre zdravotníctvo</w:t>
      </w:r>
    </w:p>
    <w:p w:rsidR="003B7C30" w:rsidRPr="001C6FFA" w:rsidP="003B7C30">
      <w:pPr>
        <w:pStyle w:val="BodyText"/>
        <w:bidi w:val="0"/>
      </w:pPr>
    </w:p>
    <w:p w:rsidR="003B7C30" w:rsidRPr="003B7C30" w:rsidP="003B7C30">
      <w:pPr>
        <w:pStyle w:val="ListParagraph"/>
        <w:autoSpaceDE w:val="0"/>
        <w:autoSpaceDN w:val="0"/>
        <w:bidi w:val="0"/>
        <w:adjustRightInd w:val="0"/>
        <w:ind w:left="0"/>
        <w:jc w:val="both"/>
      </w:pPr>
      <w:r w:rsidRPr="003B7C30">
        <w:t xml:space="preserve">           prerokoval  vládny návrh zákona,</w:t>
      </w:r>
      <w:r w:rsidRPr="003B7C30">
        <w:rPr>
          <w:szCs w:val="24"/>
        </w:rPr>
        <w:t xml:space="preserve"> ktorým sa mení a dopĺňa zákon č. 139/1998 Z. z. o omamných látkach, psychotropných látkach a prípravkoch v znení neskorších predpisov (tlač 617)</w:t>
      </w:r>
      <w:r w:rsidRPr="003B7C30">
        <w:t>;</w:t>
      </w:r>
    </w:p>
    <w:p w:rsidR="003B7C30" w:rsidRPr="001C6FFA" w:rsidP="003B7C30">
      <w:pPr>
        <w:pStyle w:val="BodyText"/>
        <w:bidi w:val="0"/>
      </w:pPr>
    </w:p>
    <w:p w:rsidR="003B7C30" w:rsidP="003B7C30">
      <w:pPr>
        <w:pStyle w:val="BodyText"/>
        <w:numPr>
          <w:numId w:val="1"/>
        </w:numPr>
        <w:bidi w:val="0"/>
        <w:rPr>
          <w:b/>
        </w:rPr>
      </w:pPr>
      <w:r w:rsidRPr="001C6FFA">
        <w:rPr>
          <w:b/>
        </w:rPr>
        <w:t>s ú h l a s</w:t>
      </w:r>
      <w:r>
        <w:rPr>
          <w:b/>
        </w:rPr>
        <w:t> </w:t>
      </w:r>
      <w:r w:rsidRPr="001C6FFA">
        <w:rPr>
          <w:b/>
        </w:rPr>
        <w:t>í</w:t>
      </w:r>
    </w:p>
    <w:p w:rsidR="003B7C30" w:rsidP="003B7C30">
      <w:pPr>
        <w:pStyle w:val="BodyText"/>
        <w:bidi w:val="0"/>
        <w:ind w:left="1095"/>
        <w:rPr>
          <w:b/>
          <w:bCs w:val="0"/>
        </w:rPr>
      </w:pPr>
    </w:p>
    <w:p w:rsidR="003B7C30" w:rsidRPr="003B7C30" w:rsidP="003B7C30">
      <w:pPr>
        <w:pStyle w:val="ListParagraph"/>
        <w:autoSpaceDE w:val="0"/>
        <w:autoSpaceDN w:val="0"/>
        <w:bidi w:val="0"/>
        <w:adjustRightInd w:val="0"/>
        <w:ind w:left="0"/>
        <w:jc w:val="both"/>
      </w:pPr>
      <w:r w:rsidRPr="003B7C30">
        <w:t xml:space="preserve">              s vládnym návrhom zákona,</w:t>
      </w:r>
      <w:r w:rsidRPr="003B7C30">
        <w:rPr>
          <w:szCs w:val="24"/>
        </w:rPr>
        <w:t xml:space="preserve"> ktorým sa mení a dopĺňa zákon č. 139/1998 Z. z. o omamných látkach, psychotropných látkach a prípravkoch v znení neskorších predpisov (tlač 617)</w:t>
      </w:r>
      <w:r w:rsidRPr="003B7C30">
        <w:t>;</w:t>
      </w:r>
    </w:p>
    <w:p w:rsidR="003B7C30" w:rsidRPr="00F0061B" w:rsidP="003B7C30">
      <w:pPr>
        <w:pStyle w:val="ListParagraph"/>
        <w:autoSpaceDE w:val="0"/>
        <w:autoSpaceDN w:val="0"/>
        <w:bidi w:val="0"/>
        <w:adjustRightInd w:val="0"/>
        <w:ind w:left="0"/>
        <w:jc w:val="both"/>
      </w:pPr>
    </w:p>
    <w:p w:rsidR="003B7C30" w:rsidRPr="001C6FFA" w:rsidP="003B7C30">
      <w:pPr>
        <w:bidi w:val="0"/>
        <w:spacing w:line="240" w:lineRule="auto"/>
        <w:ind w:hanging="11"/>
        <w:jc w:val="both"/>
        <w:rPr>
          <w:b/>
          <w:bCs w:val="0"/>
        </w:rPr>
      </w:pPr>
      <w:r w:rsidRPr="001C6FFA">
        <w:rPr>
          <w:b/>
        </w:rPr>
        <w:t>B.</w:t>
      </w:r>
      <w:r w:rsidRPr="001C6FFA">
        <w:t xml:space="preserve"> </w:t>
      </w:r>
      <w:r w:rsidRPr="001C6FFA">
        <w:rPr>
          <w:b/>
        </w:rPr>
        <w:t>o d p o r ú č a</w:t>
      </w:r>
    </w:p>
    <w:p w:rsidR="003B7C30" w:rsidRPr="001C6FFA" w:rsidP="003B7C30">
      <w:pPr>
        <w:pStyle w:val="BodyText"/>
        <w:bidi w:val="0"/>
        <w:ind w:left="1065"/>
        <w:rPr>
          <w:b/>
          <w:bCs w:val="0"/>
        </w:rPr>
      </w:pPr>
      <w:r w:rsidRPr="001C6FFA">
        <w:rPr>
          <w:b/>
        </w:rPr>
        <w:t>Národnej rade Sloven</w:t>
      </w:r>
      <w:smartTag w:uri="urn:schemas-microsoft-com:office:smarttags" w:element="PersonName">
        <w:r w:rsidRPr="001C6FFA">
          <w:rPr>
            <w:b/>
          </w:rPr>
          <w:t>sk</w:t>
        </w:r>
      </w:smartTag>
      <w:r w:rsidRPr="001C6FFA">
        <w:rPr>
          <w:b/>
        </w:rPr>
        <w:t>ej republiky</w:t>
      </w:r>
    </w:p>
    <w:p w:rsidR="003B7C30" w:rsidRPr="001C6FFA" w:rsidP="003B7C30">
      <w:pPr>
        <w:pStyle w:val="BodyText"/>
        <w:bidi w:val="0"/>
        <w:ind w:left="1065"/>
      </w:pPr>
    </w:p>
    <w:p w:rsidR="003B7C30" w:rsidRPr="003B7C30" w:rsidP="003B7C30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  <w:r w:rsidRPr="003B7C30">
        <w:t xml:space="preserve">     vládny návrh zákona, </w:t>
      </w:r>
      <w:r w:rsidRPr="003B7C30">
        <w:rPr>
          <w:szCs w:val="24"/>
        </w:rPr>
        <w:t xml:space="preserve">ktorým sa mení a dopĺňa zákon č. 139/1998 Z. z. o omamných látkach, psychotropných látkach a prípravkoch v znení neskorších predpisov (tlač 617) </w:t>
      </w:r>
      <w:r w:rsidRPr="003B7C30">
        <w:t>schváliť s pozmeňujúcimi a doplňujúcimi návrhmi:</w:t>
      </w:r>
    </w:p>
    <w:p w:rsidR="003B7C30" w:rsidP="003B7C30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</w:p>
    <w:p w:rsidR="00397998" w:rsidRPr="00397998" w:rsidP="00397998">
      <w:pPr>
        <w:bidi w:val="0"/>
        <w:ind w:left="0"/>
        <w:jc w:val="both"/>
        <w:rPr>
          <w:b/>
        </w:rPr>
      </w:pPr>
      <w:r w:rsidRPr="00397998">
        <w:rPr>
          <w:b/>
        </w:rPr>
        <w:t>1. K čl. I</w:t>
      </w:r>
    </w:p>
    <w:p w:rsidR="00397998" w:rsidRPr="00397998" w:rsidP="00397998">
      <w:pPr>
        <w:bidi w:val="0"/>
        <w:spacing w:line="240" w:lineRule="auto"/>
        <w:ind w:left="0"/>
        <w:jc w:val="both"/>
      </w:pPr>
      <w:r>
        <w:t xml:space="preserve">    </w:t>
      </w:r>
      <w:r w:rsidRPr="00397998">
        <w:t>V článku I bod 12 znie:</w:t>
      </w:r>
    </w:p>
    <w:p w:rsidR="00397998" w:rsidRPr="00397998" w:rsidP="00397998">
      <w:pPr>
        <w:pStyle w:val="BodyText"/>
        <w:bidi w:val="0"/>
        <w:rPr>
          <w:b/>
          <w:bCs w:val="0"/>
        </w:rPr>
      </w:pPr>
      <w:r>
        <w:t xml:space="preserve">   </w:t>
      </w:r>
      <w:r w:rsidRPr="00397998">
        <w:t xml:space="preserve">„12. V prílohe č. 1 I. skupine  </w:t>
      </w:r>
      <w:r w:rsidRPr="00397998">
        <w:rPr>
          <w:color w:val="000000" w:themeColor="tx1" w:themeShade="FF"/>
        </w:rPr>
        <w:t>o</w:t>
      </w:r>
      <w:r w:rsidRPr="00397998">
        <w:rPr>
          <w:rStyle w:val="ppp-input-value1"/>
          <w:rFonts w:ascii="Arial" w:hAnsi="Arial" w:cs="Arial"/>
          <w:color w:val="000000" w:themeColor="tx1" w:themeShade="FF"/>
          <w:sz w:val="24"/>
          <w:szCs w:val="24"/>
        </w:rPr>
        <w:t>mamných látok</w:t>
      </w:r>
      <w:r w:rsidRPr="00397998">
        <w:t xml:space="preserve"> sa za riadok</w:t>
      </w:r>
      <w:r w:rsidRPr="00397998">
        <w:rPr>
          <w:bCs w:val="0"/>
        </w:rPr>
        <w:t xml:space="preserve"> „Acetyl-alfa-metylfentanyl, chemicky N-fenyl-N-[1-(1-fenylpropán- -2-yl)-4-piperidyl]etánamid“ vkladajú nové riadky, ktoré znejú: </w:t>
      </w:r>
    </w:p>
    <w:p w:rsidR="00397998" w:rsidRPr="00397998" w:rsidP="00397998">
      <w:pPr>
        <w:pStyle w:val="BodyText"/>
        <w:bidi w:val="0"/>
        <w:rPr>
          <w:b/>
          <w:bCs w:val="0"/>
        </w:rPr>
      </w:pPr>
      <w:r w:rsidRPr="00397998">
        <w:rPr>
          <w:bCs w:val="0"/>
        </w:rPr>
        <w:t xml:space="preserve">„Acetylfentanyl, chemicky </w:t>
      </w:r>
      <w:r w:rsidRPr="00397998">
        <w:t>N-fenyl-N-[1-(2-fenyletyl)piperidín-4-yl]etánamid</w:t>
      </w:r>
    </w:p>
    <w:p w:rsidR="00397998" w:rsidRPr="00397998" w:rsidP="00397998">
      <w:pPr>
        <w:bidi w:val="0"/>
        <w:spacing w:line="240" w:lineRule="auto"/>
        <w:ind w:left="0"/>
        <w:jc w:val="both"/>
        <w:rPr>
          <w:color w:val="000000"/>
          <w:lang w:eastAsia="sk-SK"/>
        </w:rPr>
      </w:pPr>
      <w:r w:rsidRPr="00397998">
        <w:rPr>
          <w:color w:val="000000"/>
          <w:lang w:eastAsia="sk-SK"/>
        </w:rPr>
        <w:t>Akrylfentanyl, chemicky N-(1-fenyletyl-4-piperidinyl)-N-fenylakrylamid“.</w:t>
      </w:r>
    </w:p>
    <w:p w:rsidR="00397998" w:rsidRPr="00397998" w:rsidP="00397998">
      <w:pPr>
        <w:bidi w:val="0"/>
        <w:spacing w:line="240" w:lineRule="auto"/>
        <w:ind w:left="0"/>
        <w:jc w:val="both"/>
      </w:pPr>
    </w:p>
    <w:p w:rsidR="00397998" w:rsidRPr="00397998" w:rsidP="00397998">
      <w:pPr>
        <w:bidi w:val="0"/>
        <w:spacing w:line="240" w:lineRule="auto"/>
        <w:ind w:left="0"/>
        <w:jc w:val="both"/>
      </w:pPr>
    </w:p>
    <w:p w:rsidR="00397998" w:rsidRPr="00397998" w:rsidP="00397998">
      <w:pPr>
        <w:bidi w:val="0"/>
        <w:spacing w:after="120" w:line="240" w:lineRule="auto"/>
        <w:ind w:left="1701"/>
        <w:jc w:val="both"/>
      </w:pPr>
      <w:r w:rsidRPr="00397998">
        <w:t xml:space="preserve">Na základe vykonávacieho rozhodnutia Rady (EÚ) 2017/1774 z 25. septembra 2017 o </w:t>
      </w:r>
      <w:r w:rsidRPr="00397998">
        <w:rPr>
          <w:color w:val="000000"/>
          <w:lang w:eastAsia="sk-SK"/>
        </w:rPr>
        <w:t xml:space="preserve"> podrobení N-(1-fenyletyl-4-piperidinyl)-N-fenylakrylamid (akrylfentanyl) kontrolným opatreniam </w:t>
      </w:r>
      <w:r w:rsidRPr="00397998">
        <w:t>sa navrhuje zaradiť látku a</w:t>
      </w:r>
      <w:r w:rsidRPr="00397998">
        <w:rPr>
          <w:color w:val="000000"/>
          <w:lang w:eastAsia="sk-SK"/>
        </w:rPr>
        <w:t>krylfentanyl, chemicky N-(1-fenyletyl-4-piperidinyl)-N-fenylakrylamid</w:t>
      </w:r>
      <w:r w:rsidRPr="00397998">
        <w:t xml:space="preserve"> medzi omamné látky I. skupiny. </w:t>
      </w:r>
    </w:p>
    <w:p w:rsidR="00397998" w:rsidRPr="00397998" w:rsidP="00397998">
      <w:pPr>
        <w:bidi w:val="0"/>
        <w:spacing w:after="120" w:line="240" w:lineRule="auto"/>
        <w:ind w:left="1701"/>
        <w:jc w:val="both"/>
        <w:rPr>
          <w:color w:val="000000"/>
          <w:lang w:eastAsia="sk-SK"/>
        </w:rPr>
      </w:pPr>
      <w:r w:rsidRPr="00397998">
        <w:rPr>
          <w:color w:val="000000"/>
          <w:lang w:eastAsia="sk-SK"/>
        </w:rPr>
        <w:t xml:space="preserve">Akrylfentanyl je syntetický opiát. Je štruktúrou podobný fentanylu, kontrolovanej látke bežne používanej v medicíne ako doplnok k celkovej anestézii počas operácie a pri tlmení bolesti. Dostupné údaje poukazujú na to, že akrylfentanyl je silná, dlho pôsobiaca antinociceptívna účinná látka, ktorá ovplyvňuje opioidný systém. </w:t>
      </w:r>
    </w:p>
    <w:p w:rsidR="00397998" w:rsidRPr="00397998" w:rsidP="00397998">
      <w:pPr>
        <w:bidi w:val="0"/>
        <w:spacing w:after="120" w:line="240" w:lineRule="auto"/>
        <w:ind w:left="1701"/>
        <w:jc w:val="both"/>
        <w:rPr>
          <w:color w:val="000000"/>
          <w:lang w:eastAsia="sk-SK"/>
        </w:rPr>
      </w:pPr>
      <w:r w:rsidRPr="00397998">
        <w:rPr>
          <w:color w:val="000000"/>
          <w:lang w:eastAsia="sk-SK"/>
        </w:rPr>
        <w:t xml:space="preserve">Akrylfentanyl je dostupný v členských štátoch Európskej únie minimálne od apríla 2016 a bol zistený v šiestich členských štátoch. Vo väčšine prípadov jej zabavenia bola látka v tekutej forme, ale odhalené boli aj iné formy, napríklad prášok, tablety a kapsuly. Tri členské štáty nahlásili 47 úmrtí spojených s akrylfentanylom. Akrylfentanyl zapríčinil úmrtie alebo k nemu pravdepodobne prispel v prípade najmenej 40 osôb. Okrem toho bolo hlásených viac ako 20 akútnych intoxikácií, pri ktorých je podozrenie, že ich spôsobil akrylfentanyl. </w:t>
      </w:r>
    </w:p>
    <w:p w:rsidR="00397998" w:rsidRPr="00397998" w:rsidP="00397998">
      <w:pPr>
        <w:bidi w:val="0"/>
        <w:spacing w:after="120" w:line="240" w:lineRule="auto"/>
        <w:ind w:left="1701"/>
        <w:jc w:val="both"/>
        <w:rPr>
          <w:color w:val="000000"/>
          <w:lang w:eastAsia="sk-SK"/>
        </w:rPr>
      </w:pPr>
      <w:r w:rsidRPr="00397998">
        <w:rPr>
          <w:color w:val="000000"/>
          <w:lang w:eastAsia="sk-SK"/>
        </w:rPr>
        <w:t xml:space="preserve">Informácie o možnom zapojení organizovanej trestnej činnosti do výroby, distribúcie, predaja alebo dodávania akrylfentanylu v rámci Európskej únie nie sú k dispozícii. Dostupné údaje poukazujú na to, že väčšinu akrylfentanylu na trhu v Európe vyrobili chemické spoločnosti usídlené v Číne. </w:t>
      </w:r>
    </w:p>
    <w:p w:rsidR="00397998" w:rsidRPr="00397998" w:rsidP="00397998">
      <w:pPr>
        <w:bidi w:val="0"/>
        <w:spacing w:after="120" w:line="240" w:lineRule="auto"/>
        <w:ind w:left="1701"/>
        <w:jc w:val="both"/>
        <w:rPr>
          <w:color w:val="000000"/>
          <w:lang w:eastAsia="sk-SK"/>
        </w:rPr>
      </w:pPr>
      <w:r w:rsidRPr="00397998">
        <w:rPr>
          <w:color w:val="000000"/>
          <w:lang w:eastAsia="sk-SK"/>
        </w:rPr>
        <w:t xml:space="preserve">Akrylfentanyl sa predáva ako „chemikália na výskumné účely“, najmä ako prášok alebo ako nosné spreje. Predáva sa v malých a vo veľkoobchodných množstvách. Informácie získané pri zabavení akrylfentanylu naznačujú, že akrylfentanyl sa mohol predávať aj na nelegálnom trhu s opiátmi. </w:t>
      </w:r>
    </w:p>
    <w:p w:rsidR="00397998" w:rsidRPr="00397998" w:rsidP="00397998">
      <w:pPr>
        <w:bidi w:val="0"/>
        <w:spacing w:after="120" w:line="240" w:lineRule="auto"/>
        <w:ind w:left="1701"/>
        <w:jc w:val="both"/>
        <w:rPr>
          <w:color w:val="000000"/>
          <w:lang w:eastAsia="sk-SK"/>
        </w:rPr>
      </w:pPr>
      <w:r w:rsidRPr="00397998">
        <w:rPr>
          <w:color w:val="000000"/>
          <w:lang w:eastAsia="sk-SK"/>
        </w:rPr>
        <w:t>Akrylfentanyl nie je uvedený v zozname látok podliehajúcich kontrole podľa Jednotného dohovoru Organizácie Spojených národov o omamných látkach z roku 1961, ani v zozname Dohovoru Organizácie Spojených národov o psychotropných látkach z roku 1971. Látka je v súčasnosti predmetom hodnotenia v rámci systému OSN.</w:t>
      </w:r>
    </w:p>
    <w:p w:rsidR="00397998" w:rsidRPr="00397998" w:rsidP="00397998">
      <w:pPr>
        <w:bidi w:val="0"/>
        <w:spacing w:after="120" w:line="240" w:lineRule="auto"/>
        <w:ind w:left="1701"/>
        <w:jc w:val="both"/>
      </w:pPr>
      <w:r w:rsidRPr="00397998">
        <w:rPr>
          <w:color w:val="000000"/>
          <w:lang w:eastAsia="sk-SK"/>
        </w:rPr>
        <w:t>Liečebné využitie akrylfentanylu na humánne alebo veterinárne použitie nebolo stanovené ani uznané. Odhliadnuc od jej používania v analytických referenčných materiáloch a vo vedeckom výskume zameranom na zisťovanie jej chemických, farmakologických a toxikologických vlastností v dôsledku jej objavenia sa na trhu s drogami, nič nenasvedčuje tomu, že sa používa na iné legitímne účely.</w:t>
      </w:r>
    </w:p>
    <w:tbl>
      <w:tblPr>
        <w:tblStyle w:val="TableNormal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66"/>
        <w:gridCol w:w="6"/>
      </w:tblGrid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  <w:r w:rsidRPr="00397998">
              <w:rPr>
                <w:color w:val="000000"/>
                <w:lang w:eastAsia="sk-SK"/>
              </w:rPr>
              <w:t xml:space="preserve">Zo správy o hodnotení rizika vyplýva, že dostupné vedecké dôkazy o akrylfentanyle sú obmedzené a bol by potrebný ďalší výskum. Dostupné dôkazy a informácie o zdravotných a sociálnych rizikách, ktoré látka predstavuje, poskytujú dostatočný dôvod na to, aby sa látka akrylfentanyl podrobila kontrolným opatreniam v celej Európskej únii. </w:t>
            </w:r>
          </w:p>
          <w:p w:rsidR="007735F9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after="120" w:line="240" w:lineRule="auto"/>
              <w:ind w:left="1701"/>
              <w:jc w:val="both"/>
              <w:rPr>
                <w:color w:val="000000"/>
                <w:lang w:eastAsia="sk-SK"/>
              </w:rPr>
            </w:pPr>
          </w:p>
        </w:tc>
      </w:tr>
    </w:tbl>
    <w:p w:rsidR="00397998" w:rsidRPr="00397998" w:rsidP="00397998">
      <w:pPr>
        <w:bidi w:val="0"/>
        <w:spacing w:line="240" w:lineRule="auto"/>
        <w:jc w:val="both"/>
        <w:rPr>
          <w:vanish/>
          <w:color w:val="000000"/>
          <w:lang w:eastAsia="sk-SK"/>
        </w:rPr>
      </w:pPr>
    </w:p>
    <w:tbl>
      <w:tblPr>
        <w:tblStyle w:val="TableNormal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line="240" w:lineRule="auto"/>
              <w:jc w:val="both"/>
              <w:rPr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97998" w:rsidP="00397998">
            <w:pPr>
              <w:bidi w:val="0"/>
              <w:spacing w:line="240" w:lineRule="auto"/>
              <w:jc w:val="both"/>
              <w:rPr>
                <w:color w:val="000000"/>
                <w:lang w:eastAsia="sk-SK"/>
              </w:rPr>
            </w:pPr>
          </w:p>
        </w:tc>
      </w:tr>
    </w:tbl>
    <w:p w:rsidR="00397998" w:rsidRPr="00337302" w:rsidP="00397998">
      <w:pPr>
        <w:bidi w:val="0"/>
        <w:spacing w:line="240" w:lineRule="auto"/>
        <w:rPr>
          <w:rFonts w:ascii="Times New Roman" w:hAnsi="Times New Roman"/>
          <w:vanish/>
          <w:color w:val="000000"/>
          <w:lang w:eastAsia="sk-SK"/>
        </w:rPr>
      </w:pPr>
    </w:p>
    <w:tbl>
      <w:tblPr>
        <w:tblStyle w:val="TableNormal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>
        <w:tblPrEx>
          <w:tblW w:w="5000" w:type="pct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37302" w:rsidP="00E20DEF">
            <w:pPr>
              <w:bidi w:val="0"/>
              <w:spacing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397998" w:rsidRPr="00337302" w:rsidP="00E20DEF">
            <w:pPr>
              <w:bidi w:val="0"/>
              <w:spacing w:line="240" w:lineRule="auto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:rsidR="00397998" w:rsidRPr="00337302" w:rsidP="00397998">
      <w:pPr>
        <w:bidi w:val="0"/>
        <w:spacing w:line="240" w:lineRule="auto"/>
        <w:rPr>
          <w:rFonts w:ascii="Times New Roman" w:hAnsi="Times New Roman"/>
          <w:vanish/>
          <w:color w:val="000000"/>
          <w:lang w:eastAsia="sk-SK"/>
        </w:rPr>
      </w:pPr>
    </w:p>
    <w:p w:rsidR="00397998" w:rsidRPr="00397998" w:rsidP="00397998">
      <w:pPr>
        <w:bidi w:val="0"/>
        <w:spacing w:line="240" w:lineRule="auto"/>
        <w:ind w:left="0"/>
        <w:rPr>
          <w:rFonts w:ascii="Times New Roman" w:hAnsi="Times New Roman"/>
          <w:b/>
          <w:vanish/>
          <w:color w:val="000000"/>
          <w:lang w:eastAsia="sk-SK"/>
        </w:rPr>
      </w:pPr>
      <w:r w:rsidRPr="00397998">
        <w:rPr>
          <w:b/>
          <w:color w:val="000000"/>
          <w:lang w:eastAsia="sk-SK"/>
        </w:rPr>
        <w:t>2. K čl. II</w:t>
      </w:r>
      <w:r w:rsidRPr="00397998">
        <w:rPr>
          <w:rFonts w:ascii="Times New Roman" w:hAnsi="Times New Roman"/>
          <w:b/>
          <w:color w:val="000000"/>
          <w:lang w:eastAsia="sk-SK"/>
        </w:rPr>
        <w:t xml:space="preserve"> </w:t>
      </w:r>
    </w:p>
    <w:p w:rsidR="00397998" w:rsidRPr="00397998" w:rsidP="00712A07">
      <w:pPr>
        <w:tabs>
          <w:tab w:val="left" w:pos="426"/>
        </w:tabs>
        <w:suppressAutoHyphens/>
        <w:bidi w:val="0"/>
        <w:spacing w:line="240" w:lineRule="auto"/>
        <w:ind w:left="0"/>
        <w:rPr>
          <w:b/>
          <w:lang w:eastAsia="ar-SA"/>
        </w:rPr>
      </w:pPr>
    </w:p>
    <w:p w:rsidR="00712A07" w:rsidRPr="00FD5264" w:rsidP="00712A07">
      <w:pPr>
        <w:tabs>
          <w:tab w:val="left" w:pos="426"/>
        </w:tabs>
        <w:suppressAutoHyphens/>
        <w:bidi w:val="0"/>
        <w:spacing w:line="240" w:lineRule="auto"/>
        <w:ind w:left="0"/>
        <w:rPr>
          <w:iCs/>
          <w:lang w:eastAsia="ar-SA"/>
        </w:rPr>
      </w:pPr>
      <w:r w:rsidR="00397998">
        <w:rPr>
          <w:iCs/>
          <w:lang w:eastAsia="ar-SA"/>
        </w:rPr>
        <w:t xml:space="preserve">     </w:t>
      </w:r>
      <w:r w:rsidRPr="00FD5264">
        <w:rPr>
          <w:iCs/>
          <w:lang w:eastAsia="ar-SA"/>
        </w:rPr>
        <w:t>V čl. II</w:t>
      </w:r>
      <w:r>
        <w:rPr>
          <w:iCs/>
          <w:lang w:eastAsia="ar-SA"/>
        </w:rPr>
        <w:t xml:space="preserve"> sa</w:t>
      </w:r>
      <w:r w:rsidRPr="00FD5264">
        <w:rPr>
          <w:iCs/>
          <w:lang w:eastAsia="ar-SA"/>
        </w:rPr>
        <w:t xml:space="preserve"> slová </w:t>
      </w:r>
      <w:r>
        <w:rPr>
          <w:iCs/>
          <w:lang w:eastAsia="ar-SA"/>
        </w:rPr>
        <w:t>„</w:t>
      </w:r>
      <w:r w:rsidRPr="00FD5264">
        <w:rPr>
          <w:iCs/>
          <w:lang w:eastAsia="ar-SA"/>
        </w:rPr>
        <w:t xml:space="preserve">1. novembra“ nahrádzajú slovami „1. decembra“.  </w:t>
      </w:r>
    </w:p>
    <w:p w:rsidR="00712A07" w:rsidRPr="00FD5264" w:rsidP="00712A07">
      <w:pPr>
        <w:suppressAutoHyphens/>
        <w:bidi w:val="0"/>
        <w:spacing w:line="240" w:lineRule="auto"/>
        <w:ind w:left="3969"/>
        <w:jc w:val="both"/>
        <w:rPr>
          <w:lang w:eastAsia="sk-SK"/>
        </w:rPr>
      </w:pPr>
    </w:p>
    <w:p w:rsidR="00712A07" w:rsidRPr="00FD5264" w:rsidP="00712A07">
      <w:pPr>
        <w:suppressAutoHyphens/>
        <w:bidi w:val="0"/>
        <w:spacing w:line="240" w:lineRule="auto"/>
        <w:ind w:left="3969"/>
        <w:jc w:val="both"/>
        <w:rPr>
          <w:iCs/>
          <w:lang w:eastAsia="ar-SA"/>
        </w:rPr>
      </w:pPr>
      <w:r w:rsidRPr="00FD5264">
        <w:rPr>
          <w:lang w:eastAsia="sk-SK"/>
        </w:rPr>
        <w:t xml:space="preserve">S ohľadom na priebeh legislatívneho procesu,  v záujme zachovania primeranej legisvakancie a dodržania ústavných lehôt sa navrhuje upraviť termín účinnosti zákona na 1. </w:t>
      </w:r>
      <w:r>
        <w:rPr>
          <w:lang w:eastAsia="sk-SK"/>
        </w:rPr>
        <w:t xml:space="preserve">december </w:t>
      </w:r>
      <w:r w:rsidRPr="00FD5264">
        <w:rPr>
          <w:lang w:eastAsia="sk-SK"/>
        </w:rPr>
        <w:t>201</w:t>
      </w:r>
      <w:r>
        <w:rPr>
          <w:lang w:eastAsia="sk-SK"/>
        </w:rPr>
        <w:t>7</w:t>
      </w:r>
      <w:r w:rsidRPr="00FD5264">
        <w:rPr>
          <w:lang w:eastAsia="sk-SK"/>
        </w:rPr>
        <w:t xml:space="preserve">. </w:t>
      </w:r>
    </w:p>
    <w:p w:rsidR="003B7C30" w:rsidRPr="001C6FFA" w:rsidP="003B7C30">
      <w:pPr>
        <w:pStyle w:val="NormalWeb"/>
        <w:bidi w:val="0"/>
        <w:rPr>
          <w:rFonts w:ascii="Times New Roman" w:hAnsi="Times New Roman"/>
        </w:rPr>
      </w:pPr>
    </w:p>
    <w:p w:rsidR="003B7C30" w:rsidRPr="001C6FFA" w:rsidP="003B7C30">
      <w:pPr>
        <w:pStyle w:val="BodyText"/>
        <w:numPr>
          <w:numId w:val="2"/>
        </w:numPr>
        <w:bidi w:val="0"/>
        <w:rPr>
          <w:b/>
          <w:bCs w:val="0"/>
        </w:rPr>
      </w:pPr>
      <w:r w:rsidRPr="001C6FFA">
        <w:rPr>
          <w:b/>
        </w:rPr>
        <w:t>p o v e r u j e</w:t>
      </w:r>
    </w:p>
    <w:p w:rsidR="003B7C30" w:rsidRPr="001C6FFA" w:rsidP="003B7C30">
      <w:pPr>
        <w:pStyle w:val="BodyText"/>
        <w:bidi w:val="0"/>
        <w:ind w:left="705"/>
        <w:rPr>
          <w:b/>
          <w:bCs w:val="0"/>
        </w:rPr>
      </w:pPr>
    </w:p>
    <w:p w:rsidR="003B7C30" w:rsidP="003B7C30">
      <w:pPr>
        <w:pStyle w:val="BodyText"/>
        <w:bidi w:val="0"/>
        <w:ind w:firstLine="705"/>
      </w:pPr>
      <w:r w:rsidRPr="001C6FFA">
        <w:t xml:space="preserve">      spoločného spravodajcu výborov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republiky, aby v súlade s § 80 ods. 2 zákona Národnej rady Sloven</w:t>
      </w:r>
      <w:smartTag w:uri="urn:schemas-microsoft-com:office:smarttags" w:element="PersonName">
        <w:r w:rsidRPr="001C6FFA">
          <w:t>sk</w:t>
        </w:r>
      </w:smartTag>
      <w:r w:rsidRPr="001C6FFA">
        <w:t>ej republiky č. 350/1996 Z. z. o rokovacom poriadku Národnej rady Slovenskej republiky  v znení neskorších predpisov informoval o výsledku rokovania výborov Národnej rady Slovenskej republiky a aby odôvodnil návrh a stanovisko gestorského výboru k návrhu zákona uvedené v spoločnej správe výborov Národnej rady Slovenskej republiky na schôdzi Národnej rady Sloven</w:t>
      </w:r>
      <w:r>
        <w:t>skej republiky.</w:t>
      </w:r>
    </w:p>
    <w:p w:rsidR="003B7C30" w:rsidP="003B7C30">
      <w:pPr>
        <w:pStyle w:val="BodyText"/>
        <w:bidi w:val="0"/>
      </w:pPr>
    </w:p>
    <w:p w:rsidR="003B7C30" w:rsidP="003B7C30">
      <w:pPr>
        <w:pStyle w:val="BodyText"/>
        <w:bidi w:val="0"/>
      </w:pPr>
    </w:p>
    <w:p w:rsidR="003B7C30" w:rsidP="003B7C30">
      <w:pPr>
        <w:pStyle w:val="BodyText"/>
        <w:bidi w:val="0"/>
      </w:pPr>
    </w:p>
    <w:p w:rsidR="003B7C30" w:rsidP="003B7C30">
      <w:pPr>
        <w:pStyle w:val="BodyText"/>
        <w:bidi w:val="0"/>
      </w:pPr>
    </w:p>
    <w:p w:rsidR="003B7C30" w:rsidRPr="001C6FFA" w:rsidP="003B7C30">
      <w:pPr>
        <w:pStyle w:val="BodyText"/>
        <w:bidi w:val="0"/>
      </w:pPr>
    </w:p>
    <w:p w:rsidR="003B7C30" w:rsidRPr="001C6FFA" w:rsidP="003B7C30">
      <w:pPr>
        <w:pStyle w:val="BodyText"/>
        <w:bidi w:val="0"/>
        <w:ind w:left="1065"/>
      </w:pPr>
    </w:p>
    <w:p w:rsidR="003B7C30" w:rsidRPr="001C6FFA" w:rsidP="003B7C30">
      <w:pPr>
        <w:pStyle w:val="BodyText"/>
        <w:bidi w:val="0"/>
        <w:rPr>
          <w:b/>
          <w:bCs w:val="0"/>
        </w:rPr>
      </w:pPr>
      <w:r w:rsidRPr="001C6FFA">
        <w:rPr>
          <w:b/>
        </w:rPr>
        <w:tab/>
      </w:r>
      <w:r>
        <w:rPr>
          <w:b/>
        </w:rPr>
        <w:tab/>
      </w:r>
      <w:r w:rsidRPr="001C6FFA">
        <w:rPr>
          <w:b/>
        </w:rPr>
        <w:tab/>
        <w:tab/>
        <w:tab/>
        <w:tab/>
        <w:tab/>
        <w:tab/>
      </w:r>
      <w:r>
        <w:rPr>
          <w:b/>
        </w:rPr>
        <w:tab/>
        <w:t xml:space="preserve">Štefan Z e l n í k </w:t>
      </w:r>
      <w:r w:rsidRPr="001C6FFA">
        <w:rPr>
          <w:b/>
        </w:rPr>
        <w:t xml:space="preserve"> </w:t>
      </w:r>
    </w:p>
    <w:p w:rsidR="003B7C30" w:rsidRPr="001C6FFA" w:rsidP="003B7C30">
      <w:pPr>
        <w:pStyle w:val="BodyText"/>
        <w:bidi w:val="0"/>
      </w:pPr>
      <w:r w:rsidRPr="001C6FFA">
        <w:tab/>
        <w:tab/>
        <w:tab/>
        <w:tab/>
        <w:tab/>
        <w:tab/>
        <w:tab/>
        <w:tab/>
        <w:t xml:space="preserve">          </w:t>
      </w:r>
      <w:r>
        <w:t xml:space="preserve"> </w:t>
      </w:r>
      <w:r w:rsidRPr="001C6FFA">
        <w:t>predseda výboru</w:t>
      </w:r>
    </w:p>
    <w:p w:rsidR="003B7C30" w:rsidRPr="001C6FFA" w:rsidP="003B7C30">
      <w:pPr>
        <w:pStyle w:val="BodyText"/>
        <w:bidi w:val="0"/>
        <w:ind w:left="1065"/>
      </w:pPr>
    </w:p>
    <w:p w:rsidR="003B7C30" w:rsidP="003B7C30">
      <w:pPr>
        <w:pStyle w:val="BodyText"/>
        <w:bidi w:val="0"/>
        <w:rPr>
          <w:b/>
        </w:rPr>
      </w:pPr>
    </w:p>
    <w:p w:rsidR="003B7C30" w:rsidP="003B7C30">
      <w:pPr>
        <w:pStyle w:val="BodyText"/>
        <w:bidi w:val="0"/>
        <w:rPr>
          <w:b/>
        </w:rPr>
      </w:pPr>
    </w:p>
    <w:p w:rsidR="003B7C30" w:rsidRPr="001C6FFA" w:rsidP="003B7C30">
      <w:pPr>
        <w:pStyle w:val="BodyText"/>
        <w:bidi w:val="0"/>
        <w:rPr>
          <w:b/>
        </w:rPr>
      </w:pPr>
      <w:r>
        <w:rPr>
          <w:b/>
        </w:rPr>
        <w:t xml:space="preserve">Jana  C i g á n i k o v á </w:t>
      </w:r>
    </w:p>
    <w:p w:rsidR="003B7C30" w:rsidRPr="001C6FFA" w:rsidP="003B7C30">
      <w:pPr>
        <w:pStyle w:val="BodyText"/>
        <w:bidi w:val="0"/>
      </w:pPr>
      <w:r w:rsidRPr="001C6FFA">
        <w:t>overovateľ</w:t>
      </w:r>
      <w:r>
        <w:t>ka</w:t>
      </w:r>
      <w:r w:rsidRPr="001C6FFA">
        <w:t xml:space="preserve"> výboru</w:t>
      </w:r>
    </w:p>
    <w:p w:rsidR="003B7C30" w:rsidP="003B7C30">
      <w:pPr>
        <w:pStyle w:val="ListParagraph"/>
        <w:autoSpaceDE w:val="0"/>
        <w:autoSpaceDN w:val="0"/>
        <w:bidi w:val="0"/>
        <w:adjustRightInd w:val="0"/>
        <w:ind w:left="0" w:firstLine="708"/>
        <w:jc w:val="both"/>
      </w:pPr>
    </w:p>
    <w:p w:rsidR="00AA59FA" w:rsidP="003B7C30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B02"/>
    <w:multiLevelType w:val="hybridMultilevel"/>
    <w:tmpl w:val="A768C6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">
    <w:nsid w:val="7E2F1ADC"/>
    <w:multiLevelType w:val="hybridMultilevel"/>
    <w:tmpl w:val="C1904014"/>
    <w:lvl w:ilvl="0">
      <w:start w:val="1"/>
      <w:numFmt w:val="upperLetter"/>
      <w:lvlText w:val="%1."/>
      <w:lvlJc w:val="left"/>
      <w:pPr>
        <w:ind w:left="109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B7C30"/>
    <w:rsid w:val="001C6FFA"/>
    <w:rsid w:val="00337302"/>
    <w:rsid w:val="00397998"/>
    <w:rsid w:val="003B43C4"/>
    <w:rsid w:val="003B7C30"/>
    <w:rsid w:val="00487D16"/>
    <w:rsid w:val="00712A07"/>
    <w:rsid w:val="007735F9"/>
    <w:rsid w:val="00974AA8"/>
    <w:rsid w:val="00A04213"/>
    <w:rsid w:val="00AA59FA"/>
    <w:rsid w:val="00B3499A"/>
    <w:rsid w:val="00BB53DD"/>
    <w:rsid w:val="00CD1746"/>
    <w:rsid w:val="00E20DEF"/>
    <w:rsid w:val="00F0061B"/>
    <w:rsid w:val="00FD526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C30"/>
    <w:pPr>
      <w:framePr w:wrap="auto"/>
      <w:widowControl/>
      <w:autoSpaceDE/>
      <w:autoSpaceDN/>
      <w:adjustRightInd/>
      <w:spacing w:line="360" w:lineRule="auto"/>
      <w:ind w:left="720" w:right="0"/>
      <w:jc w:val="left"/>
      <w:textAlignment w:val="auto"/>
    </w:pPr>
    <w:rPr>
      <w:rFonts w:ascii="Arial" w:hAnsi="Arial" w:cs="Arial"/>
      <w:bCs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3B7C30"/>
    <w:pPr>
      <w:spacing w:line="240" w:lineRule="auto"/>
      <w:ind w:left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B7C30"/>
    <w:rPr>
      <w:rFonts w:ascii="Arial" w:hAnsi="Arial" w:cs="Arial"/>
      <w:bCs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34"/>
    <w:qFormat/>
    <w:rsid w:val="003B7C30"/>
    <w:pPr>
      <w:spacing w:before="60" w:after="60" w:line="240" w:lineRule="auto"/>
      <w:contextualSpacing/>
      <w:jc w:val="left"/>
    </w:pPr>
    <w:rPr>
      <w:bCs w:val="0"/>
      <w:szCs w:val="36"/>
      <w:lang w:eastAsia="sk-SK"/>
    </w:r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3B7C30"/>
    <w:rPr>
      <w:rFonts w:ascii="Arial" w:hAnsi="Arial" w:cs="Arial"/>
      <w:sz w:val="36"/>
      <w:lang w:val="x-none" w:eastAsia="sk-SK"/>
    </w:rPr>
  </w:style>
  <w:style w:type="paragraph" w:styleId="NormalWeb">
    <w:name w:val="Normal (Web)"/>
    <w:basedOn w:val="Normal"/>
    <w:uiPriority w:val="99"/>
    <w:unhideWhenUsed/>
    <w:rsid w:val="003B7C3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 w:cs="Times New Roman"/>
      <w:b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3499A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3499A"/>
    <w:rPr>
      <w:rFonts w:ascii="Segoe UI" w:hAnsi="Segoe UI" w:cs="Segoe UI"/>
      <w:bCs/>
      <w:sz w:val="18"/>
      <w:szCs w:val="18"/>
      <w:rtl w:val="0"/>
      <w:cs w:val="0"/>
    </w:rPr>
  </w:style>
  <w:style w:type="character" w:customStyle="1" w:styleId="ppp-input-value1">
    <w:name w:val="ppp-input-value1"/>
    <w:basedOn w:val="DefaultParagraphFont"/>
    <w:rsid w:val="00397998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3</Pages>
  <Words>788</Words>
  <Characters>4495</Characters>
  <Application>Microsoft Office Word</Application>
  <DocSecurity>0</DocSecurity>
  <Lines>0</Lines>
  <Paragraphs>0</Paragraphs>
  <ScaleCrop>false</ScaleCrop>
  <Company>Kancelaria NRSR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5</cp:revision>
  <cp:lastPrinted>2017-10-04T13:19:00Z</cp:lastPrinted>
  <dcterms:created xsi:type="dcterms:W3CDTF">2017-09-21T13:43:00Z</dcterms:created>
  <dcterms:modified xsi:type="dcterms:W3CDTF">2017-10-04T13:51:00Z</dcterms:modified>
</cp:coreProperties>
</file>