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D551ED">
        <w:t>3</w:t>
      </w:r>
      <w:r w:rsidR="00780DD8">
        <w:t>7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D551ED" w:rsidR="00D551ED">
        <w:t>1</w:t>
      </w:r>
      <w:r w:rsidR="00057956">
        <w:t>401</w:t>
      </w:r>
      <w:r w:rsidRPr="00053FB9" w:rsidR="003371B9">
        <w:t>/</w:t>
      </w:r>
      <w:r w:rsidR="00053FB9">
        <w:t>201</w:t>
      </w:r>
      <w:r w:rsidR="00D551ED">
        <w:t>7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D551ED">
        <w:rPr>
          <w:b/>
        </w:rPr>
        <w:t xml:space="preserve">  </w:t>
      </w:r>
      <w:r w:rsidR="005B0D2C">
        <w:rPr>
          <w:b/>
        </w:rPr>
        <w:t>206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D551ED">
        <w:rPr>
          <w:b/>
        </w:rPr>
        <w:t>3</w:t>
      </w:r>
      <w:r w:rsidR="00C72FBD">
        <w:rPr>
          <w:b/>
        </w:rPr>
        <w:t xml:space="preserve">. </w:t>
      </w:r>
      <w:r w:rsidR="008A7014">
        <w:rPr>
          <w:b/>
        </w:rPr>
        <w:t>októbra</w:t>
      </w:r>
      <w:r w:rsidR="00830899">
        <w:rPr>
          <w:b/>
        </w:rPr>
        <w:t xml:space="preserve"> 201</w:t>
      </w:r>
      <w:r w:rsidR="00D551ED">
        <w:rPr>
          <w:b/>
        </w:rPr>
        <w:t>7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D551ED">
      <w:pPr>
        <w:widowControl w:val="0"/>
        <w:suppressAutoHyphens/>
        <w:autoSpaceDE w:val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D1527C" w:rsidR="00D1527C">
        <w:rPr>
          <w:b/>
          <w:iCs/>
          <w:color w:val="000000"/>
        </w:rPr>
        <w:t xml:space="preserve"> </w:t>
      </w:r>
      <w:r w:rsidR="00057956">
        <w:rPr>
          <w:iCs/>
          <w:color w:val="000000"/>
        </w:rPr>
        <w:t>v</w:t>
      </w:r>
      <w:r w:rsidRPr="00057956" w:rsidR="00057956">
        <w:rPr>
          <w:bCs w:val="0"/>
        </w:rPr>
        <w:t xml:space="preserve">ládny návrh zákona, ktorým sa mení a dopĺňa zákon č. 492/2009 Z. z. o platobných službách a o zmene a doplnení niektorých zákonov v znení neskorších </w:t>
      </w:r>
      <w:r w:rsidRPr="00057956" w:rsidR="00057956">
        <w:rPr>
          <w:bCs w:val="0"/>
        </w:rPr>
        <w:t xml:space="preserve">predpisov </w:t>
      </w:r>
      <w:r w:rsidRPr="00057956" w:rsidR="00057956">
        <w:rPr>
          <w:b/>
          <w:bCs w:val="0"/>
        </w:rPr>
        <w:t>(tlač 621)</w:t>
      </w:r>
      <w:r w:rsidR="00057956">
        <w:rPr>
          <w:b/>
          <w:bCs w:val="0"/>
        </w:rPr>
        <w:t xml:space="preserve"> </w:t>
      </w:r>
      <w:r w:rsidRPr="00AD2524" w:rsidR="00450C55"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057956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="00057956">
        <w:rPr>
          <w:iCs/>
          <w:color w:val="000000"/>
        </w:rPr>
        <w:t>v</w:t>
      </w:r>
      <w:r w:rsidRPr="00057956" w:rsidR="00057956">
        <w:rPr>
          <w:bCs w:val="0"/>
        </w:rPr>
        <w:t>ládny</w:t>
      </w:r>
      <w:r w:rsidR="00057956">
        <w:rPr>
          <w:bCs w:val="0"/>
        </w:rPr>
        <w:t>m</w:t>
      </w:r>
      <w:r w:rsidRPr="00057956" w:rsidR="00057956">
        <w:rPr>
          <w:bCs w:val="0"/>
        </w:rPr>
        <w:t xml:space="preserve"> návrh</w:t>
      </w:r>
      <w:r w:rsidR="00057956">
        <w:rPr>
          <w:bCs w:val="0"/>
        </w:rPr>
        <w:t>om</w:t>
      </w:r>
      <w:r w:rsidRPr="00057956" w:rsidR="00057956">
        <w:rPr>
          <w:bCs w:val="0"/>
        </w:rPr>
        <w:t xml:space="preserve"> zákona, ktorým sa mení a dopĺňa zákon č. 492/2009 Z. z. o platobných službách a o zmene a doplnení niektorých zákonov v znení neskorších predpisov </w:t>
      </w:r>
      <w:r w:rsidRPr="00057956" w:rsidR="00057956">
        <w:rPr>
          <w:b/>
          <w:bCs w:val="0"/>
        </w:rPr>
        <w:t>(tlač 621)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551E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</w:t>
      </w:r>
      <w:r w:rsidRPr="00067F0B">
        <w:rPr>
          <w:lang w:val="sk-SK"/>
        </w:rPr>
        <w:t>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057956" w:rsidR="00057956">
        <w:rPr>
          <w:b w:val="0"/>
          <w:iCs/>
          <w:color w:val="000000"/>
        </w:rPr>
        <w:t>v</w:t>
      </w:r>
      <w:r w:rsidRPr="00057956" w:rsidR="00057956">
        <w:rPr>
          <w:b w:val="0"/>
          <w:bCs w:val="0"/>
        </w:rPr>
        <w:t xml:space="preserve">ládny návrh zákona, ktorým sa mení a dopĺňa zákon č. 492/2009 Z. z. o platobných službách a o zmene a doplnení niektorých zákonov v znení neskorších predpisov </w:t>
      </w:r>
      <w:r w:rsidRPr="00177977" w:rsidR="00057956">
        <w:rPr>
          <w:bCs w:val="0"/>
        </w:rPr>
        <w:t>(tlač 621)</w:t>
      </w:r>
      <w:r w:rsidR="00057956">
        <w:rPr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</w:t>
      </w:r>
      <w:r w:rsidRPr="00E20A99" w:rsidR="00F33022">
        <w:t>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 xml:space="preserve">návrhu </w:t>
      </w:r>
      <w:r w:rsidR="00FC25E3">
        <w:t xml:space="preserve">zákona </w:t>
      </w:r>
      <w:r w:rsidRPr="00B1559A" w:rsidR="004D0847">
        <w:t>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A45E0F"/>
    <w:p w:rsidR="008A7014" w:rsidP="008A7014">
      <w:pPr>
        <w:rPr>
          <w:b/>
          <w:bCs w:val="0"/>
        </w:rPr>
      </w:pPr>
    </w:p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</w:t>
      </w:r>
      <w:r>
        <w:rPr>
          <w:b/>
          <w:bCs w:val="0"/>
        </w:rPr>
        <w:t xml:space="preserve">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065DBF"/>
    <w:p w:rsidR="00AD2524"/>
    <w:p w:rsidR="00AD2524"/>
    <w:p w:rsidR="006D7730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6D7730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  <w:r>
        <w:rPr>
          <w:sz w:val="28"/>
        </w:rPr>
        <w:t xml:space="preserve">                          </w:t>
      </w:r>
    </w:p>
    <w:p w:rsidR="006D7730" w:rsidP="000D14F9">
      <w:pPr>
        <w:jc w:val="right"/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5B0D2C">
        <w:rPr>
          <w:b/>
        </w:rPr>
        <w:t>206</w:t>
      </w:r>
    </w:p>
    <w:p w:rsidR="000D14F9" w:rsidRPr="003371B9" w:rsidP="000D14F9">
      <w:pPr>
        <w:jc w:val="right"/>
      </w:pPr>
      <w:r w:rsidR="00D551ED">
        <w:rPr>
          <w:bCs w:val="0"/>
        </w:rPr>
        <w:t>3</w:t>
      </w:r>
      <w:r w:rsidR="00780DD8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6D7730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</w:t>
      </w:r>
      <w:r w:rsidR="00A45E0F">
        <w:rPr>
          <w:b/>
          <w:bCs w:val="0"/>
        </w:rPr>
        <w:t xml:space="preserve">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57956">
      <w:pPr>
        <w:pStyle w:val="Heading1"/>
        <w:ind w:left="360"/>
        <w:jc w:val="center"/>
      </w:pPr>
      <w:r w:rsidR="00117627">
        <w:t>k</w:t>
      </w:r>
      <w:r w:rsidR="00057956">
        <w:t> </w:t>
      </w:r>
      <w:r w:rsidR="00057956">
        <w:rPr>
          <w:iCs/>
          <w:color w:val="000000"/>
        </w:rPr>
        <w:t>v</w:t>
      </w:r>
      <w:r w:rsidR="00057956">
        <w:rPr>
          <w:bCs w:val="0"/>
        </w:rPr>
        <w:t xml:space="preserve">ládnemu </w:t>
      </w:r>
      <w:r w:rsidRPr="00057956" w:rsidR="00057956">
        <w:rPr>
          <w:bCs w:val="0"/>
        </w:rPr>
        <w:t>návrh</w:t>
      </w:r>
      <w:r w:rsidR="00057956">
        <w:rPr>
          <w:bCs w:val="0"/>
        </w:rPr>
        <w:t>u</w:t>
      </w:r>
      <w:r w:rsidRPr="00057956" w:rsidR="00057956">
        <w:rPr>
          <w:bCs w:val="0"/>
        </w:rPr>
        <w:t xml:space="preserve"> zákona, ktorým sa mení a dopĺňa zákon č. 492/2009 Z. z. o platobných službách a o zmene a doplnení niektorých zákonov v znení neskorších predpisov (tlač 621)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  </w:t>
      </w:r>
    </w:p>
    <w:p w:rsidR="005B0D2C" w:rsidRPr="005B0D2C" w:rsidP="005B0D2C">
      <w:pPr>
        <w:numPr>
          <w:ilvl w:val="0"/>
          <w:numId w:val="14"/>
        </w:numPr>
        <w:jc w:val="both"/>
        <w:rPr>
          <w:b/>
        </w:rPr>
      </w:pPr>
      <w:r w:rsidRPr="005B0D2C">
        <w:rPr>
          <w:b/>
        </w:rPr>
        <w:t>V čl. I doterajší bod 16  znie:</w:t>
      </w:r>
    </w:p>
    <w:p w:rsidR="005B0D2C" w:rsidRPr="005B0D2C" w:rsidP="005B0D2C">
      <w:pPr>
        <w:ind w:left="708"/>
        <w:jc w:val="both"/>
      </w:pPr>
      <w:r w:rsidRPr="005B0D2C">
        <w:t>„16. V § 2 ods. 7 sa vypúšťajú slová „pričom poskytovateľ platobných služieb môže za spotrebiteľa považovať aj osobu, ktorá v čase uzatvorenia rámcovej zmluvy o poskytovaní platobných služieb zamestnáva menej ako desať osôb a ktorej ročný obrat alebo celková ročná bilančná hodnota nepresahuje 2 000 000 eur,“.“.</w:t>
      </w:r>
    </w:p>
    <w:p w:rsidR="005B0D2C" w:rsidP="005B0D2C">
      <w:pPr>
        <w:ind w:left="3544"/>
        <w:jc w:val="both"/>
      </w:pPr>
    </w:p>
    <w:p w:rsidR="005B0D2C" w:rsidRPr="005B0D2C" w:rsidP="005B0D2C">
      <w:pPr>
        <w:ind w:left="3544"/>
        <w:jc w:val="both"/>
      </w:pPr>
      <w:r w:rsidRPr="005B0D2C">
        <w:t>Navrhuje sa zmena definície spotrebiteľa v nadväznosti na neuplatnenie národných volieb podľa čl. 38 ods. 2 a čl. 61 ods. 3 smernice Európskeho parlamentu a Rady (EÚ) 2015/2366 z 25. novembra 2015 o platobných službách na vnútornom trhu, ktorou sa menia smernice 2002/65/ES, 2009/110/ES a 2013/36/EÚ a nariadenie (EÚ) č. 1093/2010 a ktorou sa zrušuje smernica 2007/64/ES, ktoré umožňujú členským štátom rozšíriť uplatňovanie niektorých ustanovení smernice na mikropodniky rovnakým spôsobom ako na spotrebiteľov.</w:t>
      </w:r>
    </w:p>
    <w:p w:rsidR="005B0D2C" w:rsidRPr="005B0D2C" w:rsidP="005B0D2C">
      <w:pPr>
        <w:pStyle w:val="ListParagraph"/>
        <w:keepNext/>
        <w:spacing w:after="0" w:line="240" w:lineRule="auto"/>
        <w:ind w:left="3537"/>
        <w:jc w:val="both"/>
        <w:rPr>
          <w:rFonts w:ascii="Times New Roman" w:hAnsi="Times New Roman"/>
          <w:sz w:val="24"/>
          <w:szCs w:val="24"/>
          <w:u w:val="single"/>
        </w:rPr>
      </w:pPr>
      <w:r w:rsidRPr="005B0D2C">
        <w:rPr>
          <w:rFonts w:ascii="Times New Roman" w:hAnsi="Times New Roman"/>
          <w:sz w:val="24"/>
          <w:szCs w:val="24"/>
        </w:rPr>
        <w:t>Návrhom sa akceptuje pripomienka vznesená odborom legislatívy a aproximácie práva Kancelárie Národnej rady Slovenskej republiky v časti B jeho stanoviska k</w:t>
      </w:r>
      <w:r w:rsidRPr="005B0D2C">
        <w:rPr>
          <w:rFonts w:ascii="Times New Roman" w:hAnsi="Times New Roman"/>
          <w:sz w:val="24"/>
          <w:szCs w:val="24"/>
        </w:rPr>
        <w:t> návrhu zákona.</w:t>
      </w:r>
    </w:p>
    <w:p w:rsidR="005B0D2C" w:rsidRPr="005B0D2C" w:rsidP="005B0D2C">
      <w:pPr>
        <w:rPr>
          <w:b/>
          <w:bCs w:val="0"/>
        </w:rPr>
      </w:pPr>
    </w:p>
    <w:p w:rsidR="005B0D2C" w:rsidRPr="005B0D2C" w:rsidP="005B0D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D2C">
        <w:rPr>
          <w:rFonts w:ascii="Times New Roman" w:hAnsi="Times New Roman"/>
          <w:b/>
          <w:sz w:val="24"/>
          <w:szCs w:val="24"/>
        </w:rPr>
        <w:t>K čl. I 21. bodu (§ 2 ods. 31 písm. b piatemu bodu)</w:t>
      </w:r>
    </w:p>
    <w:p w:rsidR="005B0D2C" w:rsidRPr="005B0D2C" w:rsidP="005B0D2C">
      <w:pPr>
        <w:ind w:left="705"/>
        <w:jc w:val="both"/>
      </w:pPr>
      <w:r w:rsidRPr="005B0D2C">
        <w:t>V čl. I 21. bode § 2  ods. 31  písm. b)  piatom bode sa číslovka „15“ nahrádza číslovkou „11“.</w:t>
      </w:r>
    </w:p>
    <w:p w:rsidR="005B0D2C" w:rsidP="005B0D2C">
      <w:pPr>
        <w:ind w:left="3540"/>
        <w:jc w:val="both"/>
      </w:pPr>
      <w:r w:rsidRPr="005B0D2C">
        <w:t>Ide  o významové precizovanie navrhovaného znenia § 2 ods. 31 piateho bodu, v ktorom sa vnútorne odkazuje na § 78 ods. 15, ktorý je po  úpravách obsiahnutých v čl. I  115. bode označený ako  § 78 ods. 11.</w:t>
      </w:r>
    </w:p>
    <w:p w:rsidR="005B0D2C" w:rsidRPr="005B0D2C" w:rsidP="005B0D2C">
      <w:pPr>
        <w:ind w:left="3540"/>
        <w:jc w:val="both"/>
      </w:pPr>
    </w:p>
    <w:p w:rsidR="005B0D2C" w:rsidRPr="005B0D2C" w:rsidP="005B0D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D2C">
        <w:rPr>
          <w:rFonts w:ascii="Times New Roman" w:hAnsi="Times New Roman"/>
          <w:b/>
          <w:sz w:val="24"/>
          <w:szCs w:val="24"/>
        </w:rPr>
        <w:t>K čl. I 22. bodu (§ 2 ods. 44)</w:t>
      </w:r>
    </w:p>
    <w:p w:rsidR="005B0D2C" w:rsidRPr="005B0D2C" w:rsidP="005B0D2C">
      <w:pPr>
        <w:ind w:left="698"/>
        <w:jc w:val="both"/>
      </w:pPr>
      <w:r w:rsidRPr="005B0D2C">
        <w:t>V čl. I  22. bode v § 2 ods. 44 vo štvrtom riadku sa slovo „internetu“ vkladajú slová „</w:t>
      </w:r>
      <w:r w:rsidRPr="005B0D2C">
        <w:t>alebo iného elektronického  distribučného kanálu“.</w:t>
      </w:r>
    </w:p>
    <w:p w:rsidR="005B0D2C" w:rsidP="005B0D2C">
      <w:pPr>
        <w:ind w:left="3540"/>
        <w:jc w:val="both"/>
      </w:pPr>
    </w:p>
    <w:p w:rsidR="005B0D2C" w:rsidRPr="005B0D2C" w:rsidP="005B0D2C">
      <w:pPr>
        <w:ind w:left="3540"/>
        <w:jc w:val="both"/>
      </w:pPr>
      <w:r w:rsidRPr="005B0D2C">
        <w:t>Ide o formulačné spresnenie, resp. zjednotenie navrhovaného znenia § 2 ods. 44 v rámci  definície služby informovania o platobnom účte.</w:t>
      </w:r>
    </w:p>
    <w:p w:rsidR="005B0D2C" w:rsidP="005B0D2C">
      <w:pPr>
        <w:ind w:firstLine="709"/>
        <w:jc w:val="both"/>
      </w:pPr>
    </w:p>
    <w:p w:rsidR="005B0D2C" w:rsidRPr="005B0D2C" w:rsidP="005B0D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D2C">
        <w:rPr>
          <w:rFonts w:ascii="Times New Roman" w:hAnsi="Times New Roman"/>
          <w:b/>
          <w:sz w:val="24"/>
          <w:szCs w:val="24"/>
        </w:rPr>
        <w:t>K čl. I 59. bodu (§ 28 ods. 7)</w:t>
      </w:r>
    </w:p>
    <w:p w:rsidR="005B0D2C" w:rsidRPr="005B0D2C" w:rsidP="005B0D2C">
      <w:pPr>
        <w:ind w:left="708"/>
        <w:jc w:val="both"/>
      </w:pPr>
      <w:r w:rsidRPr="005B0D2C">
        <w:t>V čl. I 59. bode v  § 28 ods. 7 sa  pred slovo „konania“ vkladajú slová „neautorizovaného a podvodného“.</w:t>
      </w:r>
    </w:p>
    <w:p w:rsidR="006D7730" w:rsidP="005B0D2C">
      <w:pPr>
        <w:ind w:left="3408"/>
        <w:jc w:val="both"/>
      </w:pPr>
    </w:p>
    <w:p w:rsidR="005B0D2C" w:rsidRPr="005B0D2C" w:rsidP="005B0D2C">
      <w:pPr>
        <w:ind w:left="3408"/>
        <w:jc w:val="both"/>
      </w:pPr>
      <w:r w:rsidRPr="005B0D2C">
        <w:t>Ide o významové spresnenie dikcie navrhovaného znenia § 28 ods. 7, v ktorom sa upravujú podmienky odmietnutia prístupu zo strany poskytovateľa platobných služieb, ktorý vedie platobný účet poskytovateľovi platobných iniciačných služieb v záujme výkladovej jednoznačnosti.</w:t>
      </w:r>
    </w:p>
    <w:p w:rsidR="005B0D2C" w:rsidRPr="005B0D2C" w:rsidP="005B0D2C">
      <w:pPr>
        <w:ind w:left="3538"/>
        <w:jc w:val="both"/>
      </w:pPr>
    </w:p>
    <w:p w:rsidR="005B0D2C" w:rsidRPr="005B0D2C" w:rsidP="005B0D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D2C">
        <w:rPr>
          <w:rFonts w:ascii="Times New Roman" w:hAnsi="Times New Roman"/>
          <w:b/>
          <w:sz w:val="24"/>
          <w:szCs w:val="24"/>
        </w:rPr>
        <w:t>K čl. I 67. bodu (§ 37a ods. 1)</w:t>
      </w:r>
    </w:p>
    <w:p w:rsidR="005B0D2C" w:rsidRPr="005B0D2C" w:rsidP="005B0D2C">
      <w:pPr>
        <w:jc w:val="both"/>
      </w:pPr>
      <w:r w:rsidRPr="005B0D2C">
        <w:t xml:space="preserve">      </w:t>
      </w:r>
      <w:r>
        <w:tab/>
      </w:r>
      <w:r w:rsidRPr="005B0D2C">
        <w:t>V čl. I 67. bode § 37a ods. 1 sa slovo „začiatkom“ nahrádza slovom „začatím“.</w:t>
      </w:r>
    </w:p>
    <w:p w:rsidR="005B0D2C" w:rsidP="005B0D2C">
      <w:pPr>
        <w:ind w:firstLine="360"/>
        <w:jc w:val="both"/>
      </w:pPr>
      <w:r w:rsidRPr="005B0D2C">
        <w:t xml:space="preserve">                                                  </w:t>
      </w:r>
    </w:p>
    <w:p w:rsidR="005B0D2C" w:rsidRPr="005B0D2C" w:rsidP="005B0D2C">
      <w:pPr>
        <w:ind w:left="2832" w:firstLine="708"/>
        <w:jc w:val="both"/>
      </w:pPr>
      <w:r w:rsidRPr="005B0D2C">
        <w:t xml:space="preserve">Ide o gramatickú úpravu. </w:t>
      </w:r>
    </w:p>
    <w:p w:rsidR="005B0D2C" w:rsidRPr="005B0D2C" w:rsidP="005B0D2C">
      <w:pPr>
        <w:jc w:val="both"/>
      </w:pPr>
    </w:p>
    <w:p w:rsidR="005B0D2C" w:rsidRPr="005B0D2C" w:rsidP="005B0D2C">
      <w:pPr>
        <w:numPr>
          <w:ilvl w:val="0"/>
          <w:numId w:val="14"/>
        </w:numPr>
        <w:jc w:val="both"/>
      </w:pPr>
      <w:r w:rsidRPr="005B0D2C">
        <w:rPr>
          <w:b/>
        </w:rPr>
        <w:t>V čl. I doterajšom bode 101</w:t>
      </w:r>
      <w:r w:rsidRPr="005B0D2C">
        <w:t xml:space="preserve"> sa v úvodnej vete slová „odsekom 5, ktorý znie“ nahrádzajú slovami „odsekmi 5 a 6, ktoré znejú“ a dopĺňa sa znenie nového odseku 6: </w:t>
      </w:r>
    </w:p>
    <w:p w:rsidR="005B0D2C" w:rsidRPr="005B0D2C" w:rsidP="005B0D2C">
      <w:pPr>
        <w:ind w:left="708"/>
        <w:jc w:val="both"/>
      </w:pPr>
      <w:r w:rsidRPr="005B0D2C">
        <w:t>„(6) Ustanovenia odsekov 1 až 5 sa nevzťahujú na platobnú inštitúciu, ktorá poskytuje výlučne platobnú službu podľa § 2 ods. 1 písm. g).“.</w:t>
      </w:r>
    </w:p>
    <w:p w:rsidR="005B0D2C" w:rsidRPr="005B0D2C" w:rsidP="005B0D2C">
      <w:pPr>
        <w:jc w:val="both"/>
      </w:pPr>
    </w:p>
    <w:p w:rsidR="005B0D2C" w:rsidRPr="005B0D2C" w:rsidP="005B0D2C">
      <w:pPr>
        <w:ind w:left="3544"/>
        <w:jc w:val="both"/>
      </w:pPr>
      <w:r w:rsidRPr="005B0D2C">
        <w:t>Navrhuje sa vyňatie platobnej inštitúcie, ktorá poskytuje výhradne platobnú iniciačnú službu spod povinnosti držať vlastné zdroje, a to v nadväznosti na transpozíciu čl. 9 ods. 1 smernice Európskeho parlamentu a Rady (EÚ) 2015/2366 z 25. novembra 2015 o platobných službách na vnútornom trhu, ktorou sa menia smernice 2002/65/ES, 2009/110/ES a 2013/36/EÚ a nariadenie (EÚ) č. 1093/2010 a ktorou sa zrušuje smernica 2007/64/ES. Poskytovatelia platobných iniciačných služieb poskytujú výlučne platobnú iniciačnú službu a nemajú v držbe finančné prostriedky klienta. Je však dôležité, aby dokázali plniť svoje záväzky v súvislosti so svojou činnosťou. Preto sa od nich vyžaduje, aby mali poistenie zodpovednosti za škodu spôsobenú pri výkone činnosti alebo porovnateľnú záruku.</w:t>
      </w:r>
    </w:p>
    <w:p w:rsidR="005B0D2C" w:rsidP="005B0D2C">
      <w:pPr>
        <w:jc w:val="both"/>
      </w:pPr>
    </w:p>
    <w:p w:rsidR="005B0D2C" w:rsidRPr="005B0D2C" w:rsidP="005B0D2C">
      <w:pPr>
        <w:numPr>
          <w:ilvl w:val="0"/>
          <w:numId w:val="14"/>
        </w:numPr>
        <w:jc w:val="both"/>
      </w:pPr>
      <w:r w:rsidRPr="005B0D2C">
        <w:rPr>
          <w:b/>
        </w:rPr>
        <w:t>V čl. I doterajšom bode 122</w:t>
      </w:r>
      <w:r w:rsidRPr="005B0D2C">
        <w:t xml:space="preserve"> sa v § 79b ods. 2 slovo „v)“ nahrádza slovom „w)“.</w:t>
      </w:r>
    </w:p>
    <w:p w:rsidR="005B0D2C" w:rsidRPr="005B0D2C" w:rsidP="005B0D2C">
      <w:pPr>
        <w:keepNext/>
        <w:ind w:left="3544"/>
        <w:jc w:val="both"/>
        <w:rPr>
          <w:u w:val="single"/>
        </w:rPr>
      </w:pPr>
    </w:p>
    <w:p w:rsidR="005B0D2C" w:rsidRPr="005B0D2C" w:rsidP="005B0D2C">
      <w:pPr>
        <w:ind w:left="3544"/>
        <w:jc w:val="both"/>
        <w:rPr>
          <w:b/>
        </w:rPr>
      </w:pPr>
      <w:r w:rsidRPr="005B0D2C">
        <w:t>Navrhuje sa legislatívno technická zmena s cieľom uviesť správny odkaz na § 64 ods. 4 písm. w).</w:t>
      </w:r>
    </w:p>
    <w:p w:rsidR="005B0D2C" w:rsidP="005B0D2C">
      <w:pPr>
        <w:jc w:val="both"/>
        <w:rPr>
          <w:b/>
        </w:rPr>
      </w:pPr>
    </w:p>
    <w:p w:rsidR="005B0D2C" w:rsidRPr="005B0D2C" w:rsidP="005B0D2C">
      <w:pPr>
        <w:numPr>
          <w:ilvl w:val="0"/>
          <w:numId w:val="14"/>
        </w:numPr>
        <w:jc w:val="both"/>
      </w:pPr>
      <w:r w:rsidRPr="005B0D2C">
        <w:rPr>
          <w:b/>
        </w:rPr>
        <w:t>V čl. I doterajšom bode 122</w:t>
      </w:r>
      <w:r w:rsidRPr="005B0D2C">
        <w:t xml:space="preserve"> sa v § 79b ods. 8 slová „§ 78, § 98 ods. 2, okrem § 78 ods. 2 písm. j) a § 79“ nahrádzajú slovami „§ 78 okrem ods. 2 písm. j), § 79 a § 98 ods. 2“.</w:t>
      </w:r>
    </w:p>
    <w:p w:rsidR="005B0D2C" w:rsidRPr="005B0D2C" w:rsidP="005B0D2C">
      <w:pPr>
        <w:ind w:left="3544"/>
        <w:jc w:val="both"/>
        <w:rPr>
          <w:u w:val="single"/>
        </w:rPr>
      </w:pPr>
    </w:p>
    <w:p w:rsidR="005B0D2C" w:rsidRPr="005B0D2C" w:rsidP="005B0D2C">
      <w:pPr>
        <w:ind w:left="3544"/>
        <w:jc w:val="both"/>
      </w:pPr>
      <w:r w:rsidRPr="005B0D2C">
        <w:t>Navrhuje sa legislatívno technická zmena za účelom zabezpečenia správneho poradia odkazov na iné ustanovenia zákona.</w:t>
      </w:r>
    </w:p>
    <w:p w:rsidR="005B0D2C" w:rsidRPr="005B0D2C" w:rsidP="005B0D2C">
      <w:pPr>
        <w:jc w:val="both"/>
      </w:pPr>
    </w:p>
    <w:p w:rsidR="005B0D2C" w:rsidRPr="005B0D2C" w:rsidP="005B0D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D2C">
        <w:rPr>
          <w:rFonts w:ascii="Times New Roman" w:hAnsi="Times New Roman"/>
          <w:b/>
          <w:sz w:val="24"/>
          <w:szCs w:val="24"/>
        </w:rPr>
        <w:t xml:space="preserve">K čl. I 141. bodu ( § 86 ods. 13)   </w:t>
      </w:r>
    </w:p>
    <w:p w:rsidR="005B0D2C" w:rsidRPr="005B0D2C" w:rsidP="005B0D2C">
      <w:pPr>
        <w:ind w:left="705"/>
        <w:jc w:val="both"/>
      </w:pPr>
      <w:r w:rsidRPr="005B0D2C">
        <w:t>V čl. I  141. bode § 86 ods. 13 sa slová „podľa odseku 10“ nahrádzajú slovami  „odseku 12“.</w:t>
      </w:r>
    </w:p>
    <w:p w:rsidR="006D7730" w:rsidP="005B0D2C">
      <w:pPr>
        <w:ind w:left="3544"/>
        <w:jc w:val="both"/>
      </w:pPr>
    </w:p>
    <w:p w:rsidR="005B0D2C" w:rsidP="005B0D2C">
      <w:pPr>
        <w:ind w:left="3544"/>
        <w:jc w:val="both"/>
      </w:pPr>
      <w:r w:rsidRPr="005B0D2C">
        <w:t xml:space="preserve">Ide o legislatívno-technickú úpravu vo väzbe na navrhovanú  úpravu  v  bode 140. na základe, ktorej  sa § 86 dopĺňa novým odsekom 3 s dôsledkami preznačenia nasledujúcich odsekov. </w:t>
      </w:r>
    </w:p>
    <w:p w:rsidR="005B0D2C" w:rsidRPr="005B0D2C" w:rsidP="005B0D2C">
      <w:pPr>
        <w:ind w:left="3544"/>
        <w:jc w:val="both"/>
      </w:pPr>
    </w:p>
    <w:p w:rsidR="005B0D2C" w:rsidRPr="005B0D2C" w:rsidP="005B0D2C">
      <w:pPr>
        <w:numPr>
          <w:ilvl w:val="0"/>
          <w:numId w:val="14"/>
        </w:numPr>
        <w:jc w:val="both"/>
      </w:pPr>
      <w:r w:rsidRPr="005B0D2C">
        <w:rPr>
          <w:b/>
        </w:rPr>
        <w:t>V čl. I doterajšom bode 166</w:t>
      </w:r>
      <w:r w:rsidRPr="005B0D2C">
        <w:t xml:space="preserve"> sa v § 101h ods. 12 slová „§ 45 ods. 1 písm. e)“ nahrádzajú slovami „§ 47 ods. 1 písm. e)“.</w:t>
      </w:r>
    </w:p>
    <w:p w:rsidR="005B0D2C" w:rsidRPr="005B0D2C" w:rsidP="005B0D2C">
      <w:pPr>
        <w:ind w:left="3544"/>
        <w:jc w:val="both"/>
        <w:rPr>
          <w:u w:val="single"/>
        </w:rPr>
      </w:pPr>
    </w:p>
    <w:p w:rsidR="005B0D2C" w:rsidP="005B0D2C">
      <w:pPr>
        <w:ind w:left="3544"/>
        <w:jc w:val="both"/>
        <w:rPr>
          <w:b/>
          <w:bCs w:val="0"/>
        </w:rPr>
      </w:pPr>
      <w:r w:rsidRPr="005B0D2C">
        <w:t>Navrhuje sa legislatívno technická zmena s cieľom uviesť správny odkaz na § 47 ods. 1 písm. e).</w:t>
      </w:r>
    </w:p>
    <w:sectPr w:rsidSect="006D7730">
      <w:footerReference w:type="even" r:id="rId5"/>
      <w:footerReference w:type="default" r:id="rId6"/>
      <w:pgSz w:w="11906" w:h="16838"/>
      <w:pgMar w:top="539" w:right="1106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730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1711"/>
    <w:multiLevelType w:val="hybridMultilevel"/>
    <w:tmpl w:val="24AE8C5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E7B7D"/>
    <w:multiLevelType w:val="hybridMultilevel"/>
    <w:tmpl w:val="10F61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2B9664AE"/>
    <w:multiLevelType w:val="hybridMultilevel"/>
    <w:tmpl w:val="8654D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4522E"/>
    <w:multiLevelType w:val="hybridMultilevel"/>
    <w:tmpl w:val="9B28C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A84DC2"/>
    <w:multiLevelType w:val="hybridMultilevel"/>
    <w:tmpl w:val="AA6C6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2670515"/>
    <w:multiLevelType w:val="hybridMultilevel"/>
    <w:tmpl w:val="6F7A06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E24BA3"/>
    <w:multiLevelType w:val="hybridMultilevel"/>
    <w:tmpl w:val="D0C21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264FA"/>
    <w:multiLevelType w:val="hybridMultilevel"/>
    <w:tmpl w:val="A9AA59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57956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337FF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77977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2800"/>
    <w:rsid w:val="002F3ED4"/>
    <w:rsid w:val="00301227"/>
    <w:rsid w:val="00301A42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3F1D1C"/>
    <w:rsid w:val="003F27B9"/>
    <w:rsid w:val="00401691"/>
    <w:rsid w:val="00415698"/>
    <w:rsid w:val="004231C1"/>
    <w:rsid w:val="004265B4"/>
    <w:rsid w:val="0043269C"/>
    <w:rsid w:val="00450C55"/>
    <w:rsid w:val="0045684F"/>
    <w:rsid w:val="0046108E"/>
    <w:rsid w:val="00467565"/>
    <w:rsid w:val="0047332F"/>
    <w:rsid w:val="004770E8"/>
    <w:rsid w:val="00485AD3"/>
    <w:rsid w:val="00491556"/>
    <w:rsid w:val="004925DB"/>
    <w:rsid w:val="00493DCA"/>
    <w:rsid w:val="004A12F3"/>
    <w:rsid w:val="004A1B48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E70D1"/>
    <w:rsid w:val="004F0838"/>
    <w:rsid w:val="004F255E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0D2C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0DF"/>
    <w:rsid w:val="0065532A"/>
    <w:rsid w:val="0065582E"/>
    <w:rsid w:val="00656806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C72E6"/>
    <w:rsid w:val="006D23E3"/>
    <w:rsid w:val="006D6B84"/>
    <w:rsid w:val="006D7730"/>
    <w:rsid w:val="006E1415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0DD8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30886"/>
    <w:rsid w:val="009434CE"/>
    <w:rsid w:val="00943A22"/>
    <w:rsid w:val="00944ECD"/>
    <w:rsid w:val="00945E30"/>
    <w:rsid w:val="00947192"/>
    <w:rsid w:val="009534E4"/>
    <w:rsid w:val="0096543A"/>
    <w:rsid w:val="009673E9"/>
    <w:rsid w:val="00972CAE"/>
    <w:rsid w:val="00985280"/>
    <w:rsid w:val="009861B2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9F6758"/>
    <w:rsid w:val="00A112D9"/>
    <w:rsid w:val="00A13BFD"/>
    <w:rsid w:val="00A22570"/>
    <w:rsid w:val="00A26DE4"/>
    <w:rsid w:val="00A42717"/>
    <w:rsid w:val="00A44797"/>
    <w:rsid w:val="00A45E0F"/>
    <w:rsid w:val="00A46F21"/>
    <w:rsid w:val="00A61D71"/>
    <w:rsid w:val="00A64B15"/>
    <w:rsid w:val="00A64ED6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D252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2857"/>
    <w:rsid w:val="00C2409D"/>
    <w:rsid w:val="00C26CC3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81129"/>
    <w:rsid w:val="00C85101"/>
    <w:rsid w:val="00C91164"/>
    <w:rsid w:val="00C93F38"/>
    <w:rsid w:val="00C97207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7721"/>
    <w:rsid w:val="00D003D9"/>
    <w:rsid w:val="00D066CB"/>
    <w:rsid w:val="00D11C07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51ED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DF4461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72EC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2440"/>
    <w:rsid w:val="00ED3C5E"/>
    <w:rsid w:val="00EE616F"/>
    <w:rsid w:val="00EF1F27"/>
    <w:rsid w:val="00EF60D1"/>
    <w:rsid w:val="00F00247"/>
    <w:rsid w:val="00F02C65"/>
    <w:rsid w:val="00F03B10"/>
    <w:rsid w:val="00F15963"/>
    <w:rsid w:val="00F32607"/>
    <w:rsid w:val="00F328DE"/>
    <w:rsid w:val="00F33022"/>
    <w:rsid w:val="00F362CE"/>
    <w:rsid w:val="00F37ECF"/>
    <w:rsid w:val="00F5334F"/>
    <w:rsid w:val="00F6286E"/>
    <w:rsid w:val="00F7316C"/>
    <w:rsid w:val="00F7461A"/>
    <w:rsid w:val="00F80E71"/>
    <w:rsid w:val="00F87FF3"/>
    <w:rsid w:val="00F962BB"/>
    <w:rsid w:val="00F966EF"/>
    <w:rsid w:val="00FA5B31"/>
    <w:rsid w:val="00FC15F7"/>
    <w:rsid w:val="00FC25E3"/>
    <w:rsid w:val="00FC37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5B0D2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31369-FAAA-4758-B713-4E2DEFE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367</cp:revision>
  <cp:lastPrinted>2017-09-27T09:59:00Z</cp:lastPrinted>
  <dcterms:created xsi:type="dcterms:W3CDTF">2003-06-05T10:59:00Z</dcterms:created>
  <dcterms:modified xsi:type="dcterms:W3CDTF">2017-10-03T14:38:00Z</dcterms:modified>
</cp:coreProperties>
</file>