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475185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15</w:t>
      </w:r>
      <w:r w:rsidR="00BA28D1">
        <w:rPr>
          <w:rFonts w:ascii="Times New Roman" w:hAnsi="Times New Roman"/>
        </w:rPr>
        <w:t>9</w:t>
      </w:r>
      <w:r w:rsidR="00562A33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1C729D" w:rsidP="003B16E4">
      <w:pPr>
        <w:bidi w:val="0"/>
        <w:rPr>
          <w:rFonts w:ascii="Times New Roman" w:hAnsi="Times New Roman"/>
        </w:rPr>
      </w:pPr>
    </w:p>
    <w:p w:rsidR="003B16E4" w:rsidRPr="00EF6CB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F6CBA" w:rsidR="00EF6CBA">
        <w:rPr>
          <w:rFonts w:ascii="Times New Roman" w:hAnsi="Times New Roman"/>
          <w:sz w:val="36"/>
          <w:szCs w:val="36"/>
        </w:rPr>
        <w:t>278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475185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BA28D1" w:rsidRPr="00BA28D1" w:rsidP="00BA28D1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BA28D1" w:rsidR="00D75B2F">
        <w:rPr>
          <w:rFonts w:ascii="Times New Roman" w:hAnsi="Times New Roman" w:cs="Arial"/>
          <w:noProof/>
          <w:sz w:val="24"/>
        </w:rPr>
        <w:t xml:space="preserve">k vládnemu návrhu zákona, </w:t>
      </w:r>
      <w:r w:rsidRPr="00BA28D1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563/2009 Z. z. o správe daní (daňový poriadok) a o zmene a doplnení niektorých zákonov v znení neskorších predpisov a  ktorým sa menia a  dopĺňajú niektoré zákony </w:t>
      </w:r>
      <w:r w:rsidRPr="00BA28D1">
        <w:rPr>
          <w:rFonts w:ascii="Times New Roman" w:hAnsi="Times New Roman" w:cs="Arial"/>
          <w:sz w:val="24"/>
          <w:lang w:val="sk-SK"/>
        </w:rPr>
        <w:t>(tlač 650)</w:t>
      </w:r>
    </w:p>
    <w:p w:rsidR="00D063FE" w:rsidRPr="00BA28D1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F61205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00730B" w:rsidRPr="00BA28D1" w:rsidP="0000730B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="00562A33">
        <w:rPr>
          <w:rFonts w:ascii="Times New Roman" w:hAnsi="Times New Roman"/>
          <w:sz w:val="24"/>
        </w:rPr>
        <w:tab/>
        <w:tab/>
      </w:r>
      <w:r w:rsidRPr="00503895" w:rsidR="003B16E4">
        <w:rPr>
          <w:rFonts w:ascii="Times New Roman" w:hAnsi="Times New Roman"/>
          <w:sz w:val="24"/>
        </w:rPr>
        <w:t>s</w:t>
      </w:r>
      <w:r w:rsidRPr="00503895" w:rsidR="00EC0BB9">
        <w:rPr>
          <w:rFonts w:ascii="Times New Roman" w:hAnsi="Times New Roman"/>
          <w:sz w:val="24"/>
        </w:rPr>
        <w:t> </w:t>
      </w:r>
      <w:r w:rsidRPr="00503895" w:rsidR="003B16E4">
        <w:rPr>
          <w:rFonts w:ascii="Times New Roman" w:hAnsi="Times New Roman"/>
          <w:sz w:val="24"/>
        </w:rPr>
        <w:t>v</w:t>
      </w:r>
      <w:r w:rsidRPr="00503895" w:rsidR="003B16E4">
        <w:rPr>
          <w:rFonts w:ascii="Times New Roman" w:hAnsi="Times New Roman"/>
          <w:noProof/>
          <w:sz w:val="24"/>
        </w:rPr>
        <w:t>ládnym</w:t>
      </w:r>
      <w:r w:rsidRPr="00503895" w:rsidR="00EC0BB9">
        <w:rPr>
          <w:rFonts w:ascii="Times New Roman" w:hAnsi="Times New Roman"/>
          <w:noProof/>
          <w:sz w:val="24"/>
        </w:rPr>
        <w:t xml:space="preserve"> </w:t>
      </w:r>
      <w:r w:rsidRPr="00503895" w:rsidR="003B16E4">
        <w:rPr>
          <w:rFonts w:ascii="Times New Roman" w:hAnsi="Times New Roman"/>
          <w:noProof/>
          <w:sz w:val="24"/>
        </w:rPr>
        <w:t>návrhom zákona</w:t>
      </w:r>
      <w:r w:rsidRPr="00503895" w:rsidR="00E419EE">
        <w:rPr>
          <w:rFonts w:ascii="Times New Roman" w:hAnsi="Times New Roman"/>
          <w:noProof/>
          <w:sz w:val="24"/>
        </w:rPr>
        <w:t xml:space="preserve">, </w:t>
      </w:r>
      <w:r w:rsidRPr="00BA28D1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563/2009 Z. z. o správe daní (daňový poriadok) a o zmene a doplnení niektorých zákonov v znení neskorších predpisov a  ktorým sa menia a  dopĺňajú niektoré zákony </w:t>
      </w:r>
      <w:r w:rsidRPr="00BA28D1">
        <w:rPr>
          <w:rFonts w:ascii="Times New Roman" w:hAnsi="Times New Roman" w:cs="Arial"/>
          <w:sz w:val="24"/>
          <w:lang w:val="sk-SK"/>
        </w:rPr>
        <w:t>(tlač 650)</w:t>
      </w:r>
      <w:r>
        <w:rPr>
          <w:rFonts w:ascii="Times New Roman" w:hAnsi="Times New Roman" w:cs="Arial"/>
          <w:sz w:val="24"/>
          <w:lang w:val="sk-SK"/>
        </w:rPr>
        <w:t>;</w:t>
      </w:r>
    </w:p>
    <w:p w:rsidR="00B92C5C" w:rsidRPr="00503895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0730B" w:rsidP="0000730B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835DCD">
        <w:rPr>
          <w:rFonts w:ascii="Times New Roman" w:hAnsi="Times New Roman"/>
          <w:noProof/>
          <w:sz w:val="24"/>
        </w:rPr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BA28D1" w:rsidR="0000730B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563/2009 Z. z. o správe daní (daňový poriadok) a o zmene a doplnení niektorých zákonov v znení neskorších predpisov a  ktorým sa menia a  dopĺňajú niektoré zákony </w:t>
      </w:r>
      <w:r w:rsidRPr="00BA28D1" w:rsidR="0000730B">
        <w:rPr>
          <w:rFonts w:ascii="Times New Roman" w:hAnsi="Times New Roman" w:cs="Arial"/>
          <w:sz w:val="24"/>
          <w:lang w:val="sk-SK"/>
        </w:rPr>
        <w:t>(tlač 650)</w:t>
      </w:r>
      <w:r w:rsidR="0000730B">
        <w:rPr>
          <w:rFonts w:ascii="Times New Roman" w:hAnsi="Times New Roman" w:cs="Arial"/>
          <w:sz w:val="24"/>
        </w:rPr>
        <w:t xml:space="preserve">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="0000730B">
        <w:rPr>
          <w:rFonts w:ascii="Times New Roman" w:hAnsi="Times New Roman"/>
        </w:rPr>
        <w:t xml:space="preserve"> financie a rozpočet. </w:t>
      </w:r>
      <w:r w:rsidRPr="00E419EE" w:rsidR="000A4F64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730B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730B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815D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730B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0730B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EF6CBA">
        <w:rPr>
          <w:rFonts w:ascii="Times New Roman" w:hAnsi="Times New Roman"/>
          <w:b/>
        </w:rPr>
        <w:t xml:space="preserve"> 278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475185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00730B" w:rsidP="00261C0D">
      <w:pPr>
        <w:bidi w:val="0"/>
        <w:jc w:val="both"/>
        <w:rPr>
          <w:rFonts w:ascii="Times New Roman" w:hAnsi="Times New Roman"/>
          <w:b/>
        </w:rPr>
      </w:pPr>
    </w:p>
    <w:p w:rsidR="0000730B" w:rsidRPr="0000730B" w:rsidP="0000730B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00730B" w:rsidR="00EC0BB9">
        <w:rPr>
          <w:rFonts w:ascii="Times New Roman" w:hAnsi="Times New Roman"/>
          <w:b/>
          <w:sz w:val="24"/>
        </w:rPr>
        <w:t>k v</w:t>
      </w:r>
      <w:r w:rsidRPr="0000730B" w:rsidR="00EC0BB9">
        <w:rPr>
          <w:rFonts w:ascii="Times New Roman" w:hAnsi="Times New Roman"/>
          <w:b/>
          <w:noProof/>
          <w:sz w:val="24"/>
        </w:rPr>
        <w:t>ládnemu návrhu zákona</w:t>
      </w:r>
      <w:r w:rsidRPr="0000730B" w:rsidR="00E419EE">
        <w:rPr>
          <w:rFonts w:ascii="Times New Roman" w:hAnsi="Times New Roman"/>
          <w:b/>
          <w:noProof/>
          <w:sz w:val="24"/>
        </w:rPr>
        <w:t>,</w:t>
      </w:r>
      <w:r w:rsidRPr="0000730B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00730B">
        <w:rPr>
          <w:rFonts w:ascii="Times New Roman" w:hAnsi="Times New Roman" w:cs="Arial"/>
          <w:b/>
          <w:noProof/>
          <w:sz w:val="24"/>
          <w:lang w:val="sk-SK"/>
        </w:rPr>
        <w:t xml:space="preserve">ktorým sa mení a dopĺňa zákon č. 563/2009 Z. z. o správe daní (daňový poriadok) a o zmene a doplnení niektorých zákonov v znení neskorších predpisov a  ktorým sa menia a  dopĺňajú niektoré zákony </w:t>
      </w:r>
      <w:r w:rsidRPr="0000730B">
        <w:rPr>
          <w:rFonts w:ascii="Times New Roman" w:hAnsi="Times New Roman" w:cs="Arial"/>
          <w:b/>
          <w:sz w:val="24"/>
          <w:lang w:val="sk-SK"/>
        </w:rPr>
        <w:t>(tlač 650)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B333A6" w:rsidR="000B4B0D">
        <w:rPr>
          <w:rFonts w:ascii="Times New Roman" w:hAnsi="Times New Roman"/>
          <w:b/>
        </w:rPr>
        <w:t>_______________________</w:t>
      </w:r>
      <w:r w:rsidRPr="001C729D" w:rsidR="000B4B0D">
        <w:rPr>
          <w:rFonts w:ascii="Times New Roman" w:hAnsi="Times New Roman"/>
          <w:b/>
        </w:rPr>
        <w:t>____________________</w:t>
      </w:r>
      <w:r w:rsidRPr="001C729D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B42A44" w:rsidP="0034502A">
      <w:pPr>
        <w:bidi w:val="0"/>
        <w:rPr>
          <w:rFonts w:ascii="Times New Roman" w:hAnsi="Times New Roman"/>
        </w:rPr>
      </w:pPr>
    </w:p>
    <w:p w:rsidR="005E5110" w:rsidP="0034502A">
      <w:pPr>
        <w:bidi w:val="0"/>
        <w:rPr>
          <w:rFonts w:ascii="Times New Roman" w:hAnsi="Times New Roman"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(2. bod návrhu)</w:t>
      </w:r>
    </w:p>
    <w:p w:rsidR="00B42A44" w:rsidRPr="00B42A44" w:rsidP="00B42A4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2. bode sa slovo „alebo“ za slovami „Na právny úkon“ nahrádza čiarkou a slová „neodráža ekonomickú realitu a“ sa nahrádzajú slovami „odráža ekonomickú realitu, a“. </w:t>
      </w:r>
    </w:p>
    <w:p w:rsidR="00B42A44" w:rsidRPr="00B42A44" w:rsidP="00B42A44">
      <w:pPr>
        <w:bidi w:val="0"/>
        <w:ind w:left="4253"/>
        <w:jc w:val="both"/>
        <w:rPr>
          <w:rStyle w:val="Emphasis"/>
          <w:rFonts w:eastAsia="Calibri"/>
          <w:i w:val="0"/>
        </w:rPr>
      </w:pPr>
      <w:r w:rsidRPr="00B42A44">
        <w:rPr>
          <w:rFonts w:ascii="Times New Roman" w:hAnsi="Times New Roman"/>
        </w:rPr>
        <w:t xml:space="preserve">Ide o </w:t>
      </w:r>
      <w:r w:rsidRPr="00B42A44">
        <w:rPr>
          <w:rStyle w:val="Emphasis"/>
          <w:rFonts w:eastAsia="Calibri" w:hint="default"/>
          <w:i w:val="0"/>
        </w:rPr>
        <w:t>legislatí</w:t>
      </w:r>
      <w:r w:rsidRPr="00B42A44">
        <w:rPr>
          <w:rStyle w:val="Emphasis"/>
          <w:rFonts w:eastAsia="Calibri" w:hint="default"/>
          <w:i w:val="0"/>
        </w:rPr>
        <w:t>vno-technickú</w:t>
      </w:r>
      <w:r w:rsidRPr="00B42A44">
        <w:rPr>
          <w:rStyle w:val="Emphasis"/>
          <w:rFonts w:eastAsia="Calibri" w:hint="default"/>
          <w:i w:val="0"/>
        </w:rPr>
        <w:t xml:space="preserve"> ú</w:t>
      </w:r>
      <w:r w:rsidRPr="00B42A44">
        <w:rPr>
          <w:rStyle w:val="Emphasis"/>
          <w:rFonts w:eastAsia="Calibri" w:hint="default"/>
          <w:i w:val="0"/>
        </w:rPr>
        <w:t>pravu v </w:t>
      </w:r>
      <w:r w:rsidRPr="00B42A44">
        <w:rPr>
          <w:rStyle w:val="Emphasis"/>
          <w:rFonts w:eastAsia="Calibri" w:hint="default"/>
          <w:i w:val="0"/>
        </w:rPr>
        <w:t>sú</w:t>
      </w:r>
      <w:r w:rsidRPr="00B42A44">
        <w:rPr>
          <w:rStyle w:val="Emphasis"/>
          <w:rFonts w:eastAsia="Calibri" w:hint="default"/>
          <w:i w:val="0"/>
        </w:rPr>
        <w:t>lade s </w:t>
      </w:r>
      <w:r w:rsidRPr="00B42A44">
        <w:rPr>
          <w:rStyle w:val="Emphasis"/>
          <w:rFonts w:eastAsia="Calibri" w:hint="default"/>
          <w:i w:val="0"/>
        </w:rPr>
        <w:t>č</w:t>
      </w:r>
      <w:r w:rsidRPr="00B42A44">
        <w:rPr>
          <w:rStyle w:val="Emphasis"/>
          <w:rFonts w:eastAsia="Calibri" w:hint="default"/>
          <w:i w:val="0"/>
        </w:rPr>
        <w:t>l. 6 ods. 2 smernice (EÚ</w:t>
      </w:r>
      <w:r w:rsidRPr="00B42A44">
        <w:rPr>
          <w:rStyle w:val="Emphasis"/>
          <w:rFonts w:eastAsia="Calibri" w:hint="default"/>
          <w:i w:val="0"/>
        </w:rPr>
        <w:t>) 2016/1164.</w:t>
      </w:r>
    </w:p>
    <w:p w:rsidR="00B42A44" w:rsidP="00B42A44">
      <w:pPr>
        <w:bidi w:val="0"/>
        <w:ind w:left="4253"/>
        <w:jc w:val="both"/>
        <w:rPr>
          <w:rStyle w:val="Emphasis"/>
          <w:rFonts w:eastAsia="Calibri"/>
          <w:i w:val="0"/>
        </w:rPr>
      </w:pPr>
    </w:p>
    <w:p w:rsidR="005E5110" w:rsidRPr="00B42A44" w:rsidP="00B42A44">
      <w:pPr>
        <w:bidi w:val="0"/>
        <w:ind w:left="4253"/>
        <w:jc w:val="both"/>
        <w:rPr>
          <w:rStyle w:val="Emphasis"/>
          <w:rFonts w:eastAsia="Calibri"/>
          <w:i w:val="0"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 w:eastAsiaTheme="minorHAnsi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K čl. I (5. bod návrhu)</w:t>
      </w:r>
    </w:p>
    <w:p w:rsidR="00B42A44" w:rsidP="00B42A44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čl. I 5. bode v § 11 ods. 2, 4 a 5 písm. a) sa za slová  „medzinárodnej zmluvy“ vkladá čiarka a slová „ktorou je Slovenská republika viazaná“.</w:t>
      </w:r>
    </w:p>
    <w:p w:rsidR="00B42A44" w:rsidP="00B42A44">
      <w:pPr>
        <w:bidi w:val="0"/>
        <w:ind w:left="4253"/>
        <w:jc w:val="both"/>
        <w:rPr>
          <w:rFonts w:ascii="Times New Roman" w:hAnsi="Times New Roman"/>
        </w:rPr>
      </w:pPr>
    </w:p>
    <w:p w:rsidR="00B42A44" w:rsidP="00B42A44">
      <w:pPr>
        <w:bidi w:val="0"/>
        <w:ind w:left="4253"/>
        <w:jc w:val="both"/>
        <w:rPr>
          <w:rStyle w:val="Emphasis"/>
          <w:rFonts w:eastAsia="Calibri"/>
        </w:rPr>
      </w:pPr>
      <w:r w:rsidRPr="00B42A44">
        <w:rPr>
          <w:rFonts w:ascii="Times New Roman" w:hAnsi="Times New Roman"/>
        </w:rPr>
        <w:t xml:space="preserve">Ide </w:t>
      </w:r>
      <w:r w:rsidRPr="00B42A44">
        <w:rPr>
          <w:rFonts w:ascii="Times New Roman" w:hAnsi="Times New Roman"/>
          <w:i/>
        </w:rPr>
        <w:t xml:space="preserve">o </w:t>
      </w:r>
      <w:r w:rsidRPr="00B42A44">
        <w:rPr>
          <w:rStyle w:val="Emphasis"/>
          <w:rFonts w:eastAsia="Calibri"/>
          <w:i w:val="0"/>
        </w:rPr>
        <w:t>l</w:t>
      </w:r>
      <w:r w:rsidRPr="00B42A44">
        <w:rPr>
          <w:rStyle w:val="Emphasis"/>
          <w:rFonts w:eastAsia="Calibri" w:hint="default"/>
          <w:i w:val="0"/>
        </w:rPr>
        <w:t>egislatí</w:t>
      </w:r>
      <w:r w:rsidRPr="00B42A44">
        <w:rPr>
          <w:rStyle w:val="Emphasis"/>
          <w:rFonts w:eastAsia="Calibri" w:hint="default"/>
          <w:i w:val="0"/>
        </w:rPr>
        <w:t>vno-technické</w:t>
      </w:r>
      <w:r w:rsidRPr="00B42A44">
        <w:rPr>
          <w:rStyle w:val="Emphasis"/>
          <w:rFonts w:eastAsia="Calibri" w:hint="default"/>
          <w:i w:val="0"/>
        </w:rPr>
        <w:t xml:space="preserve"> ú</w:t>
      </w:r>
      <w:r w:rsidRPr="00B42A44">
        <w:rPr>
          <w:rStyle w:val="Emphasis"/>
          <w:rFonts w:eastAsia="Calibri" w:hint="default"/>
          <w:i w:val="0"/>
        </w:rPr>
        <w:t xml:space="preserve">pravy </w:t>
      </w:r>
      <w:r w:rsidRPr="00B42A44">
        <w:rPr>
          <w:rFonts w:ascii="Times New Roman" w:hAnsi="Times New Roman"/>
          <w:i/>
        </w:rPr>
        <w:t xml:space="preserve">podľa </w:t>
      </w:r>
      <w:r w:rsidRPr="00B42A44">
        <w:rPr>
          <w:rFonts w:ascii="Times New Roman" w:hAnsi="Times New Roman"/>
        </w:rPr>
        <w:t>zaužívanej legislatívnej praxe v súlade</w:t>
      </w:r>
      <w:r>
        <w:rPr>
          <w:rFonts w:ascii="Times New Roman" w:hAnsi="Times New Roman"/>
        </w:rPr>
        <w:t xml:space="preserve"> s Viedenským dohovorom o zmluvnom práve.</w:t>
      </w:r>
      <w:r>
        <w:rPr>
          <w:rStyle w:val="Emphasis"/>
          <w:rFonts w:eastAsia="Calibri"/>
        </w:rPr>
        <w:t xml:space="preserve"> </w:t>
      </w:r>
    </w:p>
    <w:p w:rsidR="005E5110" w:rsidP="00B42A44">
      <w:pPr>
        <w:bidi w:val="0"/>
        <w:ind w:left="4253"/>
        <w:jc w:val="both"/>
        <w:rPr>
          <w:rFonts w:ascii="Times New Roman" w:hAnsi="Times New Roman"/>
          <w:i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(11. bod návrhu)</w:t>
      </w:r>
    </w:p>
    <w:p w:rsidR="00B42A44" w:rsidP="00B42A44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11. bod znie:</w:t>
      </w:r>
    </w:p>
    <w:p w:rsidR="00B42A44" w:rsidP="00B42A4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„11. V § 23 ods. 1 posledná veta znie: „Daňový subjekt alebo jeho zástupca nie je oprávnený nazerať do písomností obsahujúcich utajované skutočnosti</w:t>
      </w:r>
      <w:r>
        <w:rPr>
          <w:rFonts w:ascii="Times New Roman" w:hAnsi="Times New Roman"/>
          <w:vertAlign w:val="superscript"/>
        </w:rPr>
        <w:t>22)</w:t>
      </w:r>
      <w:r>
        <w:rPr>
          <w:rFonts w:ascii="Times New Roman" w:hAnsi="Times New Roman"/>
        </w:rPr>
        <w:t>, do dokumentov, sprístupnením ktorých by boli dotknuté právom chránené záujmy iných osôb, do písomností, ktorých sprístupnením by mohlo dôjsť k zmareniu alebo podstatnému sťaženiu správy daní alebo k zmareniu alebo podstatnému sťaženiu objasnenia alebo vyšetrenia veci podľa osobitných predpisov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), a do súhrnného protokolu podľa § 19a; to neplatí, ak sa použijú ako dôkaz pri správe daní.“.</w:t>
      </w:r>
    </w:p>
    <w:p w:rsidR="00B42A44" w:rsidP="00B42A4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22a znie:</w:t>
      </w:r>
    </w:p>
    <w:p w:rsidR="00B42A44" w:rsidP="00B42A4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 Napríklad Trestný poriadok v znení neskorších predpisov.“.</w:t>
      </w:r>
    </w:p>
    <w:p w:rsidR="00B42A44" w:rsidP="00B42A44">
      <w:pPr>
        <w:bidi w:val="0"/>
        <w:ind w:left="4253"/>
        <w:jc w:val="both"/>
        <w:rPr>
          <w:rFonts w:ascii="Times New Roman" w:hAnsi="Times New Roman"/>
        </w:rPr>
      </w:pPr>
    </w:p>
    <w:p w:rsidR="00B42A44" w:rsidP="00B42A44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navrhovaný text, s ohľadom na zosúladenie výpočtu ustanoveného v zákone č. 563/2009 Z. z. a dopĺňaného návrhom zákona.</w:t>
      </w:r>
    </w:p>
    <w:p w:rsidR="005E5110" w:rsidP="00B42A44">
      <w:pPr>
        <w:bidi w:val="0"/>
        <w:ind w:left="4253"/>
        <w:jc w:val="both"/>
        <w:rPr>
          <w:rFonts w:ascii="Times New Roman" w:hAnsi="Times New Roman"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 (22. bod návrhu) </w:t>
      </w:r>
    </w:p>
    <w:p w:rsidR="00B42A44" w:rsidP="00B42A44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I 22. bod § 68 ods. 1 sa slová „toto konanie“ nahrádzajú slovami „vyrubovacie konanie“.</w:t>
      </w: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ustanovenie, s ohľadom na terminológiu používanú v súvisiacich ustanoveniach.</w:t>
      </w:r>
    </w:p>
    <w:p w:rsidR="005E5110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 w:eastAsiaTheme="minorHAnsi"/>
          <w:u w:val="single"/>
          <w:lang w:eastAsia="en-US"/>
        </w:rPr>
      </w:pPr>
      <w:r>
        <w:rPr>
          <w:rFonts w:ascii="Times New Roman" w:hAnsi="Times New Roman"/>
          <w:u w:val="single"/>
        </w:rPr>
        <w:t>K čl. II</w:t>
      </w:r>
    </w:p>
    <w:p w:rsidR="00B42A44" w:rsidP="00B42A4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doterajší text § 26 ods. 2 písm. j) označuje ako bod 1 a dopĺňa sa bodom 2, ktorý znie:</w:t>
      </w:r>
    </w:p>
    <w:p w:rsidR="00B42A44" w:rsidP="00B42A4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Príloha sa dopĺňa štvrtým bodom, ktorý znie:</w:t>
      </w:r>
    </w:p>
    <w:p w:rsidR="00B42A44" w:rsidP="00B42A44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Smernica Rady (EÚ) 2016/2258 zo 6. decembra 2016, ktorou sa mení smernica 2011/16/EÚ, pokiaľ ide o prístup daňových orgánov k informáciám získaným v rámci boja proti praniu špinavých peňazí (Ú. v. EÚ L 342, 16. 12. 2016).“.“.</w:t>
      </w:r>
    </w:p>
    <w:p w:rsidR="00B42A44" w:rsidP="00B42A44">
      <w:pPr>
        <w:bidi w:val="0"/>
        <w:ind w:left="4253"/>
        <w:jc w:val="both"/>
        <w:rPr>
          <w:rFonts w:ascii="Times New Roman" w:hAnsi="Times New Roman"/>
        </w:rPr>
      </w:pPr>
    </w:p>
    <w:p w:rsidR="00B42A44" w:rsidP="00B42A44">
      <w:pPr>
        <w:bidi w:val="0"/>
        <w:ind w:left="4253"/>
        <w:jc w:val="both"/>
        <w:rPr>
          <w:rStyle w:val="Emphasis"/>
          <w:rFonts w:eastAsia="Calibri"/>
          <w:i w:val="0"/>
        </w:rPr>
      </w:pPr>
      <w:r w:rsidRPr="00B42A44">
        <w:rPr>
          <w:rFonts w:ascii="Times New Roman" w:hAnsi="Times New Roman"/>
        </w:rPr>
        <w:t>Ide o</w:t>
      </w:r>
      <w:r w:rsidRPr="00B42A44">
        <w:rPr>
          <w:rFonts w:ascii="Times New Roman" w:hAnsi="Times New Roman"/>
          <w:i/>
        </w:rPr>
        <w:t xml:space="preserve"> </w:t>
      </w:r>
      <w:r w:rsidRPr="00B42A44">
        <w:rPr>
          <w:rStyle w:val="Emphasis"/>
          <w:rFonts w:eastAsia="Calibri" w:hint="default"/>
          <w:i w:val="0"/>
        </w:rPr>
        <w:t>legislatí</w:t>
      </w:r>
      <w:r w:rsidRPr="00B42A44">
        <w:rPr>
          <w:rStyle w:val="Emphasis"/>
          <w:rFonts w:eastAsia="Calibri" w:hint="default"/>
          <w:i w:val="0"/>
        </w:rPr>
        <w:t>vno-technickú</w:t>
      </w:r>
      <w:r w:rsidRPr="00B42A44">
        <w:rPr>
          <w:rStyle w:val="Emphasis"/>
          <w:rFonts w:eastAsia="Calibri" w:hint="default"/>
          <w:i w:val="0"/>
        </w:rPr>
        <w:t xml:space="preserve"> ú</w:t>
      </w:r>
      <w:r w:rsidRPr="00B42A44">
        <w:rPr>
          <w:rStyle w:val="Emphasis"/>
          <w:rFonts w:eastAsia="Calibri" w:hint="default"/>
          <w:i w:val="0"/>
        </w:rPr>
        <w:t>pravu, ktorou sa dopĺň</w:t>
      </w:r>
      <w:r w:rsidRPr="00B42A44">
        <w:rPr>
          <w:rStyle w:val="Emphasis"/>
          <w:rFonts w:eastAsia="Calibri" w:hint="default"/>
          <w:i w:val="0"/>
        </w:rPr>
        <w:t>a smernica (EÚ</w:t>
      </w:r>
      <w:r w:rsidRPr="00B42A44">
        <w:rPr>
          <w:rStyle w:val="Emphasis"/>
          <w:rFonts w:eastAsia="Calibri" w:hint="default"/>
          <w:i w:val="0"/>
        </w:rPr>
        <w:t>) 2016/2258 do tzv. transpozič</w:t>
      </w:r>
      <w:r w:rsidRPr="00B42A44">
        <w:rPr>
          <w:rStyle w:val="Emphasis"/>
          <w:rFonts w:eastAsia="Calibri" w:hint="default"/>
          <w:i w:val="0"/>
        </w:rPr>
        <w:t>nej prí</w:t>
      </w:r>
      <w:r w:rsidRPr="00B42A44">
        <w:rPr>
          <w:rStyle w:val="Emphasis"/>
          <w:rFonts w:eastAsia="Calibri" w:hint="default"/>
          <w:i w:val="0"/>
        </w:rPr>
        <w:t>lohy.</w:t>
      </w:r>
    </w:p>
    <w:p w:rsidR="005E5110" w:rsidP="00B42A44">
      <w:pPr>
        <w:bidi w:val="0"/>
        <w:ind w:left="4253"/>
        <w:jc w:val="both"/>
        <w:rPr>
          <w:rStyle w:val="Emphasis"/>
          <w:rFonts w:eastAsia="Calibri"/>
          <w:i w:val="0"/>
        </w:rPr>
      </w:pPr>
    </w:p>
    <w:p w:rsidR="005E5110" w:rsidRPr="00B42A44" w:rsidP="00B42A44">
      <w:pPr>
        <w:bidi w:val="0"/>
        <w:ind w:left="4253"/>
        <w:jc w:val="both"/>
        <w:rPr>
          <w:rFonts w:ascii="Times New Roman" w:hAnsi="Times New Roman"/>
          <w:i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III (1. bod návrhu) </w:t>
      </w:r>
    </w:p>
    <w:p w:rsidR="00B42A44" w:rsidP="005E5110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III 1. bod sa slovo „Písmená“ nahrádza slovami „Doterajšie písmená“.</w:t>
      </w: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navrhovaný text, do formy stanovenej legislatívnymi pravidlami tvorby zákonov.</w:t>
      </w: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B42A44" w:rsidP="00B42A44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 čl. V </w:t>
      </w:r>
    </w:p>
    <w:p w:rsidR="00B42A44" w:rsidP="00B42A44">
      <w:pPr>
        <w:bidi w:val="0"/>
        <w:spacing w:before="100" w:beforeAutospacing="1" w:line="36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 čl. V sa  slová „bodov 13 a 15 § 52 ods. 13 a 14“ nahrádzajú  slovami  „bodu  13  a § 52 ods. 13 a 14 v bode 15“.</w:t>
      </w:r>
    </w:p>
    <w:p w:rsidR="00B42A44" w:rsidP="00B42A44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úpravu, ktorou sa spresňuje znenie prechodného ustanovenia. </w:t>
      </w:r>
    </w:p>
    <w:p w:rsidR="00B42A44" w:rsidP="00B42A44">
      <w:pPr>
        <w:autoSpaceDE w:val="0"/>
        <w:autoSpaceDN w:val="0"/>
        <w:bidi w:val="0"/>
        <w:spacing w:line="276" w:lineRule="auto"/>
        <w:jc w:val="both"/>
        <w:rPr>
          <w:rFonts w:ascii="Times New Roman" w:eastAsia="Calibri" w:hAnsi="Times New Roman"/>
        </w:rPr>
      </w:pPr>
    </w:p>
    <w:p w:rsidR="00B42A44" w:rsidP="00B42A44">
      <w:pPr>
        <w:autoSpaceDE w:val="0"/>
        <w:autoSpaceDN w:val="0"/>
        <w:bidi w:val="0"/>
        <w:spacing w:line="276" w:lineRule="auto"/>
        <w:jc w:val="both"/>
        <w:rPr>
          <w:rFonts w:ascii="Times New Roman" w:eastAsia="Calibri" w:hAnsi="Times New Roman"/>
        </w:rPr>
      </w:pPr>
    </w:p>
    <w:p w:rsidR="00B42A44" w:rsidP="00B42A44">
      <w:pPr>
        <w:autoSpaceDE w:val="0"/>
        <w:autoSpaceDN w:val="0"/>
        <w:bidi w:val="0"/>
        <w:spacing w:line="276" w:lineRule="auto"/>
        <w:jc w:val="both"/>
        <w:rPr>
          <w:rFonts w:ascii="Times New Roman" w:eastAsia="Calibri" w:hAnsi="Times New Roman"/>
        </w:rPr>
      </w:pPr>
    </w:p>
    <w:p w:rsidR="00B42A44" w:rsidP="00B42A44">
      <w:pPr>
        <w:autoSpaceDE w:val="0"/>
        <w:autoSpaceDN w:val="0"/>
        <w:bidi w:val="0"/>
        <w:spacing w:line="276" w:lineRule="auto"/>
        <w:jc w:val="both"/>
        <w:rPr>
          <w:rFonts w:ascii="Times New Roman" w:eastAsia="Calibri" w:hAnsi="Times New Roman"/>
        </w:rPr>
      </w:pPr>
    </w:p>
    <w:p w:rsidR="00B42A44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655C4"/>
    <w:multiLevelType w:val="hybridMultilevel"/>
    <w:tmpl w:val="E1F2C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0730B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185"/>
    <w:rsid w:val="00475F91"/>
    <w:rsid w:val="004867B1"/>
    <w:rsid w:val="00494410"/>
    <w:rsid w:val="004A0985"/>
    <w:rsid w:val="004A4006"/>
    <w:rsid w:val="004B52C8"/>
    <w:rsid w:val="004C2167"/>
    <w:rsid w:val="004D304C"/>
    <w:rsid w:val="004D7DDA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2A33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E5110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72"/>
    <w:rsid w:val="00881487"/>
    <w:rsid w:val="00887C40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7657C"/>
    <w:rsid w:val="00976F0C"/>
    <w:rsid w:val="00984B6C"/>
    <w:rsid w:val="00984E01"/>
    <w:rsid w:val="009936D3"/>
    <w:rsid w:val="009947FE"/>
    <w:rsid w:val="00994936"/>
    <w:rsid w:val="00995FEA"/>
    <w:rsid w:val="009C0B91"/>
    <w:rsid w:val="009C3A1D"/>
    <w:rsid w:val="009D439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42A44"/>
    <w:rsid w:val="00B61D9F"/>
    <w:rsid w:val="00B76C54"/>
    <w:rsid w:val="00B80D02"/>
    <w:rsid w:val="00B863B1"/>
    <w:rsid w:val="00B92C5C"/>
    <w:rsid w:val="00B933E0"/>
    <w:rsid w:val="00B93401"/>
    <w:rsid w:val="00BA28D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62EB"/>
    <w:rsid w:val="00C72040"/>
    <w:rsid w:val="00C748DB"/>
    <w:rsid w:val="00C80D37"/>
    <w:rsid w:val="00C815DE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EF6CBA"/>
    <w:rsid w:val="00F06FF5"/>
    <w:rsid w:val="00F106AE"/>
    <w:rsid w:val="00F143DE"/>
    <w:rsid w:val="00F21EE5"/>
    <w:rsid w:val="00F35942"/>
    <w:rsid w:val="00F412F7"/>
    <w:rsid w:val="00F42119"/>
    <w:rsid w:val="00F4221C"/>
    <w:rsid w:val="00F465FB"/>
    <w:rsid w:val="00F539C1"/>
    <w:rsid w:val="00F54451"/>
    <w:rsid w:val="00F61205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07CD-3D32-4FE5-BBFD-FD8EAD20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348</TotalTime>
  <Pages>4</Pages>
  <Words>687</Words>
  <Characters>3916</Characters>
  <Application>Microsoft Office Word</Application>
  <DocSecurity>0</DocSecurity>
  <Lines>0</Lines>
  <Paragraphs>0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281</cp:revision>
  <cp:lastPrinted>2017-09-29T14:47:00Z</cp:lastPrinted>
  <dcterms:created xsi:type="dcterms:W3CDTF">2013-05-23T10:57:00Z</dcterms:created>
  <dcterms:modified xsi:type="dcterms:W3CDTF">2017-09-29T14:47:00Z</dcterms:modified>
</cp:coreProperties>
</file>