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5169" w:rsidRPr="0017622F" w:rsidP="00135169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 w:rsidR="0092447A">
        <w:rPr>
          <w:rFonts w:eastAsia="Times New Roman" w:cs="Times New Roman"/>
          <w:lang w:eastAsia="en-US" w:bidi="ar-SA"/>
        </w:rPr>
        <w:tab/>
        <w:t>poslan</w:t>
      </w:r>
      <w:r w:rsidR="001128E2">
        <w:rPr>
          <w:rFonts w:eastAsia="Times New Roman" w:cs="Times New Roman"/>
          <w:lang w:eastAsia="en-US" w:bidi="ar-SA"/>
        </w:rPr>
        <w:t>c</w:t>
      </w:r>
      <w:r w:rsidR="0092447A">
        <w:rPr>
          <w:rFonts w:eastAsia="Times New Roman" w:cs="Times New Roman"/>
          <w:lang w:eastAsia="en-US" w:bidi="ar-SA"/>
        </w:rPr>
        <w:t>i</w:t>
      </w:r>
      <w:r>
        <w:rPr>
          <w:rFonts w:eastAsia="Times New Roman" w:cs="Times New Roman"/>
          <w:lang w:eastAsia="en-US" w:bidi="ar-SA"/>
        </w:rPr>
        <w:t xml:space="preserve">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 w:rsidRPr="0092571B" w:rsidR="0092571B">
        <w:rPr>
          <w:rFonts w:eastAsia="Times New Roman" w:cs="Times New Roman"/>
          <w:lang w:eastAsia="en-US" w:bidi="ar-SA"/>
        </w:rPr>
        <w:t xml:space="preserve"> Miroslav Beblavý, Viera Dubačová, Katarína Macháčková, Jozef Mihál, Simona Petrík, Zuzana Zimenová a Oto Žarnay</w:t>
      </w:r>
    </w:p>
    <w:p w:rsidR="00135169" w:rsidRPr="0017622F" w:rsidP="00135169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FA3BBB" w:rsidP="001128E2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="001128E2">
        <w:rPr>
          <w:rFonts w:eastAsia="Times New Roman" w:cs="Times New Roman"/>
          <w:b/>
          <w:lang w:eastAsia="en-US" w:bidi="ar-SA"/>
        </w:rPr>
        <w:t xml:space="preserve">2. </w:t>
      </w:r>
      <w:r w:rsidRPr="0017622F" w:rsidR="00135169">
        <w:rPr>
          <w:rFonts w:eastAsia="Times New Roman" w:cs="Times New Roman"/>
          <w:b/>
          <w:lang w:eastAsia="en-US" w:bidi="ar-SA"/>
        </w:rPr>
        <w:t>Názov návrhu právneho predpisu:</w:t>
      </w:r>
      <w:r w:rsidR="00135169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 xml:space="preserve">Návrh zákona, </w:t>
      </w:r>
      <w:r w:rsidRPr="0092571B" w:rsidR="0092571B">
        <w:rPr>
          <w:rFonts w:eastAsia="Times New Roman" w:cs="Times New Roman"/>
          <w:lang w:eastAsia="en-US" w:bidi="ar-SA"/>
        </w:rPr>
        <w:t>ktorým sa mení a dopĺňa zákon č. 553/2003 Z. z. o odmeňovaní niektorých zamestnancov pri výkone práce vo verejnom záujme a o zmene a doplnení niektorých zákonov v znení neskorších predpisov a ktorým sa menia a dopĺňajú niektoré zákony.</w:t>
      </w:r>
    </w:p>
    <w:p w:rsidR="00267246" w:rsidRPr="00D13027" w:rsidP="001128E2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</w:p>
    <w:p w:rsidR="00D13027" w:rsidRPr="00D13027" w:rsidP="00D13027">
      <w:pPr>
        <w:bidi w:val="0"/>
        <w:jc w:val="both"/>
        <w:rPr>
          <w:rFonts w:cs="Times New Roman" w:hint="default"/>
          <w:b/>
        </w:rPr>
      </w:pPr>
      <w:r w:rsidRPr="00D13027">
        <w:rPr>
          <w:rFonts w:cs="Times New Roman" w:hint="default"/>
          <w:b/>
        </w:rPr>
        <w:t>3. Problematika ná</w:t>
      </w:r>
      <w:r w:rsidRPr="00D13027">
        <w:rPr>
          <w:rFonts w:cs="Times New Roman" w:hint="default"/>
          <w:b/>
        </w:rPr>
        <w:t>vrhu prá</w:t>
      </w:r>
      <w:r w:rsidRPr="00D13027">
        <w:rPr>
          <w:rFonts w:cs="Times New Roman" w:hint="default"/>
          <w:b/>
        </w:rPr>
        <w:t>vneho predpisu: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/>
        </w:rPr>
        <w:t>a)</w:t>
        <w:tab/>
      </w:r>
      <w:r w:rsidRPr="00D13027">
        <w:rPr>
          <w:rFonts w:cs="Times New Roman" w:hint="default"/>
        </w:rPr>
        <w:t>je upravená</w:t>
      </w:r>
      <w:r w:rsidRPr="00D13027">
        <w:rPr>
          <w:rFonts w:cs="Times New Roman" w:hint="default"/>
        </w:rPr>
        <w:t xml:space="preserve"> v prá</w:t>
      </w:r>
      <w:r w:rsidRPr="00D13027">
        <w:rPr>
          <w:rFonts w:cs="Times New Roman" w:hint="default"/>
        </w:rPr>
        <w:t>ve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nie: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1. primá</w:t>
      </w:r>
      <w:r w:rsidRPr="00D13027">
        <w:rPr>
          <w:rFonts w:cs="Times New Roman" w:hint="default"/>
        </w:rPr>
        <w:t xml:space="preserve">rnom: 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pStyle w:val="ListParagraph"/>
        <w:numPr>
          <w:numId w:val="9"/>
        </w:num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č</w:t>
      </w:r>
      <w:r w:rsidRPr="00D13027">
        <w:rPr>
          <w:rFonts w:cs="Times New Roman" w:hint="default"/>
        </w:rPr>
        <w:t>l. 157 Zml</w:t>
      </w:r>
      <w:r>
        <w:rPr>
          <w:rFonts w:cs="Times New Roman" w:hint="default"/>
        </w:rPr>
        <w:t>uvy o fungovaní</w:t>
      </w:r>
      <w:r>
        <w:rPr>
          <w:rFonts w:cs="Times New Roman" w:hint="default"/>
        </w:rPr>
        <w:t xml:space="preserve">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 (povinnosť</w:t>
      </w:r>
      <w:r>
        <w:rPr>
          <w:rFonts w:cs="Times New Roman" w:hint="default"/>
        </w:rPr>
        <w:t xml:space="preserve"> č</w:t>
      </w:r>
      <w:r>
        <w:rPr>
          <w:rFonts w:cs="Times New Roman" w:hint="default"/>
        </w:rPr>
        <w:t>lenské</w:t>
      </w:r>
      <w:r>
        <w:rPr>
          <w:rFonts w:cs="Times New Roman" w:hint="default"/>
        </w:rPr>
        <w:t>ho 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 xml:space="preserve">tu </w:t>
      </w:r>
      <w:r w:rsidRPr="00D13027">
        <w:rPr>
          <w:rFonts w:cs="Times New Roman" w:hint="default"/>
        </w:rPr>
        <w:t>zabezpeč</w:t>
      </w:r>
      <w:r w:rsidRPr="00D13027">
        <w:rPr>
          <w:rFonts w:cs="Times New Roman" w:hint="default"/>
        </w:rPr>
        <w:t>iť</w:t>
      </w:r>
      <w:r w:rsidRPr="00D13027">
        <w:rPr>
          <w:rFonts w:cs="Times New Roman" w:hint="default"/>
        </w:rPr>
        <w:t xml:space="preserve"> uplatň</w:t>
      </w:r>
      <w:r w:rsidRPr="00D13027">
        <w:rPr>
          <w:rFonts w:cs="Times New Roman" w:hint="default"/>
        </w:rPr>
        <w:t>ovanie zá</w:t>
      </w:r>
      <w:r w:rsidRPr="00D13027">
        <w:rPr>
          <w:rFonts w:cs="Times New Roman" w:hint="default"/>
        </w:rPr>
        <w:t>sady rovnakej odmeny pre muž</w:t>
      </w:r>
      <w:r w:rsidRPr="00D13027">
        <w:rPr>
          <w:rFonts w:cs="Times New Roman" w:hint="default"/>
        </w:rPr>
        <w:t>ov a ž</w:t>
      </w:r>
      <w:r w:rsidRPr="00D13027">
        <w:rPr>
          <w:rFonts w:cs="Times New Roman" w:hint="default"/>
        </w:rPr>
        <w:t>eny za rovnakú</w:t>
      </w:r>
      <w:r w:rsidRPr="00D13027">
        <w:rPr>
          <w:rFonts w:cs="Times New Roman" w:hint="default"/>
        </w:rPr>
        <w:t xml:space="preserve"> prá</w:t>
      </w:r>
      <w:r w:rsidRPr="00D13027">
        <w:rPr>
          <w:rFonts w:cs="Times New Roman" w:hint="default"/>
        </w:rPr>
        <w:t>c</w:t>
      </w:r>
      <w:r>
        <w:rPr>
          <w:rFonts w:cs="Times New Roman" w:hint="default"/>
        </w:rPr>
        <w:t>u alebo prá</w:t>
      </w:r>
      <w:r>
        <w:rPr>
          <w:rFonts w:cs="Times New Roman" w:hint="default"/>
        </w:rPr>
        <w:t xml:space="preserve">cu rovnakej hodnoty), </w:t>
      </w:r>
      <w:r w:rsidRPr="00D13027">
        <w:rPr>
          <w:rFonts w:cs="Times New Roman" w:hint="default"/>
        </w:rPr>
        <w:t>č</w:t>
      </w:r>
      <w:r w:rsidRPr="00D13027">
        <w:rPr>
          <w:rFonts w:cs="Times New Roman" w:hint="default"/>
        </w:rPr>
        <w:t>l. 45 ods. 4 a č</w:t>
      </w:r>
      <w:r w:rsidRPr="00D13027">
        <w:rPr>
          <w:rFonts w:cs="Times New Roman" w:hint="default"/>
        </w:rPr>
        <w:t>l. 51 Zmluvy o fungovaní</w:t>
      </w:r>
      <w:r w:rsidRPr="00D13027">
        <w:rPr>
          <w:rFonts w:cs="Times New Roman" w:hint="default"/>
        </w:rPr>
        <w:t xml:space="preserve">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nie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2.1 sekundá</w:t>
      </w:r>
      <w:r w:rsidRPr="00D13027">
        <w:rPr>
          <w:rFonts w:cs="Times New Roman" w:hint="default"/>
        </w:rPr>
        <w:t>rnom (prijatom po</w:t>
      </w:r>
      <w:r w:rsidRPr="00D13027">
        <w:rPr>
          <w:rFonts w:cs="Times New Roman" w:hint="default"/>
        </w:rPr>
        <w:t xml:space="preserve"> nadobudnutí</w:t>
      </w:r>
      <w:r w:rsidRPr="00D13027">
        <w:rPr>
          <w:rFonts w:cs="Times New Roman" w:hint="default"/>
        </w:rPr>
        <w:t xml:space="preserve"> platnosti Lisabonskej zmluvy, ktorou sa mení</w:t>
      </w:r>
      <w:r w:rsidRPr="00D13027">
        <w:rPr>
          <w:rFonts w:cs="Times New Roman" w:hint="default"/>
        </w:rPr>
        <w:t xml:space="preserve"> a dopĺň</w:t>
      </w:r>
      <w:r w:rsidRPr="00D13027">
        <w:rPr>
          <w:rFonts w:cs="Times New Roman" w:hint="default"/>
        </w:rPr>
        <w:t>a Zmluva o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nii a Zmluva o založ</w:t>
      </w:r>
      <w:r w:rsidRPr="00D13027">
        <w:rPr>
          <w:rFonts w:cs="Times New Roman" w:hint="default"/>
        </w:rPr>
        <w:t>ení</w:t>
      </w:r>
      <w:r w:rsidRPr="00D13027">
        <w:rPr>
          <w:rFonts w:cs="Times New Roman" w:hint="default"/>
        </w:rPr>
        <w:t xml:space="preserve"> Euró</w:t>
      </w:r>
      <w:r w:rsidRPr="00D13027">
        <w:rPr>
          <w:rFonts w:cs="Times New Roman" w:hint="default"/>
        </w:rPr>
        <w:t>pskeho spoloč</w:t>
      </w:r>
      <w:r w:rsidRPr="00D13027">
        <w:rPr>
          <w:rFonts w:cs="Times New Roman" w:hint="default"/>
        </w:rPr>
        <w:t>enstva - po 30. novembri 2009)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pStyle w:val="ListParagraph"/>
        <w:numPr>
          <w:numId w:val="9"/>
        </w:num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nie je upravená</w:t>
      </w:r>
      <w:r w:rsidRPr="00D13027">
        <w:rPr>
          <w:rFonts w:cs="Times New Roman" w:hint="default"/>
        </w:rPr>
        <w:t xml:space="preserve">, 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2.2 sekundá</w:t>
      </w:r>
      <w:r w:rsidRPr="00D13027">
        <w:rPr>
          <w:rFonts w:cs="Times New Roman" w:hint="default"/>
        </w:rPr>
        <w:t>rnom (prijatom pred nadobudnutí</w:t>
      </w:r>
      <w:r w:rsidRPr="00D13027">
        <w:rPr>
          <w:rFonts w:cs="Times New Roman" w:hint="default"/>
        </w:rPr>
        <w:t>m platnosti Lisabonskej zmluvy, kto</w:t>
      </w:r>
      <w:r w:rsidRPr="00D13027">
        <w:rPr>
          <w:rFonts w:cs="Times New Roman" w:hint="default"/>
        </w:rPr>
        <w:t>rou sa mení</w:t>
      </w:r>
      <w:r w:rsidRPr="00D13027">
        <w:rPr>
          <w:rFonts w:cs="Times New Roman" w:hint="default"/>
        </w:rPr>
        <w:t xml:space="preserve"> a dopĺň</w:t>
      </w:r>
      <w:r w:rsidRPr="00D13027">
        <w:rPr>
          <w:rFonts w:cs="Times New Roman" w:hint="default"/>
        </w:rPr>
        <w:t>a Zmluva o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nii a Zmluva o založ</w:t>
      </w:r>
      <w:r w:rsidRPr="00D13027">
        <w:rPr>
          <w:rFonts w:cs="Times New Roman" w:hint="default"/>
        </w:rPr>
        <w:t>ení</w:t>
      </w:r>
      <w:r w:rsidRPr="00D13027">
        <w:rPr>
          <w:rFonts w:cs="Times New Roman" w:hint="default"/>
        </w:rPr>
        <w:t xml:space="preserve"> Euró</w:t>
      </w:r>
      <w:r w:rsidRPr="00D13027">
        <w:rPr>
          <w:rFonts w:cs="Times New Roman" w:hint="default"/>
        </w:rPr>
        <w:t>pskeho spoloč</w:t>
      </w:r>
      <w:r w:rsidRPr="00D13027">
        <w:rPr>
          <w:rFonts w:cs="Times New Roman" w:hint="default"/>
        </w:rPr>
        <w:t xml:space="preserve">enstva </w:t>
      </w:r>
      <w:r w:rsidRPr="00D13027">
        <w:rPr>
          <w:rFonts w:cs="Times New Roman" w:hint="default"/>
        </w:rPr>
        <w:t>–</w:t>
      </w:r>
      <w:r w:rsidRPr="00D13027">
        <w:rPr>
          <w:rFonts w:cs="Times New Roman" w:hint="default"/>
        </w:rPr>
        <w:t xml:space="preserve"> do 30. novembra 2009)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pStyle w:val="ListParagraph"/>
        <w:numPr>
          <w:numId w:val="9"/>
        </w:num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Smernica Rady 2000/78/ES z 27. novembra 2000, ktorá</w:t>
      </w:r>
      <w:r w:rsidRPr="00D13027">
        <w:rPr>
          <w:rFonts w:cs="Times New Roman" w:hint="default"/>
        </w:rPr>
        <w:t xml:space="preserve"> ustanovuje vš</w:t>
      </w:r>
      <w:r w:rsidRPr="00D13027">
        <w:rPr>
          <w:rFonts w:cs="Times New Roman" w:hint="default"/>
        </w:rPr>
        <w:t>eobecný</w:t>
      </w:r>
      <w:r w:rsidRPr="00D13027">
        <w:rPr>
          <w:rFonts w:cs="Times New Roman" w:hint="default"/>
        </w:rPr>
        <w:t xml:space="preserve"> rá</w:t>
      </w:r>
      <w:r w:rsidRPr="00D13027">
        <w:rPr>
          <w:rFonts w:cs="Times New Roman" w:hint="default"/>
        </w:rPr>
        <w:t>mec pre rovnaké</w:t>
      </w:r>
      <w:r w:rsidRPr="00D13027">
        <w:rPr>
          <w:rFonts w:cs="Times New Roman" w:hint="default"/>
        </w:rPr>
        <w:t xml:space="preserve"> zaobchá</w:t>
      </w:r>
      <w:r w:rsidRPr="00D13027">
        <w:rPr>
          <w:rFonts w:cs="Times New Roman" w:hint="default"/>
        </w:rPr>
        <w:t>dzanie v zamestnaní</w:t>
      </w:r>
      <w:r w:rsidRPr="00D13027">
        <w:rPr>
          <w:rFonts w:cs="Times New Roman" w:hint="default"/>
        </w:rPr>
        <w:t xml:space="preserve"> a povolaní</w:t>
      </w:r>
      <w:r w:rsidRPr="00D13027">
        <w:rPr>
          <w:rFonts w:cs="Times New Roman" w:hint="default"/>
        </w:rPr>
        <w:t xml:space="preserve"> (Mimoriadne v</w:t>
      </w:r>
      <w:r w:rsidRPr="00D13027">
        <w:rPr>
          <w:rFonts w:cs="Times New Roman" w:hint="default"/>
        </w:rPr>
        <w:t>ydanie kap. 5/ zv. 4; Ú</w:t>
      </w:r>
      <w:r w:rsidRPr="00D13027">
        <w:rPr>
          <w:rFonts w:cs="Times New Roman" w:hint="default"/>
        </w:rPr>
        <w:t>. v. ES L 303, 02.12.2000), Smernica Euró</w:t>
      </w:r>
      <w:r w:rsidRPr="00D13027">
        <w:rPr>
          <w:rFonts w:cs="Times New Roman" w:hint="default"/>
        </w:rPr>
        <w:t>pskeho parlamentu a Rady 2006/54/ES z 5. jú</w:t>
      </w:r>
      <w:r w:rsidRPr="00D13027">
        <w:rPr>
          <w:rFonts w:cs="Times New Roman" w:hint="default"/>
        </w:rPr>
        <w:t>la 2006 o vykoná</w:t>
      </w:r>
      <w:r w:rsidRPr="00D13027">
        <w:rPr>
          <w:rFonts w:cs="Times New Roman" w:hint="default"/>
        </w:rPr>
        <w:t>vaní</w:t>
      </w:r>
      <w:r w:rsidRPr="00D13027">
        <w:rPr>
          <w:rFonts w:cs="Times New Roman" w:hint="default"/>
        </w:rPr>
        <w:t xml:space="preserve"> zá</w:t>
      </w:r>
      <w:r w:rsidRPr="00D13027">
        <w:rPr>
          <w:rFonts w:cs="Times New Roman" w:hint="default"/>
        </w:rPr>
        <w:t>sady rovnosti prí</w:t>
      </w:r>
      <w:r w:rsidRPr="00D13027">
        <w:rPr>
          <w:rFonts w:cs="Times New Roman" w:hint="default"/>
        </w:rPr>
        <w:t>lež</w:t>
      </w:r>
      <w:r w:rsidRPr="00D13027">
        <w:rPr>
          <w:rFonts w:cs="Times New Roman" w:hint="default"/>
        </w:rPr>
        <w:t>itostí</w:t>
      </w:r>
      <w:r w:rsidRPr="00D13027">
        <w:rPr>
          <w:rFonts w:cs="Times New Roman" w:hint="default"/>
        </w:rPr>
        <w:t xml:space="preserve"> a rovnaké</w:t>
      </w:r>
      <w:r w:rsidRPr="00D13027">
        <w:rPr>
          <w:rFonts w:cs="Times New Roman" w:hint="default"/>
        </w:rPr>
        <w:t>ho zaobchá</w:t>
      </w:r>
      <w:r w:rsidRPr="00D13027">
        <w:rPr>
          <w:rFonts w:cs="Times New Roman" w:hint="default"/>
        </w:rPr>
        <w:t>dzania s muž</w:t>
      </w:r>
      <w:r w:rsidRPr="00D13027">
        <w:rPr>
          <w:rFonts w:cs="Times New Roman" w:hint="default"/>
        </w:rPr>
        <w:t>mi a ž</w:t>
      </w:r>
      <w:r w:rsidRPr="00D13027">
        <w:rPr>
          <w:rFonts w:cs="Times New Roman" w:hint="default"/>
        </w:rPr>
        <w:t>enami vo veciach zamestnanosti a povolania (prepracované</w:t>
      </w:r>
      <w:r w:rsidRPr="00D13027">
        <w:rPr>
          <w:rFonts w:cs="Times New Roman" w:hint="default"/>
        </w:rPr>
        <w:t xml:space="preserve"> znen</w:t>
      </w:r>
      <w:r w:rsidRPr="00D13027">
        <w:rPr>
          <w:rFonts w:cs="Times New Roman" w:hint="default"/>
        </w:rPr>
        <w:t>i</w:t>
      </w:r>
      <w:r w:rsidRPr="00D13027">
        <w:rPr>
          <w:rFonts w:cs="Times New Roman" w:hint="default"/>
        </w:rPr>
        <w:t>e) (Ú</w:t>
      </w:r>
      <w:r w:rsidRPr="00D13027">
        <w:rPr>
          <w:rFonts w:cs="Times New Roman" w:hint="default"/>
        </w:rPr>
        <w:t>. v. EÚ</w:t>
      </w:r>
      <w:r w:rsidRPr="00D13027">
        <w:rPr>
          <w:rFonts w:cs="Times New Roman" w:hint="default"/>
        </w:rPr>
        <w:t xml:space="preserve"> L 204, 26.7.2006) 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P="00D13027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 xml:space="preserve">b) </w:t>
        <w:tab/>
      </w:r>
      <w:r w:rsidRPr="00D13027">
        <w:rPr>
          <w:rFonts w:cs="Times New Roman" w:hint="default"/>
        </w:rPr>
        <w:t>je obsiahnutá</w:t>
      </w:r>
      <w:r w:rsidRPr="00D13027">
        <w:rPr>
          <w:rFonts w:cs="Times New Roman" w:hint="default"/>
        </w:rPr>
        <w:t xml:space="preserve"> v judikatú</w:t>
      </w:r>
      <w:r w:rsidRPr="00D13027">
        <w:rPr>
          <w:rFonts w:cs="Times New Roman" w:hint="default"/>
        </w:rPr>
        <w:t>r</w:t>
      </w:r>
      <w:r>
        <w:rPr>
          <w:rFonts w:cs="Times New Roman" w:hint="default"/>
        </w:rPr>
        <w:t>e Sú</w:t>
      </w:r>
      <w:r>
        <w:rPr>
          <w:rFonts w:cs="Times New Roman" w:hint="default"/>
        </w:rPr>
        <w:t>dneho dvora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</w:t>
      </w:r>
    </w:p>
    <w:p w:rsid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pStyle w:val="ListParagraph"/>
        <w:numPr>
          <w:numId w:val="9"/>
        </w:num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Rozsudok Euró</w:t>
      </w:r>
      <w:r w:rsidRPr="00D13027">
        <w:rPr>
          <w:rFonts w:cs="Times New Roman" w:hint="default"/>
        </w:rPr>
        <w:t>pskeho sú</w:t>
      </w:r>
      <w:r w:rsidRPr="00D13027">
        <w:rPr>
          <w:rFonts w:cs="Times New Roman" w:hint="default"/>
        </w:rPr>
        <w:t>dneho dvora C-149/79 zo 17. decembra 1980 Komisia ES proti Belgické</w:t>
      </w:r>
      <w:r w:rsidRPr="00D13027">
        <w:rPr>
          <w:rFonts w:cs="Times New Roman" w:hint="default"/>
        </w:rPr>
        <w:t>mu kráľ</w:t>
      </w:r>
      <w:r w:rsidRPr="00D13027">
        <w:rPr>
          <w:rFonts w:cs="Times New Roman" w:hint="default"/>
        </w:rPr>
        <w:t>ovstvu.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RPr="00D13027" w:rsidP="00D13027">
      <w:pPr>
        <w:bidi w:val="0"/>
        <w:jc w:val="both"/>
        <w:rPr>
          <w:rFonts w:cs="Times New Roman" w:hint="default"/>
          <w:b/>
        </w:rPr>
      </w:pPr>
      <w:r w:rsidRPr="00D13027">
        <w:rPr>
          <w:rFonts w:cs="Times New Roman" w:hint="default"/>
          <w:b/>
        </w:rPr>
        <w:t>4. Zá</w:t>
      </w:r>
      <w:r w:rsidRPr="00D13027">
        <w:rPr>
          <w:rFonts w:cs="Times New Roman" w:hint="default"/>
          <w:b/>
        </w:rPr>
        <w:t>vä</w:t>
      </w:r>
      <w:r w:rsidRPr="00D13027">
        <w:rPr>
          <w:rFonts w:cs="Times New Roman" w:hint="default"/>
          <w:b/>
        </w:rPr>
        <w:t>zky Slovenskej republiky vo vzť</w:t>
      </w:r>
      <w:r w:rsidRPr="00D13027">
        <w:rPr>
          <w:rFonts w:cs="Times New Roman" w:hint="default"/>
          <w:b/>
        </w:rPr>
        <w:t>ahu k Euró</w:t>
      </w:r>
      <w:r w:rsidRPr="00D13027">
        <w:rPr>
          <w:rFonts w:cs="Times New Roman" w:hint="default"/>
          <w:b/>
        </w:rPr>
        <w:t>pskej ú</w:t>
      </w:r>
      <w:r w:rsidRPr="00D13027">
        <w:rPr>
          <w:rFonts w:cs="Times New Roman" w:hint="default"/>
          <w:b/>
        </w:rPr>
        <w:t>ni</w:t>
      </w:r>
      <w:r w:rsidRPr="00D13027">
        <w:rPr>
          <w:rFonts w:cs="Times New Roman" w:hint="default"/>
          <w:b/>
        </w:rPr>
        <w:t xml:space="preserve">i: 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/>
        </w:rPr>
        <w:t>a)</w:t>
        <w:tab/>
      </w:r>
      <w:r w:rsidRPr="00D13027">
        <w:rPr>
          <w:rFonts w:cs="Times New Roman" w:hint="default"/>
        </w:rPr>
        <w:t>lehota na prebranie prí</w:t>
      </w:r>
      <w:r w:rsidRPr="00D13027">
        <w:rPr>
          <w:rFonts w:cs="Times New Roman" w:hint="default"/>
        </w:rPr>
        <w:t>sluš</w:t>
      </w:r>
      <w:r w:rsidRPr="00D13027">
        <w:rPr>
          <w:rFonts w:cs="Times New Roman" w:hint="default"/>
        </w:rPr>
        <w:t>né</w:t>
      </w:r>
      <w:r w:rsidRPr="00D13027">
        <w:rPr>
          <w:rFonts w:cs="Times New Roman" w:hint="default"/>
        </w:rPr>
        <w:t>ho prá</w:t>
      </w:r>
      <w:r w:rsidRPr="00D13027">
        <w:rPr>
          <w:rFonts w:cs="Times New Roman" w:hint="default"/>
        </w:rPr>
        <w:t>vneho aktu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nie, prí</w:t>
      </w:r>
      <w:r w:rsidRPr="00D13027">
        <w:rPr>
          <w:rFonts w:cs="Times New Roman" w:hint="default"/>
        </w:rPr>
        <w:t>p. aj osobitná</w:t>
      </w:r>
      <w:r w:rsidRPr="00D13027">
        <w:rPr>
          <w:rFonts w:cs="Times New Roman" w:hint="default"/>
        </w:rPr>
        <w:t xml:space="preserve"> lehota úč</w:t>
      </w:r>
      <w:r w:rsidRPr="00D13027">
        <w:rPr>
          <w:rFonts w:cs="Times New Roman" w:hint="default"/>
        </w:rPr>
        <w:t>innosti jeho ustanovení,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- bezpredmetné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b)</w:t>
        <w:tab/>
      </w:r>
      <w:r w:rsidRPr="00D13027">
        <w:rPr>
          <w:rFonts w:cs="Times New Roman" w:hint="default"/>
        </w:rPr>
        <w:t>informá</w:t>
      </w:r>
      <w:r w:rsidRPr="00D13027">
        <w:rPr>
          <w:rFonts w:cs="Times New Roman" w:hint="default"/>
        </w:rPr>
        <w:t>cia o zač</w:t>
      </w:r>
      <w:r w:rsidRPr="00D13027">
        <w:rPr>
          <w:rFonts w:cs="Times New Roman" w:hint="default"/>
        </w:rPr>
        <w:t>atí</w:t>
      </w:r>
      <w:r w:rsidRPr="00D13027">
        <w:rPr>
          <w:rFonts w:cs="Times New Roman" w:hint="default"/>
        </w:rPr>
        <w:t xml:space="preserve"> konania v rá</w:t>
      </w:r>
      <w:r w:rsidRPr="00D13027">
        <w:rPr>
          <w:rFonts w:cs="Times New Roman" w:hint="default"/>
        </w:rPr>
        <w:t>mci „</w:t>
      </w:r>
      <w:r w:rsidRPr="00D13027">
        <w:rPr>
          <w:rFonts w:cs="Times New Roman" w:hint="default"/>
        </w:rPr>
        <w:t>EÚ</w:t>
      </w:r>
      <w:r w:rsidRPr="00D13027">
        <w:rPr>
          <w:rFonts w:cs="Times New Roman" w:hint="default"/>
        </w:rPr>
        <w:t xml:space="preserve"> Pilot“</w:t>
      </w:r>
      <w:r w:rsidRPr="00D13027">
        <w:rPr>
          <w:rFonts w:cs="Times New Roman" w:hint="default"/>
        </w:rPr>
        <w:t xml:space="preserve"> alebo o zač</w:t>
      </w:r>
      <w:r w:rsidRPr="00D13027">
        <w:rPr>
          <w:rFonts w:cs="Times New Roman" w:hint="default"/>
        </w:rPr>
        <w:t>atí</w:t>
      </w:r>
      <w:r w:rsidRPr="00D13027">
        <w:rPr>
          <w:rFonts w:cs="Times New Roman" w:hint="default"/>
        </w:rPr>
        <w:t xml:space="preserve"> postupu Euró</w:t>
      </w:r>
      <w:r w:rsidRPr="00D13027">
        <w:rPr>
          <w:rFonts w:cs="Times New Roman" w:hint="default"/>
        </w:rPr>
        <w:t>pskej komisie, alebo o konaní</w:t>
      </w:r>
      <w:r w:rsidRPr="00D13027">
        <w:rPr>
          <w:rFonts w:cs="Times New Roman" w:hint="default"/>
        </w:rPr>
        <w:t xml:space="preserve"> Sú</w:t>
      </w:r>
      <w:r w:rsidRPr="00D13027">
        <w:rPr>
          <w:rFonts w:cs="Times New Roman" w:hint="default"/>
        </w:rPr>
        <w:t>dneho dv</w:t>
      </w:r>
      <w:r w:rsidRPr="00D13027">
        <w:rPr>
          <w:rFonts w:cs="Times New Roman" w:hint="default"/>
        </w:rPr>
        <w:t>ora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nie proti Slovenskej republike podľ</w:t>
      </w:r>
      <w:r w:rsidRPr="00D13027">
        <w:rPr>
          <w:rFonts w:cs="Times New Roman" w:hint="default"/>
        </w:rPr>
        <w:t>a č</w:t>
      </w:r>
      <w:r w:rsidRPr="00D13027">
        <w:rPr>
          <w:rFonts w:cs="Times New Roman" w:hint="default"/>
        </w:rPr>
        <w:t>l. 258 a 260 Zmluvy o fungovaní</w:t>
      </w:r>
      <w:r w:rsidRPr="00D13027">
        <w:rPr>
          <w:rFonts w:cs="Times New Roman" w:hint="default"/>
        </w:rPr>
        <w:t xml:space="preserve">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nie v jej platnom znení</w:t>
      </w:r>
      <w:r w:rsidRPr="00D13027">
        <w:rPr>
          <w:rFonts w:cs="Times New Roman" w:hint="default"/>
        </w:rPr>
        <w:t>, spolu s uvedení</w:t>
      </w:r>
      <w:r w:rsidRPr="00D13027">
        <w:rPr>
          <w:rFonts w:cs="Times New Roman" w:hint="default"/>
        </w:rPr>
        <w:t>m konkré</w:t>
      </w:r>
      <w:r w:rsidRPr="00D13027">
        <w:rPr>
          <w:rFonts w:cs="Times New Roman" w:hint="default"/>
        </w:rPr>
        <w:t>tnych vytý</w:t>
      </w:r>
      <w:r w:rsidRPr="00D13027">
        <w:rPr>
          <w:rFonts w:cs="Times New Roman" w:hint="default"/>
        </w:rPr>
        <w:t>kaný</w:t>
      </w:r>
      <w:r w:rsidRPr="00D13027">
        <w:rPr>
          <w:rFonts w:cs="Times New Roman" w:hint="default"/>
        </w:rPr>
        <w:t>ch nedostatkov a pož</w:t>
      </w:r>
      <w:r w:rsidRPr="00D13027">
        <w:rPr>
          <w:rFonts w:cs="Times New Roman" w:hint="default"/>
        </w:rPr>
        <w:t>iadaviek na zabezpeč</w:t>
      </w:r>
      <w:r w:rsidRPr="00D13027">
        <w:rPr>
          <w:rFonts w:cs="Times New Roman" w:hint="default"/>
        </w:rPr>
        <w:t>enie ná</w:t>
      </w:r>
      <w:r w:rsidRPr="00D13027">
        <w:rPr>
          <w:rFonts w:cs="Times New Roman" w:hint="default"/>
        </w:rPr>
        <w:t>pravy,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- bezpredmetné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RPr="00D13027" w:rsidP="00D13027">
      <w:pPr>
        <w:bidi w:val="0"/>
        <w:jc w:val="both"/>
        <w:rPr>
          <w:rFonts w:cs="Times New Roman" w:hint="default"/>
        </w:rPr>
      </w:pPr>
      <w:r w:rsidRPr="00D13027">
        <w:rPr>
          <w:rFonts w:cs="Times New Roman" w:hint="default"/>
        </w:rPr>
        <w:t>c)</w:t>
        <w:tab/>
      </w:r>
      <w:r w:rsidRPr="00D13027">
        <w:rPr>
          <w:rFonts w:cs="Times New Roman" w:hint="default"/>
        </w:rPr>
        <w:t>informá</w:t>
      </w:r>
      <w:r w:rsidRPr="00D13027">
        <w:rPr>
          <w:rFonts w:cs="Times New Roman" w:hint="default"/>
        </w:rPr>
        <w:t>cia o prá</w:t>
      </w:r>
      <w:r w:rsidRPr="00D13027">
        <w:rPr>
          <w:rFonts w:cs="Times New Roman" w:hint="default"/>
        </w:rPr>
        <w:t>vnych pr</w:t>
      </w:r>
      <w:r w:rsidRPr="00D13027">
        <w:rPr>
          <w:rFonts w:cs="Times New Roman" w:hint="default"/>
        </w:rPr>
        <w:t>edpisoch, v ktorý</w:t>
      </w:r>
      <w:r w:rsidRPr="00D13027">
        <w:rPr>
          <w:rFonts w:cs="Times New Roman" w:hint="default"/>
        </w:rPr>
        <w:t>ch sú</w:t>
      </w:r>
      <w:r w:rsidRPr="00D13027">
        <w:rPr>
          <w:rFonts w:cs="Times New Roman" w:hint="default"/>
        </w:rPr>
        <w:t xml:space="preserve"> uvá</w:t>
      </w:r>
      <w:r w:rsidRPr="00D13027">
        <w:rPr>
          <w:rFonts w:cs="Times New Roman" w:hint="default"/>
        </w:rPr>
        <w:t>dzané</w:t>
      </w:r>
      <w:r w:rsidRPr="00D13027">
        <w:rPr>
          <w:rFonts w:cs="Times New Roman" w:hint="default"/>
        </w:rPr>
        <w:t xml:space="preserve"> prá</w:t>
      </w:r>
      <w:r w:rsidRPr="00D13027">
        <w:rPr>
          <w:rFonts w:cs="Times New Roman" w:hint="default"/>
        </w:rPr>
        <w:t>vne akty Euró</w:t>
      </w:r>
      <w:r w:rsidRPr="00D13027">
        <w:rPr>
          <w:rFonts w:cs="Times New Roman" w:hint="default"/>
        </w:rPr>
        <w:t>pskej ú</w:t>
      </w:r>
      <w:r w:rsidRPr="00D13027">
        <w:rPr>
          <w:rFonts w:cs="Times New Roman" w:hint="default"/>
        </w:rPr>
        <w:t>nie už</w:t>
      </w:r>
      <w:r w:rsidRPr="00D13027">
        <w:rPr>
          <w:rFonts w:cs="Times New Roman" w:hint="default"/>
        </w:rPr>
        <w:t xml:space="preserve"> prebrané</w:t>
      </w:r>
      <w:r w:rsidRPr="00D13027">
        <w:rPr>
          <w:rFonts w:cs="Times New Roman" w:hint="default"/>
        </w:rPr>
        <w:t>, spolu s uvedení</w:t>
      </w:r>
      <w:r w:rsidRPr="00D13027">
        <w:rPr>
          <w:rFonts w:cs="Times New Roman" w:hint="default"/>
        </w:rPr>
        <w:t>m rozsahu ich prebrania, prí</w:t>
      </w:r>
      <w:r w:rsidRPr="00D13027">
        <w:rPr>
          <w:rFonts w:cs="Times New Roman" w:hint="default"/>
        </w:rPr>
        <w:t>p. potreby prijatia ď</w:t>
      </w:r>
      <w:r w:rsidRPr="00D13027">
        <w:rPr>
          <w:rFonts w:cs="Times New Roman" w:hint="default"/>
        </w:rPr>
        <w:t>alší</w:t>
      </w:r>
      <w:r w:rsidRPr="00D13027">
        <w:rPr>
          <w:rFonts w:cs="Times New Roman" w:hint="default"/>
        </w:rPr>
        <w:t>ch ú</w:t>
      </w:r>
      <w:r w:rsidRPr="00D13027">
        <w:rPr>
          <w:rFonts w:cs="Times New Roman" w:hint="default"/>
        </w:rPr>
        <w:t>prav.</w:t>
      </w:r>
    </w:p>
    <w:p w:rsidR="00D13027" w:rsidRPr="00D13027" w:rsidP="00D13027">
      <w:pPr>
        <w:bidi w:val="0"/>
        <w:jc w:val="both"/>
        <w:rPr>
          <w:rFonts w:cs="Times New Roman" w:hint="default"/>
        </w:rPr>
      </w:pPr>
    </w:p>
    <w:p w:rsidR="00D13027" w:rsidP="00D13027">
      <w:pPr>
        <w:pStyle w:val="NormalWeb"/>
        <w:bidi w:val="0"/>
        <w:spacing w:before="0" w:beforeAutospacing="0" w:after="250" w:afterAutospacing="0"/>
        <w:jc w:val="both"/>
        <w:rPr>
          <w:rFonts w:ascii="Times" w:hAnsi="Times" w:cs="Times"/>
          <w:sz w:val="25"/>
          <w:szCs w:val="25"/>
        </w:rPr>
      </w:pPr>
      <w:r w:rsidRPr="00D13027">
        <w:rPr>
          <w:rFonts w:ascii="Times New Roman" w:hAnsi="Times New Roman"/>
        </w:rPr>
        <w:t xml:space="preserve">- </w:t>
      </w:r>
      <w:r w:rsidRPr="00D13027">
        <w:rPr>
          <w:rFonts w:ascii="Times" w:hAnsi="Times" w:cs="Times"/>
          <w:sz w:val="25"/>
          <w:szCs w:val="25"/>
        </w:rPr>
        <w:t>zákon č. 400/2009 Z. z. o štátnej službe a o zmene</w:t>
      </w:r>
      <w:r>
        <w:rPr>
          <w:rFonts w:ascii="Times" w:hAnsi="Times" w:cs="Times"/>
          <w:sz w:val="25"/>
          <w:szCs w:val="25"/>
        </w:rPr>
        <w:t xml:space="preserve"> a doplnení niektorých zákonov,</w:t>
      </w:r>
    </w:p>
    <w:p w:rsidR="00D13027" w:rsidP="00D13027">
      <w:pPr>
        <w:pStyle w:val="NormalWeb"/>
        <w:bidi w:val="0"/>
        <w:spacing w:before="0" w:beforeAutospacing="0" w:after="250" w:afterAutospacing="0"/>
        <w:jc w:val="both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-</w:t>
      </w:r>
      <w:r w:rsidRPr="00D13027">
        <w:rPr>
          <w:rFonts w:ascii="Times" w:hAnsi="Times" w:cs="Times"/>
          <w:sz w:val="25"/>
          <w:szCs w:val="25"/>
        </w:rPr>
        <w:t xml:space="preserve"> zákon č. 311/2001 Z. z. Zákonník práce v znení neskorších predpisov, </w:t>
      </w:r>
    </w:p>
    <w:p w:rsidR="00D13027" w:rsidP="00D13027">
      <w:pPr>
        <w:pStyle w:val="NormalWeb"/>
        <w:bidi w:val="0"/>
        <w:spacing w:before="0" w:beforeAutospacing="0" w:after="250" w:afterAutospacing="0"/>
        <w:jc w:val="both"/>
        <w:rPr>
          <w:rFonts w:ascii="Times" w:hAnsi="Times" w:cs="Times"/>
          <w:sz w:val="25"/>
          <w:szCs w:val="25"/>
        </w:rPr>
      </w:pPr>
      <w:r w:rsidRPr="00D13027">
        <w:rPr>
          <w:rFonts w:ascii="Times" w:hAnsi="Times" w:cs="Times"/>
          <w:sz w:val="25"/>
          <w:szCs w:val="25"/>
        </w:rPr>
        <w:t xml:space="preserve">- zákon č. 552/2003 Z. z. o výkone práce vo verejnom záujme v znení neskorších predpisov, </w:t>
      </w:r>
    </w:p>
    <w:p w:rsidR="00D13027" w:rsidP="00D13027">
      <w:pPr>
        <w:pStyle w:val="NormalWeb"/>
        <w:bidi w:val="0"/>
        <w:spacing w:before="0" w:beforeAutospacing="0" w:after="250" w:afterAutospacing="0"/>
        <w:jc w:val="both"/>
        <w:rPr>
          <w:rFonts w:ascii="Times" w:hAnsi="Times" w:cs="Times"/>
          <w:sz w:val="25"/>
          <w:szCs w:val="25"/>
        </w:rPr>
      </w:pPr>
      <w:r w:rsidRPr="00D13027">
        <w:rPr>
          <w:rFonts w:ascii="Times" w:hAnsi="Times" w:cs="Times"/>
          <w:sz w:val="25"/>
          <w:szCs w:val="25"/>
        </w:rPr>
        <w:t xml:space="preserve">- zákon č. 553/2003 Z. z. o odmeňovaní niektorých zamestnancov pri výkone práce vo verejnom záujme a o zmene a doplnení niektorých zákonov v znení neskorších predpisov, </w:t>
      </w:r>
    </w:p>
    <w:p w:rsidR="00D13027" w:rsidP="00D13027">
      <w:pPr>
        <w:pStyle w:val="NormalWeb"/>
        <w:bidi w:val="0"/>
        <w:spacing w:before="0" w:beforeAutospacing="0" w:after="250" w:afterAutospacing="0"/>
        <w:jc w:val="both"/>
        <w:rPr>
          <w:rFonts w:ascii="Times" w:hAnsi="Times" w:cs="Times"/>
          <w:sz w:val="25"/>
          <w:szCs w:val="25"/>
        </w:rPr>
      </w:pPr>
      <w:r w:rsidRPr="00D13027">
        <w:rPr>
          <w:rFonts w:ascii="Times" w:hAnsi="Times" w:cs="Times"/>
          <w:sz w:val="25"/>
          <w:szCs w:val="25"/>
        </w:rPr>
        <w:t xml:space="preserve">- zákon č. 365/2004 Z. z. o rovnakom zaobchádzaní v niektorých oblastiach a o ochrane pred diskrimináciou a o zmene a doplnení niektorých zákonov (antidiskriminačný zákon) v znení neskorších predpisov, </w:t>
      </w:r>
    </w:p>
    <w:p w:rsidR="00D13027" w:rsidRPr="00D13027" w:rsidP="00D13027">
      <w:pPr>
        <w:pStyle w:val="NormalWeb"/>
        <w:bidi w:val="0"/>
        <w:spacing w:before="0" w:beforeAutospacing="0" w:after="250" w:afterAutospacing="0"/>
        <w:jc w:val="both"/>
        <w:rPr>
          <w:rFonts w:ascii="Times New Roman" w:hAnsi="Times New Roman"/>
        </w:rPr>
      </w:pPr>
      <w:r w:rsidRPr="00D13027">
        <w:rPr>
          <w:rFonts w:ascii="Times" w:hAnsi="Times" w:cs="Times"/>
          <w:sz w:val="25"/>
          <w:szCs w:val="25"/>
        </w:rPr>
        <w:t>- zákon č. 125/2006 Z. z. o inšpekcii práce a o zmene a doplnení zákona č. 82/2005 Z. z. o nelegálnej práci a nelegálnom zamestnávaní a o zmene a doplnení niektorých zákonov v znení neskorších predpisov.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RPr="00D13027" w:rsidP="00D13027">
      <w:pPr>
        <w:bidi w:val="0"/>
        <w:jc w:val="both"/>
        <w:rPr>
          <w:rFonts w:cs="Times New Roman" w:hint="default"/>
          <w:b/>
        </w:rPr>
      </w:pPr>
      <w:r w:rsidRPr="00D13027">
        <w:rPr>
          <w:rFonts w:cs="Times New Roman"/>
          <w:b/>
        </w:rPr>
        <w:t>5.</w:t>
        <w:tab/>
      </w:r>
      <w:r w:rsidRPr="00D13027">
        <w:rPr>
          <w:rFonts w:cs="Times New Roman" w:hint="default"/>
          <w:b/>
        </w:rPr>
        <w:t>Stupeň</w:t>
      </w:r>
      <w:r w:rsidRPr="00D13027">
        <w:rPr>
          <w:rFonts w:cs="Times New Roman" w:hint="default"/>
          <w:b/>
        </w:rPr>
        <w:t xml:space="preserve"> zluč</w:t>
      </w:r>
      <w:r w:rsidRPr="00D13027">
        <w:rPr>
          <w:rFonts w:cs="Times New Roman" w:hint="default"/>
          <w:b/>
        </w:rPr>
        <w:t>iteľ</w:t>
      </w:r>
      <w:r w:rsidRPr="00D13027">
        <w:rPr>
          <w:rFonts w:cs="Times New Roman" w:hint="default"/>
          <w:b/>
        </w:rPr>
        <w:t>nosti ná</w:t>
      </w:r>
      <w:r w:rsidRPr="00D13027">
        <w:rPr>
          <w:rFonts w:cs="Times New Roman" w:hint="default"/>
          <w:b/>
        </w:rPr>
        <w:t>vr</w:t>
      </w:r>
      <w:r w:rsidRPr="00D13027">
        <w:rPr>
          <w:rFonts w:cs="Times New Roman" w:hint="default"/>
          <w:b/>
        </w:rPr>
        <w:t>hu prá</w:t>
      </w:r>
      <w:r w:rsidRPr="00D13027">
        <w:rPr>
          <w:rFonts w:cs="Times New Roman" w:hint="default"/>
          <w:b/>
        </w:rPr>
        <w:t>vneho predpisu s prá</w:t>
      </w:r>
      <w:r w:rsidRPr="00D13027">
        <w:rPr>
          <w:rFonts w:cs="Times New Roman" w:hint="default"/>
          <w:b/>
        </w:rPr>
        <w:t>vom Euró</w:t>
      </w:r>
      <w:r w:rsidRPr="00D13027">
        <w:rPr>
          <w:rFonts w:cs="Times New Roman" w:hint="default"/>
          <w:b/>
        </w:rPr>
        <w:t>pskej ú</w:t>
      </w:r>
      <w:r w:rsidRPr="00D13027">
        <w:rPr>
          <w:rFonts w:cs="Times New Roman" w:hint="default"/>
          <w:b/>
        </w:rPr>
        <w:t>nie:</w:t>
      </w:r>
    </w:p>
    <w:p w:rsidR="00D13027" w:rsidRPr="00D13027" w:rsidP="00D13027">
      <w:pPr>
        <w:bidi w:val="0"/>
        <w:jc w:val="both"/>
        <w:rPr>
          <w:rFonts w:cs="Times New Roman"/>
        </w:rPr>
      </w:pPr>
    </w:p>
    <w:p w:rsidR="00D13027" w:rsidP="00D13027">
      <w:pPr>
        <w:bidi w:val="0"/>
        <w:jc w:val="both"/>
        <w:rPr>
          <w:rFonts w:cs="Times New Roman"/>
        </w:rPr>
      </w:pPr>
      <w:r w:rsidRPr="00D13027">
        <w:rPr>
          <w:rFonts w:cs="Times New Roman" w:hint="default"/>
        </w:rPr>
        <w:t>Stupeň</w:t>
      </w:r>
      <w:r w:rsidRPr="00D13027">
        <w:rPr>
          <w:rFonts w:cs="Times New Roman" w:hint="default"/>
        </w:rPr>
        <w:t xml:space="preserve"> zluč</w:t>
      </w:r>
      <w:r w:rsidRPr="00D13027">
        <w:rPr>
          <w:rFonts w:cs="Times New Roman" w:hint="default"/>
        </w:rPr>
        <w:t>iteľ</w:t>
      </w:r>
      <w:r w:rsidRPr="00D13027">
        <w:rPr>
          <w:rFonts w:cs="Times New Roman" w:hint="default"/>
        </w:rPr>
        <w:t xml:space="preserve">nosti </w:t>
      </w:r>
      <w:r>
        <w:rPr>
          <w:rFonts w:cs="Times New Roman" w:hint="default"/>
        </w:rPr>
        <w:t>–</w:t>
      </w:r>
      <w:r w:rsidRPr="00D13027">
        <w:rPr>
          <w:rFonts w:cs="Times New Roman" w:hint="default"/>
        </w:rPr>
        <w:t xml:space="preserve"> ú</w:t>
      </w:r>
      <w:r w:rsidRPr="00D13027">
        <w:rPr>
          <w:rFonts w:cs="Times New Roman" w:hint="default"/>
        </w:rPr>
        <w:t>plný</w:t>
      </w:r>
    </w:p>
    <w:p w:rsidR="00D13027">
      <w:pPr>
        <w:widowControl/>
        <w:suppressAutoHyphens w:val="0"/>
        <w:bidi w:val="0"/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:rsidR="00D13027" w:rsidRPr="00764085" w:rsidP="00D1302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D13027" w:rsidRPr="00764085" w:rsidP="00D1302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D13027" w:rsidRPr="00764085" w:rsidP="00D1302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D13027" w:rsidP="00D13027">
      <w:pPr>
        <w:bidi w:val="0"/>
        <w:jc w:val="both"/>
        <w:rPr>
          <w:rFonts w:eastAsiaTheme="minorEastAsia" w:cs="Times New Roman"/>
          <w:lang w:eastAsia="en-US" w:bidi="ar-SA"/>
        </w:rPr>
      </w:pPr>
      <w:r w:rsidRPr="00764085">
        <w:rPr>
          <w:rFonts w:cs="Times New Roman" w:hint="default"/>
          <w:b/>
          <w:color w:val="000000"/>
        </w:rPr>
        <w:t>A.1. Ná</w:t>
      </w:r>
      <w:r w:rsidRPr="00764085">
        <w:rPr>
          <w:rFonts w:cs="Times New Roman" w:hint="default"/>
          <w:b/>
          <w:color w:val="000000"/>
        </w:rPr>
        <w:t>zov materiá</w:t>
      </w:r>
      <w:r w:rsidRPr="00764085">
        <w:rPr>
          <w:rFonts w:cs="Times New Roman" w:hint="default"/>
          <w:b/>
          <w:color w:val="000000"/>
        </w:rPr>
        <w:t xml:space="preserve">lu: 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 xml:space="preserve">vrh </w:t>
      </w:r>
      <w:r w:rsidRPr="00EA0C42">
        <w:rPr>
          <w:rFonts w:eastAsiaTheme="minorEastAsia" w:cs="Times New Roman" w:hint="default"/>
          <w:lang w:eastAsia="en-US" w:bidi="ar-SA"/>
        </w:rPr>
        <w:t>zá</w:t>
      </w:r>
      <w:r w:rsidRPr="00EA0C42">
        <w:rPr>
          <w:rFonts w:eastAsiaTheme="minorEastAsia" w:cs="Times New Roman" w:hint="default"/>
          <w:lang w:eastAsia="en-US" w:bidi="ar-SA"/>
        </w:rPr>
        <w:t xml:space="preserve">kona, </w:t>
      </w:r>
      <w:r w:rsidRPr="0092571B">
        <w:rPr>
          <w:rFonts w:eastAsiaTheme="minorEastAsia" w:cs="Times New Roman" w:hint="default"/>
          <w:lang w:eastAsia="en-US" w:bidi="ar-SA"/>
        </w:rPr>
        <w:t>ktorý</w:t>
      </w:r>
      <w:r w:rsidRPr="0092571B">
        <w:rPr>
          <w:rFonts w:eastAsiaTheme="minorEastAsia" w:cs="Times New Roman" w:hint="default"/>
          <w:lang w:eastAsia="en-US" w:bidi="ar-SA"/>
        </w:rPr>
        <w:t>m sa mení</w:t>
      </w:r>
      <w:r w:rsidRPr="0092571B">
        <w:rPr>
          <w:rFonts w:eastAsiaTheme="minorEastAsia" w:cs="Times New Roman" w:hint="default"/>
          <w:lang w:eastAsia="en-US" w:bidi="ar-SA"/>
        </w:rPr>
        <w:t xml:space="preserve"> a dopĺň</w:t>
      </w:r>
      <w:r w:rsidRPr="0092571B">
        <w:rPr>
          <w:rFonts w:eastAsiaTheme="minorEastAsia" w:cs="Times New Roman" w:hint="default"/>
          <w:lang w:eastAsia="en-US" w:bidi="ar-SA"/>
        </w:rPr>
        <w:t>a zá</w:t>
      </w:r>
      <w:r w:rsidRPr="0092571B">
        <w:rPr>
          <w:rFonts w:eastAsiaTheme="minorEastAsia" w:cs="Times New Roman" w:hint="default"/>
          <w:lang w:eastAsia="en-US" w:bidi="ar-SA"/>
        </w:rPr>
        <w:t>kon č</w:t>
      </w:r>
      <w:r w:rsidRPr="0092571B">
        <w:rPr>
          <w:rFonts w:eastAsiaTheme="minorEastAsia" w:cs="Times New Roman" w:hint="default"/>
          <w:lang w:eastAsia="en-US" w:bidi="ar-SA"/>
        </w:rPr>
        <w:t>. 553/2003 Z. z. o odmeň</w:t>
      </w:r>
      <w:r w:rsidRPr="0092571B">
        <w:rPr>
          <w:rFonts w:eastAsiaTheme="minorEastAsia" w:cs="Times New Roman" w:hint="default"/>
          <w:lang w:eastAsia="en-US" w:bidi="ar-SA"/>
        </w:rPr>
        <w:t>ovaní</w:t>
      </w:r>
      <w:r w:rsidRPr="0092571B">
        <w:rPr>
          <w:rFonts w:eastAsiaTheme="minorEastAsia" w:cs="Times New Roman" w:hint="default"/>
          <w:lang w:eastAsia="en-US" w:bidi="ar-SA"/>
        </w:rPr>
        <w:t xml:space="preserve"> niektorý</w:t>
      </w:r>
      <w:r w:rsidRPr="0092571B">
        <w:rPr>
          <w:rFonts w:eastAsiaTheme="minorEastAsia" w:cs="Times New Roman" w:hint="default"/>
          <w:lang w:eastAsia="en-US" w:bidi="ar-SA"/>
        </w:rPr>
        <w:t>ch zamestnancov pri vý</w:t>
      </w:r>
      <w:r w:rsidRPr="0092571B">
        <w:rPr>
          <w:rFonts w:eastAsiaTheme="minorEastAsia" w:cs="Times New Roman" w:hint="default"/>
          <w:lang w:eastAsia="en-US" w:bidi="ar-SA"/>
        </w:rPr>
        <w:t>kone prá</w:t>
      </w:r>
      <w:r w:rsidRPr="0092571B">
        <w:rPr>
          <w:rFonts w:eastAsiaTheme="minorEastAsia" w:cs="Times New Roman" w:hint="default"/>
          <w:lang w:eastAsia="en-US" w:bidi="ar-SA"/>
        </w:rPr>
        <w:t xml:space="preserve">ce vo verejnom </w:t>
      </w:r>
      <w:r w:rsidRPr="0092571B">
        <w:rPr>
          <w:rFonts w:eastAsiaTheme="minorEastAsia" w:cs="Times New Roman" w:hint="default"/>
          <w:lang w:eastAsia="en-US" w:bidi="ar-SA"/>
        </w:rPr>
        <w:t>zá</w:t>
      </w:r>
      <w:r w:rsidRPr="0092571B">
        <w:rPr>
          <w:rFonts w:eastAsiaTheme="minorEastAsia" w:cs="Times New Roman" w:hint="default"/>
          <w:lang w:eastAsia="en-US" w:bidi="ar-SA"/>
        </w:rPr>
        <w:t>ujme a o zmene a doplnení</w:t>
      </w:r>
      <w:r w:rsidRPr="0092571B">
        <w:rPr>
          <w:rFonts w:eastAsiaTheme="minorEastAsia" w:cs="Times New Roman" w:hint="default"/>
          <w:lang w:eastAsia="en-US" w:bidi="ar-SA"/>
        </w:rPr>
        <w:t xml:space="preserve"> niektorý</w:t>
      </w:r>
      <w:r w:rsidRPr="0092571B">
        <w:rPr>
          <w:rFonts w:eastAsiaTheme="minorEastAsia" w:cs="Times New Roman" w:hint="default"/>
          <w:lang w:eastAsia="en-US" w:bidi="ar-SA"/>
        </w:rPr>
        <w:t>ch zá</w:t>
      </w:r>
      <w:r w:rsidRPr="0092571B">
        <w:rPr>
          <w:rFonts w:eastAsiaTheme="minorEastAsia" w:cs="Times New Roman" w:hint="default"/>
          <w:lang w:eastAsia="en-US" w:bidi="ar-SA"/>
        </w:rPr>
        <w:t>konov v znení</w:t>
      </w:r>
      <w:r w:rsidRPr="0092571B">
        <w:rPr>
          <w:rFonts w:eastAsiaTheme="minorEastAsia" w:cs="Times New Roman" w:hint="default"/>
          <w:lang w:eastAsia="en-US" w:bidi="ar-SA"/>
        </w:rPr>
        <w:t xml:space="preserve"> neskorší</w:t>
      </w:r>
      <w:r w:rsidRPr="0092571B">
        <w:rPr>
          <w:rFonts w:eastAsiaTheme="minorEastAsia" w:cs="Times New Roman" w:hint="default"/>
          <w:lang w:eastAsia="en-US" w:bidi="ar-SA"/>
        </w:rPr>
        <w:t>ch predpisov a ktorý</w:t>
      </w:r>
      <w:r w:rsidRPr="0092571B">
        <w:rPr>
          <w:rFonts w:eastAsiaTheme="minorEastAsia" w:cs="Times New Roman" w:hint="default"/>
          <w:lang w:eastAsia="en-US" w:bidi="ar-SA"/>
        </w:rPr>
        <w:t>m sa menia a dopĺň</w:t>
      </w:r>
      <w:r w:rsidRPr="0092571B">
        <w:rPr>
          <w:rFonts w:eastAsiaTheme="minorEastAsia" w:cs="Times New Roman" w:hint="default"/>
          <w:lang w:eastAsia="en-US" w:bidi="ar-SA"/>
        </w:rPr>
        <w:t>ajú</w:t>
      </w:r>
      <w:r w:rsidRPr="0092571B">
        <w:rPr>
          <w:rFonts w:eastAsiaTheme="minorEastAsia" w:cs="Times New Roman" w:hint="default"/>
          <w:lang w:eastAsia="en-US" w:bidi="ar-SA"/>
        </w:rPr>
        <w:t xml:space="preserve"> niektoré</w:t>
      </w:r>
      <w:r w:rsidRPr="0092571B">
        <w:rPr>
          <w:rFonts w:eastAsiaTheme="minorEastAsia" w:cs="Times New Roman" w:hint="default"/>
          <w:lang w:eastAsia="en-US" w:bidi="ar-SA"/>
        </w:rPr>
        <w:t xml:space="preserve"> zá</w:t>
      </w:r>
      <w:r w:rsidRPr="0092571B">
        <w:rPr>
          <w:rFonts w:eastAsiaTheme="minorEastAsia" w:cs="Times New Roman" w:hint="default"/>
          <w:lang w:eastAsia="en-US" w:bidi="ar-SA"/>
        </w:rPr>
        <w:t>kony.</w:t>
      </w:r>
    </w:p>
    <w:p w:rsidR="00D13027" w:rsidP="00D13027">
      <w:pPr>
        <w:bidi w:val="0"/>
        <w:jc w:val="both"/>
        <w:rPr>
          <w:rFonts w:cs="Times New Roman"/>
        </w:rPr>
      </w:pPr>
    </w:p>
    <w:p w:rsidR="00D13027" w:rsidP="00D1302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D13027" w:rsidP="00D1302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005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764085" w:rsidP="00463A0F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5.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3027" w:rsidRPr="00000576" w:rsidP="00463A0F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D13027" w:rsidRPr="00764085" w:rsidP="00D1302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D13027" w:rsidP="00D13027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D13027" w:rsidP="00983BC9">
      <w:pPr>
        <w:pStyle w:val="Vchodzi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983BC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983BC9">
        <w:rPr>
          <w:rFonts w:ascii="Times New Roman" w:hAnsi="Times New Roman" w:cs="Times New Roman"/>
          <w:color w:val="000000"/>
          <w:sz w:val="24"/>
          <w:szCs w:val="24"/>
          <w:lang w:val="sk-SK"/>
        </w:rPr>
        <w:t>V 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s 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predlož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ený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ná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vrhom zá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sa predpokladajú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vý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davky na strane 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 vo výš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ke cca 232 milió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nov EUR roč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ne. Taktiež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predpokladá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prí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jem pre verejné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financie vo výš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ke 170 milió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nov EUR 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roč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 (odvody do Sociá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lnej poisť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ovne, zdravotný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poisť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ovní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zníž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ené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klady na odvodovú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odpočí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tateľ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nú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polož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ku, dane z 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prí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jmov fyzický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osô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b, vý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ber DPH). Negatí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dopad sa preto oč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 vo výš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ke cca 62 milió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nov EUR roč</w:t>
      </w:r>
      <w:r w:rsidR="00983BC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ne. I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de o tretinu „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akaný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ch“</w:t>
      </w:r>
      <w:r w:rsidRPr="00E731E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prí</w:t>
      </w:r>
      <w:r w:rsidRPr="00E731E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jmov v poslednej daň</w:t>
      </w:r>
      <w:r w:rsidRPr="00E731E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ovej prognó</w:t>
      </w:r>
      <w:r w:rsidRPr="00E731E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ze (176 milió</w:t>
      </w:r>
      <w:r w:rsidRPr="00E731E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nov v roku 2017). Financovanie tohto kroku je preto vecou politickej vô</w:t>
      </w:r>
      <w:r w:rsidRPr="00E731E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 a priorí</w:t>
      </w:r>
      <w:r w:rsidRPr="00E731E7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t.</w:t>
      </w:r>
    </w:p>
    <w:p w:rsidR="00D13027" w:rsidRPr="00E731E7" w:rsidP="00D13027">
      <w:pPr>
        <w:pStyle w:val="Vchodzie"/>
        <w:bidi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Pozití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sociá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 vplyvy sa predpokladajú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s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vyšší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mi platmi verejný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zamestnancov ako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asnosti.</w:t>
      </w:r>
    </w:p>
    <w:p w:rsidR="00D13027" w:rsidP="00D1302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D13027" w:rsidRPr="00764085" w:rsidP="00D1302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D13027" w:rsidRPr="00764085" w:rsidP="00D1302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D13027" w:rsidRPr="00764085" w:rsidP="00D1302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D13027" w:rsidP="00D1302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p w:rsidR="008D47D8" w:rsidP="00D13027">
      <w:pPr>
        <w:bidi w:val="0"/>
        <w:jc w:val="both"/>
        <w:rPr>
          <w:rFonts w:cs="Times New Roman"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502AF"/>
    <w:multiLevelType w:val="hybridMultilevel"/>
    <w:tmpl w:val="825203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A61BD"/>
    <w:multiLevelType w:val="hybridMultilevel"/>
    <w:tmpl w:val="ABA8CA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67233"/>
    <w:multiLevelType w:val="hybridMultilevel"/>
    <w:tmpl w:val="45D45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9655462"/>
    <w:multiLevelType w:val="hybridMultilevel"/>
    <w:tmpl w:val="0910E9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874F1B"/>
    <w:multiLevelType w:val="hybridMultilevel"/>
    <w:tmpl w:val="DF3C7F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46B7003"/>
    <w:multiLevelType w:val="hybridMultilevel"/>
    <w:tmpl w:val="CF3CC9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13EFE"/>
    <w:multiLevelType w:val="hybridMultilevel"/>
    <w:tmpl w:val="B7C49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0774347"/>
    <w:multiLevelType w:val="hybridMultilevel"/>
    <w:tmpl w:val="8ADA78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3096D33"/>
    <w:multiLevelType w:val="hybridMultilevel"/>
    <w:tmpl w:val="45B4A1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15"/>
  </w:num>
  <w:num w:numId="14">
    <w:abstractNumId w:val="6"/>
  </w:num>
  <w:num w:numId="15">
    <w:abstractNumId w:val="1"/>
  </w:num>
  <w:num w:numId="16">
    <w:abstractNumId w:val="14"/>
  </w:num>
  <w:num w:numId="17">
    <w:abstractNumId w:val="10"/>
  </w:num>
  <w:num w:numId="18">
    <w:abstractNumId w:val="3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36563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911C7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43C4C"/>
    <w:rsid w:val="00150922"/>
    <w:rsid w:val="00151E96"/>
    <w:rsid w:val="00153A2C"/>
    <w:rsid w:val="00154B93"/>
    <w:rsid w:val="00160969"/>
    <w:rsid w:val="0016770E"/>
    <w:rsid w:val="0017622F"/>
    <w:rsid w:val="001828C4"/>
    <w:rsid w:val="0019090E"/>
    <w:rsid w:val="00192B83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26ED"/>
    <w:rsid w:val="00225B05"/>
    <w:rsid w:val="00227EC6"/>
    <w:rsid w:val="0023058D"/>
    <w:rsid w:val="00240C74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A69BC"/>
    <w:rsid w:val="002A7EED"/>
    <w:rsid w:val="002B3AE6"/>
    <w:rsid w:val="002B3C2A"/>
    <w:rsid w:val="002C080E"/>
    <w:rsid w:val="002C73CB"/>
    <w:rsid w:val="002D08B3"/>
    <w:rsid w:val="002D1E91"/>
    <w:rsid w:val="002D2DFF"/>
    <w:rsid w:val="002D3F86"/>
    <w:rsid w:val="002E0433"/>
    <w:rsid w:val="002E1E6C"/>
    <w:rsid w:val="002F3083"/>
    <w:rsid w:val="002F69FC"/>
    <w:rsid w:val="0031338B"/>
    <w:rsid w:val="00336F95"/>
    <w:rsid w:val="00336FD9"/>
    <w:rsid w:val="003370AC"/>
    <w:rsid w:val="00337B4F"/>
    <w:rsid w:val="0034214E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37D0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3A0F"/>
    <w:rsid w:val="004665E2"/>
    <w:rsid w:val="004671E3"/>
    <w:rsid w:val="00467C39"/>
    <w:rsid w:val="00480EA3"/>
    <w:rsid w:val="00484A73"/>
    <w:rsid w:val="004917CB"/>
    <w:rsid w:val="00491A6D"/>
    <w:rsid w:val="00496F4B"/>
    <w:rsid w:val="004A2751"/>
    <w:rsid w:val="004B0F8E"/>
    <w:rsid w:val="004B4FCB"/>
    <w:rsid w:val="004B626C"/>
    <w:rsid w:val="004C32E3"/>
    <w:rsid w:val="004C4E9A"/>
    <w:rsid w:val="004C69D7"/>
    <w:rsid w:val="004D1C10"/>
    <w:rsid w:val="004F16BA"/>
    <w:rsid w:val="004F3A27"/>
    <w:rsid w:val="005005DA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673E3"/>
    <w:rsid w:val="00573C70"/>
    <w:rsid w:val="0057497E"/>
    <w:rsid w:val="00577000"/>
    <w:rsid w:val="00577988"/>
    <w:rsid w:val="005819F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0AD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64E3C"/>
    <w:rsid w:val="00666016"/>
    <w:rsid w:val="0067499F"/>
    <w:rsid w:val="00687973"/>
    <w:rsid w:val="00694886"/>
    <w:rsid w:val="0069739B"/>
    <w:rsid w:val="006A5E02"/>
    <w:rsid w:val="006A6C4F"/>
    <w:rsid w:val="006A7FCB"/>
    <w:rsid w:val="006C3B7E"/>
    <w:rsid w:val="006C5D62"/>
    <w:rsid w:val="006D2ABF"/>
    <w:rsid w:val="006D4FDB"/>
    <w:rsid w:val="006D60D0"/>
    <w:rsid w:val="006D6B44"/>
    <w:rsid w:val="006D6F09"/>
    <w:rsid w:val="006E0E75"/>
    <w:rsid w:val="006E12B7"/>
    <w:rsid w:val="006E3838"/>
    <w:rsid w:val="006E6879"/>
    <w:rsid w:val="006F0091"/>
    <w:rsid w:val="006F086A"/>
    <w:rsid w:val="006F7449"/>
    <w:rsid w:val="00702862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95BD0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456EC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C28D2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4C50"/>
    <w:rsid w:val="0091589F"/>
    <w:rsid w:val="00921FE0"/>
    <w:rsid w:val="009241FB"/>
    <w:rsid w:val="0092447A"/>
    <w:rsid w:val="009255B8"/>
    <w:rsid w:val="0092571B"/>
    <w:rsid w:val="00937B77"/>
    <w:rsid w:val="00953C44"/>
    <w:rsid w:val="0095651E"/>
    <w:rsid w:val="00963DE5"/>
    <w:rsid w:val="00966329"/>
    <w:rsid w:val="009724AF"/>
    <w:rsid w:val="009740D8"/>
    <w:rsid w:val="00977F5D"/>
    <w:rsid w:val="00981CED"/>
    <w:rsid w:val="00982ECC"/>
    <w:rsid w:val="00983736"/>
    <w:rsid w:val="00983BC9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A03887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2F57"/>
    <w:rsid w:val="00B57029"/>
    <w:rsid w:val="00B57C2D"/>
    <w:rsid w:val="00B62885"/>
    <w:rsid w:val="00B64D4C"/>
    <w:rsid w:val="00B6575B"/>
    <w:rsid w:val="00B7183A"/>
    <w:rsid w:val="00B7220A"/>
    <w:rsid w:val="00B81A20"/>
    <w:rsid w:val="00B90FCB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2EEA"/>
    <w:rsid w:val="00BE6D49"/>
    <w:rsid w:val="00BF0502"/>
    <w:rsid w:val="00BF6E84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5B65"/>
    <w:rsid w:val="00CC7D2D"/>
    <w:rsid w:val="00CD5655"/>
    <w:rsid w:val="00CE2496"/>
    <w:rsid w:val="00CF2A1D"/>
    <w:rsid w:val="00D03388"/>
    <w:rsid w:val="00D05B3A"/>
    <w:rsid w:val="00D1291B"/>
    <w:rsid w:val="00D13027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77750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C7098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55DC7"/>
    <w:rsid w:val="00E65909"/>
    <w:rsid w:val="00E66CB0"/>
    <w:rsid w:val="00E720A8"/>
    <w:rsid w:val="00E731E7"/>
    <w:rsid w:val="00E7490B"/>
    <w:rsid w:val="00E7579F"/>
    <w:rsid w:val="00E76250"/>
    <w:rsid w:val="00E81660"/>
    <w:rsid w:val="00E8315D"/>
    <w:rsid w:val="00E857D9"/>
    <w:rsid w:val="00E8629F"/>
    <w:rsid w:val="00E939FF"/>
    <w:rsid w:val="00E947EC"/>
    <w:rsid w:val="00E97A16"/>
    <w:rsid w:val="00EA0C42"/>
    <w:rsid w:val="00EA4B15"/>
    <w:rsid w:val="00EB379C"/>
    <w:rsid w:val="00ED3398"/>
    <w:rsid w:val="00ED5039"/>
    <w:rsid w:val="00EE4B8E"/>
    <w:rsid w:val="00EE4BF3"/>
    <w:rsid w:val="00EE7053"/>
    <w:rsid w:val="00EE7B57"/>
    <w:rsid w:val="00EF196A"/>
    <w:rsid w:val="00F005ED"/>
    <w:rsid w:val="00F01119"/>
    <w:rsid w:val="00F02695"/>
    <w:rsid w:val="00F03543"/>
    <w:rsid w:val="00F05C94"/>
    <w:rsid w:val="00F20DBE"/>
    <w:rsid w:val="00F26565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74DDA"/>
    <w:rsid w:val="00F7688F"/>
    <w:rsid w:val="00F80542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97438-9830-4729-9A7B-A19983F2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753</Words>
  <Characters>4290</Characters>
  <Application>Microsoft Office Word</Application>
  <DocSecurity>0</DocSecurity>
  <Lines>0</Lines>
  <Paragraphs>0</Paragraphs>
  <ScaleCrop>false</ScaleCrop>
  <Company>HP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2</cp:revision>
  <cp:lastPrinted>2017-03-03T11:26:00Z</cp:lastPrinted>
  <dcterms:created xsi:type="dcterms:W3CDTF">2017-09-22T14:36:00Z</dcterms:created>
  <dcterms:modified xsi:type="dcterms:W3CDTF">2017-09-22T14:36:00Z</dcterms:modified>
</cp:coreProperties>
</file>