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701E11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701E11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701E11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01E11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701E11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701E11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01E11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01E11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701E11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701E11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701E11" w:rsidR="006E6A9A">
        <w:rPr>
          <w:rFonts w:ascii="Times New Roman" w:hAnsi="Times New Roman"/>
          <w:sz w:val="24"/>
          <w:szCs w:val="24"/>
          <w:lang w:val="sk-SK"/>
        </w:rPr>
        <w:t>Poslanci Národnej rady Slovenskej republiky</w:t>
      </w:r>
    </w:p>
    <w:p w:rsidR="00961DDB" w:rsidRPr="00701E11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701E11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695750" w:rsidRPr="00701E11" w:rsidP="00695750">
      <w:pPr>
        <w:tabs>
          <w:tab w:val="left" w:pos="426"/>
        </w:tabs>
        <w:bidi w:val="0"/>
        <w:spacing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701E11" w:rsidR="00961DDB">
        <w:rPr>
          <w:rFonts w:ascii="Times New Roman" w:hAnsi="Times New Roman"/>
          <w:b/>
          <w:bCs/>
          <w:sz w:val="24"/>
          <w:szCs w:val="24"/>
          <w:lang w:val="sk-SK"/>
        </w:rPr>
        <w:t>2.</w:t>
      </w:r>
      <w:r w:rsidRPr="00701E11" w:rsidR="00DC5240">
        <w:rPr>
          <w:rFonts w:ascii="Times New Roman" w:hAnsi="Times New Roman"/>
          <w:b/>
          <w:bCs/>
          <w:sz w:val="24"/>
          <w:szCs w:val="24"/>
          <w:lang w:val="sk-SK"/>
        </w:rPr>
        <w:t xml:space="preserve">   </w:t>
      </w:r>
      <w:r w:rsidRPr="00701E11" w:rsidR="00961DDB">
        <w:rPr>
          <w:rFonts w:ascii="Times New Roman" w:hAnsi="Times New Roman"/>
          <w:b/>
          <w:bCs/>
          <w:sz w:val="24"/>
          <w:szCs w:val="24"/>
          <w:lang w:val="sk-SK"/>
        </w:rPr>
        <w:t>Názov návrhu právneho predpisu:</w:t>
      </w:r>
      <w:r w:rsidRPr="00701E11" w:rsidR="00961DDB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701E11" w:rsidR="00CB2477">
        <w:rPr>
          <w:rFonts w:ascii="Times New Roman" w:hAnsi="Times New Roman"/>
          <w:sz w:val="24"/>
          <w:szCs w:val="24"/>
          <w:lang w:val="sk-SK"/>
        </w:rPr>
        <w:t xml:space="preserve">Návrh zákona, </w:t>
      </w:r>
      <w:r w:rsidRPr="00701E11" w:rsidR="006E6A9A">
        <w:rPr>
          <w:rFonts w:ascii="Times New Roman" w:hAnsi="Times New Roman"/>
          <w:sz w:val="24"/>
          <w:szCs w:val="24"/>
          <w:lang w:val="sk-SK"/>
        </w:rPr>
        <w:t xml:space="preserve">ktorým sa mení zákon č. 448/2008 Z. z. </w:t>
      </w:r>
      <w:r w:rsidRPr="00701E11" w:rsidR="006E6A9A">
        <w:rPr>
          <w:rFonts w:ascii="Times New Roman" w:hAnsi="Times New Roman"/>
          <w:bCs/>
          <w:sz w:val="24"/>
          <w:szCs w:val="24"/>
          <w:shd w:val="clear" w:color="auto" w:fill="FFFFFF"/>
          <w:lang w:val="sk-SK"/>
        </w:rPr>
        <w:t>o sociálnych službách a o zmene a doplnení zákona č. 455/1991 Zb. o živnostenskom podnikaní (živnostenský zákon) v znení neskorších predpisov</w:t>
      </w:r>
      <w:r w:rsidRPr="00701E11" w:rsidR="006E6A9A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701E11" w:rsidP="00133B6D">
      <w:pPr>
        <w:tabs>
          <w:tab w:val="left" w:pos="426"/>
        </w:tabs>
        <w:bidi w:val="0"/>
        <w:spacing w:line="240" w:lineRule="auto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01E11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701E11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701E11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701E11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701E11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701E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701E11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701E11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701E11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701E11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701E11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01E11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01E11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701E11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01E11" w:rsidP="000D01B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701E11" w:rsidR="000D01BA">
        <w:rPr>
          <w:rFonts w:ascii="Times New Roman" w:hAnsi="Times New Roman"/>
          <w:sz w:val="24"/>
          <w:szCs w:val="24"/>
          <w:lang w:val="sk-SK"/>
        </w:rPr>
        <w:t xml:space="preserve">      B</w:t>
      </w:r>
      <w:r w:rsidRPr="00701E11">
        <w:rPr>
          <w:rFonts w:ascii="Times New Roman" w:hAnsi="Times New Roman"/>
          <w:sz w:val="24"/>
          <w:szCs w:val="24"/>
          <w:lang w:val="sk-SK"/>
        </w:rPr>
        <w:t>ezpredmetné </w:t>
      </w:r>
    </w:p>
    <w:p w:rsidR="00961DDB" w:rsidRPr="00701E11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701E11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701E11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701E11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701E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701E11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551D2C" w:rsidRPr="00701E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551D2C" w:rsidRPr="00701E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1E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1E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1E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1E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1E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1E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1E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1E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1E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1E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1E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1E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1E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1E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1E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1E11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0153CB" w:rsidRPr="00701E11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701E11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AA471A" w:rsidRPr="00701E11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F378AD" w:rsidRPr="00701E11" w:rsidP="00AA471A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</w:rPr>
      </w:pPr>
    </w:p>
    <w:p w:rsidR="0047737C" w:rsidRPr="00701E11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2C" w:rsidRPr="00701E11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01E11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551D2C" w:rsidRPr="00701E11" w:rsidP="00551D2C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751"/>
        <w:gridCol w:w="1875"/>
        <w:gridCol w:w="1875"/>
        <w:gridCol w:w="187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01E11" w:rsidP="006E6A9A">
            <w:pPr>
              <w:tabs>
                <w:tab w:val="left" w:pos="426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  <w:r w:rsidRPr="00701E11" w:rsidR="006E6A9A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Návrh zákona, ktorým sa mení zákon č. 448/2008 Z. z. </w:t>
            </w:r>
            <w:r w:rsidRPr="00701E11" w:rsidR="006E6A9A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sk-SK"/>
              </w:rPr>
              <w:t>o sociálnych službách a o zmene a doplnení zákona č. 455/1991 Zb. o živnostenskom podnikaní (živnostenský zákon) v znení neskorších predpisov</w:t>
            </w:r>
            <w:r w:rsidRPr="00701E11" w:rsidR="006E6A9A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551D2C" w:rsidRPr="00701E11" w:rsidP="00F866F7">
            <w:pPr>
              <w:bidi w:val="0"/>
              <w:spacing w:after="0" w:line="240" w:lineRule="auto"/>
              <w:ind w:left="360" w:hanging="36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 w:rsidR="006E6A9A">
              <w:rPr>
                <w:rFonts w:ascii="Times" w:hAnsi="Times" w:cs="Times"/>
                <w:sz w:val="20"/>
                <w:szCs w:val="20"/>
                <w:lang w:val="sk-SK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701E11" w:rsidP="00692A5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701E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701E11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701E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01E11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01E11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01E11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01E11">
              <w:rPr>
                <w:rFonts w:ascii="Times New Roman" w:hAnsi="Times New Roman"/>
                <w:bCs/>
                <w:sz w:val="20"/>
                <w:szCs w:val="20"/>
                <w:lang w:val="sk-SK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01E11" w:rsidP="00692A58">
            <w:pPr>
              <w:bidi w:val="0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01E11">
              <w:rPr>
                <w:rFonts w:ascii="Times New Roman" w:hAnsi="Times New Roman"/>
                <w:sz w:val="20"/>
                <w:szCs w:val="20"/>
                <w:lang w:val="sk-SK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74356" w:rsidRPr="00701E11" w:rsidP="003B484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01E11" w:rsidR="006E6A9A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Náš právny systém v súčasnosti </w:t>
            </w:r>
            <w:r w:rsidRPr="00701E11" w:rsidR="00F866F7">
              <w:rPr>
                <w:rFonts w:ascii="Times New Roman" w:hAnsi="Times New Roman"/>
                <w:sz w:val="20"/>
                <w:szCs w:val="20"/>
                <w:lang w:val="sk-SK"/>
              </w:rPr>
              <w:t>má vytvoren</w:t>
            </w:r>
            <w:r w:rsidRPr="00701E11" w:rsidR="006E6A9A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é riešenie situácie, </w:t>
            </w:r>
            <w:r w:rsidRPr="00701E11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kedy žiadateľ o </w:t>
            </w:r>
            <w:r w:rsidRPr="00701E11">
              <w:rPr>
                <w:rFonts w:ascii="Times New Roman" w:hAnsi="Times New Roman"/>
                <w:sz w:val="20"/>
                <w:szCs w:val="20"/>
                <w:shd w:val="clear" w:color="auto" w:fill="FFFFFF"/>
                <w:lang w:val="sk-SK"/>
              </w:rPr>
              <w:t xml:space="preserve">zabezpečenie poskytovania sociálnej služby </w:t>
            </w:r>
            <w:r w:rsidRPr="00701E11">
              <w:rPr>
                <w:rFonts w:ascii="Times New Roman" w:hAnsi="Times New Roman"/>
                <w:sz w:val="20"/>
                <w:szCs w:val="20"/>
                <w:lang w:val="sk-SK"/>
              </w:rPr>
              <w:t>vzhľadom na svoj zlý zdravotný stav (napr. pokročilá artr</w:t>
            </w:r>
            <w:r w:rsidRPr="00701E11" w:rsidR="00390F0D">
              <w:rPr>
                <w:rFonts w:ascii="Times New Roman" w:hAnsi="Times New Roman"/>
                <w:sz w:val="20"/>
                <w:szCs w:val="20"/>
                <w:lang w:val="sk-SK"/>
              </w:rPr>
              <w:t>itída</w:t>
            </w:r>
            <w:r w:rsidRPr="00701E11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</w:t>
            </w:r>
            <w:r w:rsidRPr="00701E11" w:rsidR="00390F0D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prstov </w:t>
            </w:r>
            <w:r w:rsidRPr="00701E11">
              <w:rPr>
                <w:rFonts w:ascii="Times New Roman" w:hAnsi="Times New Roman"/>
                <w:sz w:val="20"/>
                <w:szCs w:val="20"/>
                <w:lang w:val="sk-SK"/>
              </w:rPr>
              <w:t>horných končatín) nie je schopný vlastnoručne podpísať žiadnu listinu. Súčasné znenie zákona na tento prípad pamätá, zákon explicitne umožňuje inej osobe podpísať taxatívne vymedzený okruh listín, avšak medzi týmito listinami v súčasnosti chýba čestné vyhlásenie na podpisovanie majetkových pomerov na účely  platenia úhrady</w:t>
            </w:r>
            <w:r w:rsidRPr="00701E11">
              <w:rPr>
                <w:rFonts w:ascii="Times New Roman" w:hAnsi="Times New Roman"/>
                <w:sz w:val="20"/>
                <w:szCs w:val="20"/>
                <w:shd w:val="clear" w:color="auto" w:fill="FFFFFF"/>
                <w:lang w:val="sk-SK"/>
              </w:rPr>
              <w:t xml:space="preserve"> za sociálnu službu</w:t>
            </w:r>
            <w:r w:rsidRPr="00701E11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. </w:t>
            </w:r>
          </w:p>
          <w:p w:rsidR="00747E1F" w:rsidRPr="00701E11" w:rsidP="006E6A9A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01E11" w:rsidP="00074356">
            <w:pPr>
              <w:bidi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 w:rsidRPr="00701E11" w:rsidR="00074356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Návrhom sa rozširuje okruh úkonov, ktoré v mene žiadateľa, ktorý </w:t>
            </w:r>
            <w:r w:rsidRPr="00701E11" w:rsidR="00074356">
              <w:rPr>
                <w:rFonts w:ascii="Times New Roman" w:hAnsi="Times New Roman"/>
                <w:sz w:val="20"/>
                <w:szCs w:val="20"/>
                <w:shd w:val="clear" w:color="auto" w:fill="FFFFFF"/>
                <w:lang w:val="sk-SK"/>
              </w:rPr>
              <w:t xml:space="preserve">vzhľadom na svoj zdravotný stav nemôže sám podať žiadosť o posúdenie odkázanosti na sociálnu službu, môže vykonať iná fyzická osoba. Okruh týchto úkonov sa rozširuje o podpisovanie čestného vyhlásenia, ktorým sa preukazuje majetok na účely platenia úhrady za sociálnu službu.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551D2C" w:rsidRPr="00701E11" w:rsidP="00F2037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 w:rsidR="00074356">
              <w:rPr>
                <w:rFonts w:ascii="Times" w:hAnsi="Times" w:cs="Times"/>
                <w:sz w:val="20"/>
                <w:szCs w:val="20"/>
                <w:lang w:val="sk-SK"/>
              </w:rPr>
              <w:t>Žiadatelia o poskytnutie sociálnej služby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>Predpokladá sa prijatie/zmena vykonávacích predpisov?                          </w:t>
            </w:r>
            <w:r w:rsidRPr="00701E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   Áno            </w:t>
            </w:r>
            <w:r w:rsidRPr="00701E11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rozpočet verejnej správy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F7753E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701E11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701E11" w:rsidR="00F7753E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1E11" w:rsidR="00F7753E">
              <w:rPr>
                <w:rFonts w:ascii="Times" w:hAnsi="Times" w:cs="Times"/>
                <w:sz w:val="20"/>
                <w:szCs w:val="20"/>
                <w:lang w:val="sk-SK"/>
              </w:rPr>
              <w:t xml:space="preserve">  </w:t>
            </w:r>
            <w:r w:rsidRPr="00701E11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701E11" w:rsidR="00F20378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701E11" w:rsidR="00F20378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701E11" w:rsidR="00AA471A">
              <w:rPr>
                <w:rFonts w:ascii="Wingdings 2" w:hAnsi="Wingdings 2" w:cs="Times"/>
                <w:sz w:val="20"/>
                <w:szCs w:val="20"/>
                <w:lang w:val="sk-SK"/>
              </w:rPr>
              <w:t xml:space="preserve"> 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701E11" w:rsidR="00F20378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701E11" w:rsidR="00F20378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1E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701E11" w:rsidR="00F20378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701E11" w:rsidR="00F20378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701E11" w:rsidR="00F20378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701E11" w:rsidR="00F20378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>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podnikateľské prostredie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1E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1E11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1E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1E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 w:rsidR="00F20378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701E11" w:rsidR="00F20378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1E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1E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1E11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1E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258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> </w:t>
            </w:r>
            <w:r w:rsidRPr="00701E11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701E11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1E11" w:rsidR="006258CB">
              <w:rPr>
                <w:rFonts w:ascii="Times" w:hAnsi="Times" w:cs="Times"/>
                <w:sz w:val="20"/>
                <w:szCs w:val="20"/>
                <w:lang w:val="sk-SK"/>
              </w:rPr>
              <w:t xml:space="preserve">    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0153CB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>  </w:t>
            </w:r>
            <w:r w:rsidRPr="00701E11" w:rsidR="006258CB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1E11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 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1E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1E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1E11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1E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Vplyvy na služby pre občana z toho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701E11" w:rsidR="00F20378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701E11" w:rsidR="00F20378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AA471A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br/>
              <w:t> </w:t>
            </w:r>
            <w:r w:rsidRPr="00701E11" w:rsidR="00AA471A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  <w:r w:rsidRPr="00701E11" w:rsidR="00F20378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br/>
              <w:t xml:space="preserve">  </w:t>
            </w:r>
            <w:r w:rsidRPr="00701E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1E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1E11">
              <w:rPr>
                <w:rFonts w:ascii="Wingdings 2" w:hAnsi="Wingdings 2" w:cs="Times"/>
                <w:sz w:val="20"/>
                <w:szCs w:val="20"/>
                <w:lang w:val="sk-SK"/>
              </w:rPr>
              <w:t>S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  </w:t>
            </w:r>
            <w:r w:rsidRPr="00701E11">
              <w:rPr>
                <w:rFonts w:ascii="Wingdings 2" w:hAnsi="Wingdings 2" w:cs="Times"/>
                <w:sz w:val="20"/>
                <w:szCs w:val="20"/>
                <w:lang w:val="sk-SK"/>
              </w:rPr>
              <w:t>*</w:t>
            </w:r>
            <w:r w:rsidRPr="00701E11">
              <w:rPr>
                <w:rFonts w:ascii="Times" w:hAnsi="Times" w:cs="Times"/>
                <w:sz w:val="20"/>
                <w:szCs w:val="20"/>
                <w:lang w:val="sk-SK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551D2C" w:rsidRPr="00701E11" w:rsidP="00692A5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1E11" w:rsidR="00B2032E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</w:t>
            </w: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 xml:space="preserve">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34317" w:rsidRPr="00701E11" w:rsidP="00F866F7">
            <w:pPr>
              <w:bidi w:val="0"/>
              <w:spacing w:after="0" w:line="240" w:lineRule="auto"/>
              <w:ind w:left="720"/>
              <w:rPr>
                <w:rFonts w:ascii="Times New Roman" w:hAnsi="Times New Roman"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31DE2" w:rsidRPr="00701E11" w:rsidP="00C31DE2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F866F7" w:rsidRPr="00701E11" w:rsidP="007C3908">
            <w:pPr>
              <w:bidi w:val="0"/>
              <w:spacing w:after="0"/>
              <w:rPr>
                <w:rFonts w:ascii="Times" w:hAnsi="Times" w:cs="Times"/>
                <w:sz w:val="20"/>
                <w:szCs w:val="20"/>
                <w:lang w:val="sk-SK"/>
              </w:rPr>
            </w:pPr>
            <w:r w:rsidRPr="00701E11" w:rsidR="00074356">
              <w:rPr>
                <w:rFonts w:ascii="Times" w:hAnsi="Times" w:cs="Times"/>
                <w:sz w:val="20"/>
                <w:szCs w:val="20"/>
                <w:lang w:val="sk-SK"/>
              </w:rPr>
              <w:t>lucia_nicholsonova@nrsr.sk</w:t>
            </w:r>
            <w:r w:rsidRPr="00701E11" w:rsidR="007C3908">
              <w:rPr>
                <w:rFonts w:ascii="Times" w:hAnsi="Times" w:cs="Times"/>
                <w:sz w:val="20"/>
                <w:szCs w:val="20"/>
                <w:lang w:val="sk-SK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31DE2" w:rsidRPr="00701E11" w:rsidP="00C31DE2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31DE2" w:rsidRPr="00701E11" w:rsidP="00C31DE2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31DE2" w:rsidRPr="00701E11" w:rsidP="00C31DE2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/>
                <w:bCs/>
                <w:sz w:val="20"/>
                <w:szCs w:val="20"/>
                <w:lang w:val="sk-SK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31DE2" w:rsidRPr="00701E11" w:rsidP="00C31DE2">
            <w:pPr>
              <w:bidi w:val="0"/>
              <w:rPr>
                <w:rFonts w:ascii="Times" w:hAnsi="Times" w:cs="Times"/>
                <w:bCs/>
                <w:sz w:val="20"/>
                <w:szCs w:val="20"/>
                <w:lang w:val="sk-SK"/>
              </w:rPr>
            </w:pPr>
            <w:r w:rsidRPr="00701E11">
              <w:rPr>
                <w:rFonts w:ascii="Times" w:hAnsi="Times" w:cs="Times"/>
                <w:bCs/>
                <w:sz w:val="20"/>
                <w:szCs w:val="20"/>
                <w:lang w:val="sk-SK"/>
              </w:rPr>
              <w:t>Materiál nebol predmetom PPK</w:t>
            </w:r>
          </w:p>
        </w:tc>
      </w:tr>
    </w:tbl>
    <w:p w:rsidR="00551D2C" w:rsidRPr="00701E11" w:rsidP="0047737C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07A2"/>
    <w:multiLevelType w:val="hybridMultilevel"/>
    <w:tmpl w:val="2DD6C45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3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0153CB"/>
    <w:rsid w:val="00047966"/>
    <w:rsid w:val="00074356"/>
    <w:rsid w:val="000B2E04"/>
    <w:rsid w:val="000D01BA"/>
    <w:rsid w:val="00103D80"/>
    <w:rsid w:val="001066BB"/>
    <w:rsid w:val="00113283"/>
    <w:rsid w:val="00126482"/>
    <w:rsid w:val="00133B6D"/>
    <w:rsid w:val="00197276"/>
    <w:rsid w:val="001A3DDF"/>
    <w:rsid w:val="001B6C3E"/>
    <w:rsid w:val="002270FC"/>
    <w:rsid w:val="002527B8"/>
    <w:rsid w:val="00294928"/>
    <w:rsid w:val="002C07B8"/>
    <w:rsid w:val="003111CA"/>
    <w:rsid w:val="00354077"/>
    <w:rsid w:val="00363EF5"/>
    <w:rsid w:val="00390F0D"/>
    <w:rsid w:val="003A295D"/>
    <w:rsid w:val="003B484D"/>
    <w:rsid w:val="003D3CD5"/>
    <w:rsid w:val="0047737C"/>
    <w:rsid w:val="004C3411"/>
    <w:rsid w:val="005068C9"/>
    <w:rsid w:val="00551D2C"/>
    <w:rsid w:val="00584FFE"/>
    <w:rsid w:val="005B7011"/>
    <w:rsid w:val="00613621"/>
    <w:rsid w:val="006258CB"/>
    <w:rsid w:val="00692A58"/>
    <w:rsid w:val="00695750"/>
    <w:rsid w:val="006B2D7A"/>
    <w:rsid w:val="006E6A9A"/>
    <w:rsid w:val="00701E11"/>
    <w:rsid w:val="00734317"/>
    <w:rsid w:val="00746DDA"/>
    <w:rsid w:val="00747E1F"/>
    <w:rsid w:val="007C3908"/>
    <w:rsid w:val="007C4BD9"/>
    <w:rsid w:val="008003CB"/>
    <w:rsid w:val="00824000"/>
    <w:rsid w:val="00841FA5"/>
    <w:rsid w:val="00875C2E"/>
    <w:rsid w:val="00921D3D"/>
    <w:rsid w:val="00922803"/>
    <w:rsid w:val="00961DDB"/>
    <w:rsid w:val="009775DB"/>
    <w:rsid w:val="00AA471A"/>
    <w:rsid w:val="00AB2B3D"/>
    <w:rsid w:val="00AE359E"/>
    <w:rsid w:val="00B2032E"/>
    <w:rsid w:val="00B47BCE"/>
    <w:rsid w:val="00B7653D"/>
    <w:rsid w:val="00BB44C3"/>
    <w:rsid w:val="00BD61B2"/>
    <w:rsid w:val="00BD6A46"/>
    <w:rsid w:val="00C31DE2"/>
    <w:rsid w:val="00C33769"/>
    <w:rsid w:val="00C60A22"/>
    <w:rsid w:val="00CB2477"/>
    <w:rsid w:val="00D314FF"/>
    <w:rsid w:val="00DB75EA"/>
    <w:rsid w:val="00DC5240"/>
    <w:rsid w:val="00E526B5"/>
    <w:rsid w:val="00E5752D"/>
    <w:rsid w:val="00EB31F3"/>
    <w:rsid w:val="00EB4ABD"/>
    <w:rsid w:val="00F20378"/>
    <w:rsid w:val="00F378AD"/>
    <w:rsid w:val="00F7753E"/>
    <w:rsid w:val="00F8393A"/>
    <w:rsid w:val="00F866F7"/>
    <w:rsid w:val="00F90A6E"/>
    <w:rsid w:val="00F94C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aliases w:val="webb"/>
    <w:basedOn w:val="Normal"/>
    <w:uiPriority w:val="99"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  <w:style w:type="character" w:styleId="Hyperlink">
    <w:name w:val="Hyperlink"/>
    <w:basedOn w:val="DefaultParagraphFont"/>
    <w:uiPriority w:val="99"/>
    <w:rsid w:val="00551D2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01E11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1E11"/>
    <w:rPr>
      <w:rFonts w:ascii="Segoe UI" w:hAnsi="Segoe UI" w:cs="Segoe UI"/>
      <w:sz w:val="18"/>
      <w:szCs w:val="18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3</Pages>
  <Words>566</Words>
  <Characters>3232</Characters>
  <Application>Microsoft Office Word</Application>
  <DocSecurity>0</DocSecurity>
  <Lines>0</Lines>
  <Paragraphs>0</Paragraphs>
  <ScaleCrop>false</ScaleCrop>
  <Company>Kancelaria NR SR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uzivatel</cp:lastModifiedBy>
  <cp:revision>7</cp:revision>
  <cp:lastPrinted>2017-09-22T11:38:00Z</cp:lastPrinted>
  <dcterms:created xsi:type="dcterms:W3CDTF">2017-09-20T23:12:00Z</dcterms:created>
  <dcterms:modified xsi:type="dcterms:W3CDTF">2017-09-22T11:41:00Z</dcterms:modified>
</cp:coreProperties>
</file>