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33D6" w:rsidP="0042699B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033D6" w:rsidRPr="0016147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16147F">
        <w:rPr>
          <w:rFonts w:ascii="Times New Roman" w:hAnsi="Times New Roman"/>
          <w:b/>
          <w:bCs/>
          <w:color w:val="000000"/>
        </w:rPr>
        <w:t>VYHLÁŠKA</w:t>
      </w:r>
    </w:p>
    <w:p w:rsidR="005033D6" w:rsidRPr="0016147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5033D6" w:rsidRPr="0016147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16147F">
        <w:rPr>
          <w:rFonts w:ascii="Times New Roman" w:hAnsi="Times New Roman"/>
          <w:b/>
          <w:bCs/>
          <w:color w:val="000000"/>
        </w:rPr>
        <w:t>Ministerstva zdravotníctva Slovenskej republiky</w:t>
      </w:r>
    </w:p>
    <w:p w:rsidR="005033D6" w:rsidRPr="0016147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5033D6" w:rsidRPr="0016147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color w:val="000000"/>
        </w:rPr>
      </w:pPr>
      <w:r w:rsidRPr="0016147F">
        <w:rPr>
          <w:rFonts w:ascii="Times New Roman" w:hAnsi="Times New Roman"/>
          <w:color w:val="000000"/>
        </w:rPr>
        <w:t>z     .................   20</w:t>
      </w:r>
      <w:r w:rsidRPr="0016147F" w:rsidR="00445ACE">
        <w:rPr>
          <w:rFonts w:ascii="Times New Roman" w:hAnsi="Times New Roman"/>
          <w:color w:val="000000"/>
        </w:rPr>
        <w:t>1</w:t>
      </w:r>
      <w:r w:rsidR="001508F6">
        <w:rPr>
          <w:rFonts w:ascii="Times New Roman" w:hAnsi="Times New Roman"/>
          <w:color w:val="000000"/>
        </w:rPr>
        <w:t>7</w:t>
      </w:r>
      <w:r w:rsidRPr="0016147F">
        <w:rPr>
          <w:rFonts w:ascii="Times New Roman" w:hAnsi="Times New Roman"/>
          <w:color w:val="000000"/>
        </w:rPr>
        <w:t>,</w:t>
      </w:r>
    </w:p>
    <w:p w:rsidR="005033D6" w:rsidRPr="0016147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color w:val="000000"/>
        </w:rPr>
      </w:pPr>
    </w:p>
    <w:p w:rsidR="005033D6" w:rsidRPr="0016147F" w:rsidP="001508F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1508F6" w:rsidR="001508F6">
        <w:rPr>
          <w:rFonts w:ascii="Times New Roman" w:hAnsi="Times New Roman"/>
          <w:b/>
          <w:bCs/>
          <w:color w:val="000000"/>
        </w:rPr>
        <w:t xml:space="preserve">o </w:t>
      </w:r>
      <w:r w:rsidR="001D4D89">
        <w:rPr>
          <w:rFonts w:ascii="Times New Roman" w:hAnsi="Times New Roman"/>
          <w:b/>
          <w:bCs/>
          <w:color w:val="000000"/>
        </w:rPr>
        <w:t>kritériách pre stanovenie, či majú</w:t>
      </w:r>
      <w:r w:rsidRPr="001508F6" w:rsidR="001508F6">
        <w:rPr>
          <w:rFonts w:ascii="Times New Roman" w:hAnsi="Times New Roman"/>
          <w:b/>
          <w:bCs/>
          <w:color w:val="000000"/>
        </w:rPr>
        <w:t xml:space="preserve"> posudzovaný liek</w:t>
      </w:r>
      <w:r w:rsidRPr="001D4D89" w:rsidR="001D4D89">
        <w:rPr>
          <w:rFonts w:ascii="Times New Roman" w:hAnsi="Times New Roman"/>
        </w:rPr>
        <w:t xml:space="preserve"> </w:t>
      </w:r>
      <w:r w:rsidRPr="001D4D89" w:rsidR="001D4D89">
        <w:rPr>
          <w:rFonts w:ascii="Times New Roman" w:hAnsi="Times New Roman"/>
          <w:b/>
          <w:bCs/>
          <w:color w:val="000000"/>
        </w:rPr>
        <w:t>alebo spoločne posudzované lieky</w:t>
      </w:r>
      <w:r w:rsidRPr="001508F6" w:rsidR="001508F6">
        <w:rPr>
          <w:rFonts w:ascii="Times New Roman" w:hAnsi="Times New Roman"/>
          <w:b/>
          <w:bCs/>
          <w:color w:val="000000"/>
        </w:rPr>
        <w:t xml:space="preserve"> významný vplyv na prostriedky verejného zdravotného poistenia a o podrobnostiach výpočtu koeficientu prahovej hodnoty</w:t>
      </w:r>
    </w:p>
    <w:p w:rsidR="005033D6" w:rsidRPr="0016147F">
      <w:pPr>
        <w:bidi w:val="0"/>
        <w:rPr>
          <w:rFonts w:ascii="Times New Roman" w:hAnsi="Times New Roman"/>
          <w:b/>
          <w:bCs/>
          <w:color w:val="000000"/>
        </w:rPr>
      </w:pPr>
    </w:p>
    <w:p w:rsidR="001508F6" w:rsidP="00093F4F">
      <w:pPr>
        <w:bidi w:val="0"/>
        <w:ind w:left="360" w:firstLine="348"/>
        <w:jc w:val="both"/>
        <w:rPr>
          <w:rFonts w:ascii="Times New Roman" w:hAnsi="Times New Roman"/>
          <w:color w:val="000000"/>
        </w:rPr>
      </w:pPr>
      <w:bookmarkStart w:id="0" w:name="OLE_LINK1"/>
      <w:bookmarkStart w:id="1" w:name="OLE_LINK2"/>
      <w:r w:rsidRPr="001508F6">
        <w:rPr>
          <w:rFonts w:ascii="Times New Roman" w:hAnsi="Times New Roman"/>
          <w:color w:val="000000"/>
        </w:rPr>
        <w:t>Ministerstvo zdravotníctva Slovenskej republiky podľa § 7 ods. 2 a 3 zákona č. 363/2011 Z. z. o rozsahu a podmienkach úhrady liekov, zdravotníckych pomôcok a dietetických potravín na základe verejného zdravotného poistenia a o zmene a doplnení niektorých zákonov v znení neskorších predpisov (ďalej len "zákon") ustanovuje:</w:t>
      </w:r>
    </w:p>
    <w:p w:rsidR="00093F4F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093F4F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1508F6" w:rsidRPr="001508F6" w:rsidP="00093F4F">
      <w:pPr>
        <w:bidi w:val="0"/>
        <w:ind w:left="360"/>
        <w:jc w:val="center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§ 1</w:t>
      </w:r>
    </w:p>
    <w:p w:rsidR="001508F6" w:rsidRPr="00290BAA" w:rsidP="00093F4F">
      <w:pPr>
        <w:bidi w:val="0"/>
        <w:ind w:left="3900"/>
        <w:jc w:val="both"/>
        <w:rPr>
          <w:rFonts w:ascii="Times New Roman" w:hAnsi="Times New Roman"/>
          <w:b/>
          <w:color w:val="000000"/>
        </w:rPr>
      </w:pPr>
      <w:r w:rsidRPr="00290BAA">
        <w:rPr>
          <w:rFonts w:ascii="Times New Roman" w:hAnsi="Times New Roman"/>
          <w:b/>
          <w:color w:val="000000"/>
        </w:rPr>
        <w:t>Predmet úpravy</w:t>
      </w:r>
    </w:p>
    <w:p w:rsidR="00093F4F" w:rsidRPr="001508F6" w:rsidP="00093F4F">
      <w:pPr>
        <w:bidi w:val="0"/>
        <w:ind w:left="3900"/>
        <w:jc w:val="both"/>
        <w:rPr>
          <w:rFonts w:ascii="Times New Roman" w:hAnsi="Times New Roman"/>
          <w:color w:val="000000"/>
        </w:rPr>
      </w:pP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Predmetom tejto vyhlášky je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a)</w:t>
      </w:r>
      <w:r w:rsidR="001D4D89">
        <w:rPr>
          <w:rFonts w:ascii="Times New Roman" w:hAnsi="Times New Roman"/>
          <w:color w:val="000000"/>
        </w:rPr>
        <w:tab/>
        <w:t>kritérium pre stanovenie, či majú</w:t>
      </w:r>
      <w:r w:rsidRPr="001508F6">
        <w:rPr>
          <w:rFonts w:ascii="Times New Roman" w:hAnsi="Times New Roman"/>
          <w:color w:val="000000"/>
        </w:rPr>
        <w:t xml:space="preserve"> posudzovaný liek</w:t>
      </w:r>
      <w:r w:rsidRPr="001D4D89" w:rsidR="001D4D89">
        <w:rPr>
          <w:rFonts w:ascii="Times New Roman" w:hAnsi="Times New Roman"/>
        </w:rPr>
        <w:t xml:space="preserve"> </w:t>
      </w:r>
      <w:r w:rsidRPr="001D4D89" w:rsidR="001D4D89">
        <w:rPr>
          <w:rFonts w:ascii="Times New Roman" w:hAnsi="Times New Roman"/>
          <w:color w:val="000000"/>
        </w:rPr>
        <w:t>alebo spoločne posudzované lieky</w:t>
      </w:r>
      <w:r w:rsidRPr="001508F6">
        <w:rPr>
          <w:rFonts w:ascii="Times New Roman" w:hAnsi="Times New Roman"/>
          <w:color w:val="000000"/>
        </w:rPr>
        <w:t xml:space="preserve"> významný vplyv na prostriedky verejného zdravotného poistenia,</w:t>
      </w:r>
    </w:p>
    <w:p w:rsidR="00093F4F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 w:rsidR="001508F6">
        <w:rPr>
          <w:rFonts w:ascii="Times New Roman" w:hAnsi="Times New Roman"/>
          <w:color w:val="000000"/>
        </w:rPr>
        <w:t>b)</w:t>
        <w:tab/>
        <w:t>spôsob výpočtu koeficientu prahovej hodnoty posudzovaného lieku konaniach o veciach kategorizácie</w:t>
      </w:r>
      <w:r>
        <w:rPr>
          <w:rFonts w:ascii="Times New Roman" w:hAnsi="Times New Roman"/>
          <w:color w:val="000000"/>
        </w:rPr>
        <w:t>.</w:t>
      </w:r>
    </w:p>
    <w:p w:rsidR="00093F4F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1508F6" w:rsidRPr="001508F6" w:rsidP="00093F4F">
      <w:pPr>
        <w:bidi w:val="0"/>
        <w:ind w:left="360"/>
        <w:jc w:val="center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§ 2</w:t>
      </w:r>
    </w:p>
    <w:p w:rsidR="001508F6" w:rsidRPr="00290BAA" w:rsidP="00093F4F">
      <w:pPr>
        <w:bidi w:val="0"/>
        <w:ind w:left="360"/>
        <w:jc w:val="center"/>
        <w:rPr>
          <w:rFonts w:ascii="Times New Roman" w:hAnsi="Times New Roman"/>
          <w:b/>
          <w:color w:val="000000"/>
        </w:rPr>
      </w:pPr>
      <w:r w:rsidR="001D4D89">
        <w:rPr>
          <w:rFonts w:ascii="Times New Roman" w:hAnsi="Times New Roman"/>
          <w:b/>
          <w:color w:val="000000"/>
        </w:rPr>
        <w:t>Kritériá pre stanovenie, či majú</w:t>
      </w:r>
      <w:r w:rsidRPr="00290BAA">
        <w:rPr>
          <w:rFonts w:ascii="Times New Roman" w:hAnsi="Times New Roman"/>
          <w:b/>
          <w:color w:val="000000"/>
        </w:rPr>
        <w:t xml:space="preserve"> posudzovaný liek </w:t>
      </w:r>
      <w:r w:rsidRPr="001D4D89" w:rsidR="001D4D89">
        <w:rPr>
          <w:rFonts w:ascii="Times New Roman" w:hAnsi="Times New Roman"/>
          <w:b/>
          <w:color w:val="000000"/>
        </w:rPr>
        <w:t>alebo spoločne posudzované lieky</w:t>
      </w:r>
      <w:r w:rsidR="001D4D89">
        <w:rPr>
          <w:rFonts w:ascii="Times New Roman" w:hAnsi="Times New Roman"/>
          <w:b/>
          <w:color w:val="000000"/>
        </w:rPr>
        <w:t xml:space="preserve"> </w:t>
      </w:r>
      <w:r w:rsidRPr="00290BAA">
        <w:rPr>
          <w:rFonts w:ascii="Times New Roman" w:hAnsi="Times New Roman"/>
          <w:b/>
          <w:color w:val="000000"/>
        </w:rPr>
        <w:t>významný vplyv na prostriedky verejného zdravotného poistenia</w:t>
      </w:r>
    </w:p>
    <w:p w:rsidR="00093F4F" w:rsidRPr="001508F6" w:rsidP="00093F4F">
      <w:pPr>
        <w:bidi w:val="0"/>
        <w:ind w:left="360"/>
        <w:jc w:val="center"/>
        <w:rPr>
          <w:rFonts w:ascii="Times New Roman" w:hAnsi="Times New Roman"/>
          <w:color w:val="000000"/>
        </w:rPr>
      </w:pP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 xml:space="preserve">Posudzovaný liek  </w:t>
      </w:r>
      <w:r w:rsidRPr="001D4D89" w:rsidR="001D4D89">
        <w:rPr>
          <w:rFonts w:ascii="Times New Roman" w:hAnsi="Times New Roman"/>
          <w:color w:val="000000"/>
        </w:rPr>
        <w:t>alebo spoločne posudzované lieky</w:t>
      </w:r>
      <w:r w:rsidR="001D4D89">
        <w:rPr>
          <w:rFonts w:ascii="Times New Roman" w:hAnsi="Times New Roman"/>
          <w:color w:val="000000"/>
        </w:rPr>
        <w:t xml:space="preserve"> majú</w:t>
      </w:r>
      <w:r w:rsidRPr="001508F6">
        <w:rPr>
          <w:rFonts w:ascii="Times New Roman" w:hAnsi="Times New Roman"/>
          <w:color w:val="000000"/>
        </w:rPr>
        <w:t xml:space="preserve"> významný vplyv na prostriedky verejného zdravotného poistenia ak je celková suma úhrad zdravotných poisťovní za </w:t>
      </w:r>
      <w:r w:rsidR="001015C5">
        <w:rPr>
          <w:rFonts w:ascii="Times New Roman" w:hAnsi="Times New Roman"/>
          <w:color w:val="000000"/>
        </w:rPr>
        <w:t xml:space="preserve">posudzovaný liek </w:t>
      </w:r>
      <w:r w:rsidRPr="001D4D89" w:rsidR="001D4D89">
        <w:rPr>
          <w:rFonts w:ascii="Times New Roman" w:hAnsi="Times New Roman"/>
          <w:color w:val="000000"/>
        </w:rPr>
        <w:t xml:space="preserve">alebo </w:t>
      </w:r>
      <w:r w:rsidR="001D4D89">
        <w:rPr>
          <w:rFonts w:ascii="Times New Roman" w:hAnsi="Times New Roman"/>
          <w:color w:val="000000"/>
        </w:rPr>
        <w:t xml:space="preserve">za </w:t>
      </w:r>
      <w:r w:rsidRPr="001D4D89" w:rsidR="001D4D89">
        <w:rPr>
          <w:rFonts w:ascii="Times New Roman" w:hAnsi="Times New Roman"/>
          <w:color w:val="000000"/>
        </w:rPr>
        <w:t>spoločne posudzované lieky</w:t>
      </w:r>
      <w:r w:rsidR="001D4D89">
        <w:rPr>
          <w:rFonts w:ascii="Times New Roman" w:hAnsi="Times New Roman"/>
          <w:color w:val="000000"/>
        </w:rPr>
        <w:t xml:space="preserve"> </w:t>
      </w:r>
      <w:r w:rsidR="001015C5">
        <w:rPr>
          <w:rFonts w:ascii="Times New Roman" w:hAnsi="Times New Roman"/>
          <w:color w:val="000000"/>
        </w:rPr>
        <w:t xml:space="preserve">za </w:t>
      </w:r>
      <w:r w:rsidRPr="001508F6">
        <w:rPr>
          <w:rFonts w:ascii="Times New Roman" w:hAnsi="Times New Roman"/>
          <w:color w:val="000000"/>
        </w:rPr>
        <w:t>obdobie 12 mesiacov najmenej 1 500 000 eur.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1508F6" w:rsidRPr="001508F6" w:rsidP="00093F4F">
      <w:pPr>
        <w:bidi w:val="0"/>
        <w:ind w:left="360"/>
        <w:jc w:val="center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§ 3</w:t>
      </w:r>
    </w:p>
    <w:p w:rsidR="001508F6" w:rsidRPr="00290BAA" w:rsidP="00093F4F">
      <w:pPr>
        <w:bidi w:val="0"/>
        <w:ind w:left="360"/>
        <w:jc w:val="center"/>
        <w:rPr>
          <w:rFonts w:ascii="Times New Roman" w:hAnsi="Times New Roman"/>
          <w:b/>
          <w:color w:val="000000"/>
        </w:rPr>
      </w:pPr>
      <w:r w:rsidRPr="00290BAA">
        <w:rPr>
          <w:rFonts w:ascii="Times New Roman" w:hAnsi="Times New Roman"/>
          <w:b/>
          <w:color w:val="000000"/>
        </w:rPr>
        <w:t>Hodnotiace kritériá pre výpočet koeficientu prahovej hodnoty a hodnoty pre príslušné  hodnotenie</w:t>
      </w:r>
    </w:p>
    <w:p w:rsidR="00093F4F" w:rsidRPr="001508F6" w:rsidP="00093F4F">
      <w:pPr>
        <w:bidi w:val="0"/>
        <w:ind w:left="360"/>
        <w:jc w:val="center"/>
        <w:rPr>
          <w:rFonts w:ascii="Times New Roman" w:hAnsi="Times New Roman"/>
          <w:color w:val="000000"/>
        </w:rPr>
      </w:pP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(1)</w:t>
        <w:tab/>
        <w:t>Kritériom pre výpočet koeficientu prahovej hodnoty posudzovaného lieku</w:t>
      </w:r>
      <w:r w:rsidRPr="001D4D89" w:rsidR="001D4D89">
        <w:rPr>
          <w:rFonts w:ascii="Times New Roman" w:hAnsi="Times New Roman"/>
        </w:rPr>
        <w:t xml:space="preserve"> </w:t>
      </w:r>
      <w:r w:rsidRPr="001508F6">
        <w:rPr>
          <w:rFonts w:ascii="Times New Roman" w:hAnsi="Times New Roman"/>
          <w:color w:val="000000"/>
        </w:rPr>
        <w:t>je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a)</w:t>
        <w:tab/>
        <w:t>klinický prínos preukázaný rozhodnutím príslušného orgánu členského štátu</w:t>
      </w:r>
      <w:r w:rsidR="00F80D81">
        <w:rPr>
          <w:rFonts w:ascii="Times New Roman" w:hAnsi="Times New Roman"/>
          <w:color w:val="000000"/>
        </w:rPr>
        <w:t xml:space="preserve"> Európskej únie uvedeného v prílohe</w:t>
      </w:r>
      <w:r w:rsidR="001C5355">
        <w:rPr>
          <w:rFonts w:ascii="Times New Roman" w:hAnsi="Times New Roman"/>
          <w:color w:val="000000"/>
        </w:rPr>
        <w:t>,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b)</w:t>
        <w:tab/>
        <w:t>dostupnosť iných medicínskych intervencií uhrádzaných na základe verejného zdravotného poistenia v požadovanej indikácii,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c)</w:t>
        <w:tab/>
        <w:t>vplyv na prostriedky verejného zdravotného poistenia,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d)</w:t>
        <w:tab/>
        <w:t>počet získaných rokov života štandardizovanej kvality, pri použití posudzovaného lieku oproti získaným rokom života štandardizovanej kvality pri použití medicínskej alternatívy,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e)</w:t>
        <w:tab/>
        <w:t>skutočnosť, či ide o liek zaradený do registra spoločenstva pre lieky na ojedinelé ochorenia podľa osobitného predpisu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2"/>
      </w:r>
      <w:r w:rsidR="00093F4F">
        <w:rPr>
          <w:rFonts w:ascii="Times New Roman" w:hAnsi="Times New Roman"/>
          <w:color w:val="000000"/>
          <w:vertAlign w:val="superscript"/>
        </w:rPr>
        <w:t>)</w:t>
      </w:r>
      <w:r w:rsidRPr="001508F6">
        <w:rPr>
          <w:rFonts w:ascii="Times New Roman" w:hAnsi="Times New Roman"/>
          <w:color w:val="000000"/>
        </w:rPr>
        <w:t>.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(2)</w:t>
        <w:tab/>
        <w:t>Podrobnosti o kritériách pre výpočet koeficientu prahovej hodnoty a hodnoty pre príslušné kritériá sú uvedené v prílohe č. 1.</w:t>
      </w:r>
    </w:p>
    <w:p w:rsidR="001508F6" w:rsidRPr="001508F6" w:rsidP="00093F4F">
      <w:pPr>
        <w:bidi w:val="0"/>
        <w:ind w:left="360"/>
        <w:jc w:val="center"/>
        <w:rPr>
          <w:rFonts w:ascii="Times New Roman" w:hAnsi="Times New Roman"/>
          <w:color w:val="000000"/>
        </w:rPr>
      </w:pPr>
      <w:r w:rsidRPr="001508F6">
        <w:rPr>
          <w:rFonts w:ascii="Times New Roman" w:hAnsi="Times New Roman"/>
          <w:color w:val="000000"/>
        </w:rPr>
        <w:t>§ 4</w:t>
      </w:r>
    </w:p>
    <w:p w:rsidR="001508F6" w:rsidRPr="00290BAA" w:rsidP="00093F4F">
      <w:pPr>
        <w:bidi w:val="0"/>
        <w:ind w:left="360"/>
        <w:jc w:val="center"/>
        <w:rPr>
          <w:rFonts w:ascii="Times New Roman" w:hAnsi="Times New Roman"/>
          <w:b/>
          <w:color w:val="000000"/>
        </w:rPr>
      </w:pPr>
      <w:r w:rsidRPr="00290BAA">
        <w:rPr>
          <w:rFonts w:ascii="Times New Roman" w:hAnsi="Times New Roman"/>
          <w:b/>
          <w:color w:val="000000"/>
        </w:rPr>
        <w:t>Spôsob výpočtu koeficientu prahovej hodnoty posudzovaného lieku</w:t>
      </w:r>
    </w:p>
    <w:p w:rsidR="001508F6" w:rsidRPr="001508F6" w:rsidP="001508F6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EE4AF2" w:rsidRPr="0016147F" w:rsidP="001508F6">
      <w:pPr>
        <w:bidi w:val="0"/>
        <w:ind w:left="360"/>
        <w:jc w:val="both"/>
        <w:rPr>
          <w:rFonts w:ascii="Times New Roman" w:hAnsi="Times New Roman"/>
          <w:i/>
          <w:color w:val="000000"/>
        </w:rPr>
      </w:pPr>
      <w:r w:rsidRPr="001508F6" w:rsidR="001508F6">
        <w:rPr>
          <w:rFonts w:ascii="Times New Roman" w:hAnsi="Times New Roman"/>
          <w:color w:val="000000"/>
        </w:rPr>
        <w:t>(1)</w:t>
        <w:tab/>
        <w:t xml:space="preserve">Základný koeficient prahovej hodnoty je rovný 35. Koeficient prahovej hodnoty posudzovaného lieku je súčtom základného koeficientu prahovej hodnoty a bodov z hodnotenia posudzovaného lieku podľa jednotlivých kritérií uvedených v § 3. </w:t>
      </w:r>
      <w:r w:rsidRPr="0016147F" w:rsidR="005033D6">
        <w:rPr>
          <w:rFonts w:ascii="Times New Roman" w:hAnsi="Times New Roman"/>
          <w:color w:val="000000"/>
        </w:rPr>
        <w:t xml:space="preserve"> </w:t>
      </w:r>
    </w:p>
    <w:p w:rsidR="005033D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bookmarkEnd w:id="0"/>
      <w:bookmarkEnd w:id="1"/>
    </w:p>
    <w:p w:rsidR="00290B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033D6" w:rsidRPr="00E777B0" w:rsidP="00093F4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093F4F">
        <w:rPr>
          <w:rFonts w:ascii="Times New Roman" w:hAnsi="Times New Roman"/>
        </w:rPr>
        <w:t xml:space="preserve">     </w:t>
      </w:r>
      <w:r w:rsidRPr="00E777B0">
        <w:rPr>
          <w:rFonts w:ascii="Times New Roman" w:hAnsi="Times New Roman"/>
        </w:rPr>
        <w:t>§</w:t>
      </w:r>
      <w:r w:rsidR="00E777B0">
        <w:rPr>
          <w:rFonts w:ascii="Times New Roman" w:hAnsi="Times New Roman"/>
        </w:rPr>
        <w:t> </w:t>
      </w:r>
      <w:r w:rsidR="00093F4F">
        <w:rPr>
          <w:rFonts w:ascii="Times New Roman" w:hAnsi="Times New Roman"/>
        </w:rPr>
        <w:t>5</w:t>
      </w:r>
    </w:p>
    <w:p w:rsidR="005033D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5033D6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Táto vyhláška nadobúda účinnosť </w:t>
      </w:r>
      <w:r w:rsidR="00466A59">
        <w:rPr>
          <w:rFonts w:ascii="Times New Roman" w:hAnsi="Times New Roman"/>
        </w:rPr>
        <w:t>1. januára</w:t>
      </w:r>
      <w:r>
        <w:rPr>
          <w:rFonts w:ascii="Times New Roman" w:hAnsi="Times New Roman"/>
        </w:rPr>
        <w:t xml:space="preserve"> 20</w:t>
      </w:r>
      <w:r w:rsidR="000C4108">
        <w:rPr>
          <w:rFonts w:ascii="Times New Roman" w:hAnsi="Times New Roman"/>
        </w:rPr>
        <w:t>1</w:t>
      </w:r>
      <w:r w:rsidR="00466A59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</w:p>
    <w:p w:rsidR="005033D6">
      <w:pPr>
        <w:bidi w:val="0"/>
        <w:ind w:left="360"/>
        <w:jc w:val="both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0C4108">
      <w:pPr>
        <w:bidi w:val="0"/>
        <w:rPr>
          <w:rFonts w:ascii="Times New Roman" w:hAnsi="Times New Roman"/>
        </w:rPr>
      </w:pPr>
    </w:p>
    <w:p w:rsidR="000C4108">
      <w:pPr>
        <w:bidi w:val="0"/>
        <w:rPr>
          <w:rFonts w:ascii="Times New Roman" w:hAnsi="Times New Roman"/>
        </w:rPr>
      </w:pPr>
    </w:p>
    <w:p w:rsidR="000C4108">
      <w:pPr>
        <w:bidi w:val="0"/>
        <w:rPr>
          <w:rFonts w:ascii="Times New Roman" w:hAnsi="Times New Roman"/>
        </w:rPr>
      </w:pPr>
    </w:p>
    <w:p w:rsidR="005033D6">
      <w:pPr>
        <w:bidi w:val="0"/>
        <w:jc w:val="center"/>
        <w:rPr>
          <w:rFonts w:ascii="Times New Roman" w:hAnsi="Times New Roman"/>
          <w:b/>
        </w:rPr>
      </w:pPr>
      <w:r w:rsidR="00093F4F">
        <w:rPr>
          <w:rFonts w:ascii="Times New Roman" w:hAnsi="Times New Roman"/>
          <w:b/>
        </w:rPr>
        <w:t>Tomáš</w:t>
      </w:r>
      <w:r w:rsidR="000C4108">
        <w:rPr>
          <w:rFonts w:ascii="Times New Roman" w:hAnsi="Times New Roman"/>
          <w:b/>
        </w:rPr>
        <w:t xml:space="preserve"> </w:t>
      </w:r>
      <w:r w:rsidR="00093F4F">
        <w:rPr>
          <w:rFonts w:ascii="Times New Roman" w:hAnsi="Times New Roman"/>
          <w:b/>
        </w:rPr>
        <w:t>Drucker</w:t>
      </w:r>
    </w:p>
    <w:p w:rsidR="005033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minister</w:t>
      </w: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  <w:r w:rsidR="006E613B">
        <w:rPr>
          <w:rFonts w:ascii="Times New Roman" w:hAnsi="Times New Roman"/>
          <w:sz w:val="22"/>
          <w:szCs w:val="22"/>
        </w:rPr>
        <w:br w:type="page"/>
      </w:r>
      <w:r w:rsidRPr="00255C45">
        <w:rPr>
          <w:rFonts w:ascii="Times New Roman" w:hAnsi="Times New Roman"/>
          <w:sz w:val="22"/>
          <w:szCs w:val="22"/>
        </w:rPr>
        <w:t xml:space="preserve">Príloha k vyhláške č. </w:t>
      </w:r>
      <w:r w:rsidR="00466A59">
        <w:rPr>
          <w:rFonts w:ascii="Times New Roman" w:hAnsi="Times New Roman"/>
          <w:sz w:val="22"/>
          <w:szCs w:val="22"/>
        </w:rPr>
        <w:t>......</w:t>
      </w:r>
      <w:r w:rsidRPr="00255C45">
        <w:rPr>
          <w:rFonts w:ascii="Times New Roman" w:hAnsi="Times New Roman"/>
          <w:color w:val="000000"/>
          <w:sz w:val="22"/>
          <w:szCs w:val="22"/>
        </w:rPr>
        <w:t>/201</w:t>
      </w:r>
      <w:r w:rsidR="00093F4F">
        <w:rPr>
          <w:rFonts w:ascii="Times New Roman" w:hAnsi="Times New Roman"/>
          <w:color w:val="000000"/>
          <w:sz w:val="22"/>
          <w:szCs w:val="22"/>
        </w:rPr>
        <w:t>7</w:t>
      </w:r>
      <w:r w:rsidRPr="00255C45">
        <w:rPr>
          <w:rFonts w:ascii="Times New Roman" w:hAnsi="Times New Roman"/>
          <w:color w:val="000000"/>
          <w:sz w:val="22"/>
          <w:szCs w:val="22"/>
        </w:rPr>
        <w:t xml:space="preserve"> Z. z.</w:t>
      </w:r>
    </w:p>
    <w:p w:rsidR="00290BAA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290BAA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290BAA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290BAA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290BAA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093F4F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093F4F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95pt;height:316.85pt;mso-position-horizontal-relative:char;mso-position-vertical-relative:line">
            <v:imagedata r:id="rId6" o:title=""/>
            <o:diagram v:ext="edit"/>
            <w10:wrap type="none"/>
            <w10:anchorlock/>
          </v:shape>
        </w:pict>
      </w:r>
    </w:p>
    <w:sectPr>
      <w:footerReference w:type="even" r:id="rId7"/>
      <w:footerReference w:type="default" r:id="rId8"/>
      <w:pgSz w:w="11906" w:h="16838"/>
      <w:pgMar w:top="1258" w:right="1417" w:bottom="1438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0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C410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0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7546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0C4108" w:rsidRPr="00093F4F">
    <w:pPr>
      <w:pStyle w:val="Footer"/>
      <w:bidi w:val="0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6D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656D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466A59">
        <w:rPr>
          <w:rStyle w:val="FootnoteReference"/>
          <w:rFonts w:ascii="Times New Roman" w:hAnsi="Times New Roman"/>
        </w:rPr>
        <w:footnoteRef/>
      </w:r>
      <w:r w:rsidR="00466A59">
        <w:rPr>
          <w:rFonts w:ascii="Times New Roman" w:hAnsi="Times New Roman"/>
        </w:rPr>
        <w:t xml:space="preserve"> </w:t>
      </w:r>
      <w:r w:rsidRPr="00466A59" w:rsidR="00466A59">
        <w:rPr>
          <w:rFonts w:ascii="Times New Roman" w:hAnsi="Times New Roman"/>
        </w:rPr>
        <w:t>Nariadenie Európskeho parlamentu a Rady (ES) č. 141/2000 zo 16. decembra 1999 o liekoch na ojedinelé ochorenia (Mimoriadne vydanie Ú. v. EÚ, kap. 15/zv. 5; Ú. v. ES L 18, 22.1. 2000) v znení neskorších predpisov</w:t>
      </w:r>
      <w:r w:rsidR="00466A59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264"/>
    <w:multiLevelType w:val="hybridMultilevel"/>
    <w:tmpl w:val="EC5ABC5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57723AC"/>
    <w:multiLevelType w:val="hybridMultilevel"/>
    <w:tmpl w:val="CEB20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411ADB"/>
    <w:multiLevelType w:val="hybridMultilevel"/>
    <w:tmpl w:val="0B4EFD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3">
    <w:nsid w:val="2CBD1462"/>
    <w:multiLevelType w:val="hybridMultilevel"/>
    <w:tmpl w:val="6B1A2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2DD92BD9"/>
    <w:multiLevelType w:val="hybridMultilevel"/>
    <w:tmpl w:val="C1B00B3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E4AF2"/>
    <w:rsid w:val="00071C00"/>
    <w:rsid w:val="0007546C"/>
    <w:rsid w:val="00093F4F"/>
    <w:rsid w:val="000C4108"/>
    <w:rsid w:val="001015C5"/>
    <w:rsid w:val="00114682"/>
    <w:rsid w:val="00117BD9"/>
    <w:rsid w:val="00132E2D"/>
    <w:rsid w:val="001508F6"/>
    <w:rsid w:val="0016147F"/>
    <w:rsid w:val="001A389D"/>
    <w:rsid w:val="001C5355"/>
    <w:rsid w:val="001D4D89"/>
    <w:rsid w:val="002516FB"/>
    <w:rsid w:val="00255C45"/>
    <w:rsid w:val="00290BAA"/>
    <w:rsid w:val="0042699B"/>
    <w:rsid w:val="00443213"/>
    <w:rsid w:val="00445ACE"/>
    <w:rsid w:val="00466A59"/>
    <w:rsid w:val="004A6616"/>
    <w:rsid w:val="005033D6"/>
    <w:rsid w:val="005552F5"/>
    <w:rsid w:val="00577DA2"/>
    <w:rsid w:val="005B33AD"/>
    <w:rsid w:val="006053EB"/>
    <w:rsid w:val="00626E96"/>
    <w:rsid w:val="00664362"/>
    <w:rsid w:val="006E613B"/>
    <w:rsid w:val="00727BAF"/>
    <w:rsid w:val="007A42F1"/>
    <w:rsid w:val="008B4BBF"/>
    <w:rsid w:val="009B55D5"/>
    <w:rsid w:val="00A179E8"/>
    <w:rsid w:val="00AE1272"/>
    <w:rsid w:val="00B215F8"/>
    <w:rsid w:val="00B3344D"/>
    <w:rsid w:val="00B64DFA"/>
    <w:rsid w:val="00C0279A"/>
    <w:rsid w:val="00D732D6"/>
    <w:rsid w:val="00D756D9"/>
    <w:rsid w:val="00DD6604"/>
    <w:rsid w:val="00E67E58"/>
    <w:rsid w:val="00E777B0"/>
    <w:rsid w:val="00EE4AF2"/>
    <w:rsid w:val="00F656DA"/>
    <w:rsid w:val="00F80D81"/>
    <w:rsid w:val="00FC37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708"/>
      <w:jc w:val="both"/>
    </w:pPr>
    <w:rPr>
      <w:color w:val="FF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240"/>
      </w:tabs>
      <w:jc w:val="both"/>
    </w:pPr>
    <w:rPr>
      <w:color w:val="FF0000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2CF3-1BED-463D-B865-5228A043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410</Words>
  <Characters>2340</Characters>
  <Application>Microsoft Office Word</Application>
  <DocSecurity>0</DocSecurity>
  <Lines>0</Lines>
  <Paragraphs>0</Paragraphs>
  <ScaleCrop>false</ScaleCrop>
  <Company>MZ SR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Zuzana Podobová</dc:creator>
  <cp:lastModifiedBy>Vincová Veronika</cp:lastModifiedBy>
  <cp:revision>2</cp:revision>
  <cp:lastPrinted>2008-07-30T07:22:00Z</cp:lastPrinted>
  <dcterms:created xsi:type="dcterms:W3CDTF">2017-09-21T10:16:00Z</dcterms:created>
  <dcterms:modified xsi:type="dcterms:W3CDTF">2017-09-21T10:16:00Z</dcterms:modified>
</cp:coreProperties>
</file>