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 w:hint="default"/>
          <w:b/>
          <w:sz w:val="24"/>
          <w:szCs w:val="24"/>
        </w:rPr>
        <w:t>Vyhláš</w:t>
      </w:r>
      <w:r w:rsidRPr="00C24E30">
        <w:rPr>
          <w:rFonts w:ascii="Times New Roman" w:hAnsi="Times New Roman" w:hint="default"/>
          <w:b/>
          <w:sz w:val="24"/>
          <w:szCs w:val="24"/>
        </w:rPr>
        <w:t>ka</w:t>
      </w: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o spôsobe určenia maximálnej výšky úhrady zdravotnej poisťovne za jednotku referenčnej dávky dietetickej potraviny</w:t>
      </w:r>
    </w:p>
    <w:p w:rsidR="00051227" w:rsidRPr="009C73B3" w:rsidP="00051227">
      <w:pPr>
        <w:pStyle w:val="1podsek"/>
        <w:numPr>
          <w:numId w:val="0"/>
        </w:numPr>
        <w:tabs>
          <w:tab w:val="clear" w:pos="360"/>
        </w:tabs>
        <w:bidi w:val="0"/>
        <w:ind w:firstLine="0"/>
        <w:jc w:val="left"/>
        <w:rPr>
          <w:rFonts w:ascii="Times New Roman" w:hAnsi="Times New Roman"/>
          <w:b/>
        </w:rPr>
      </w:pPr>
    </w:p>
    <w:p w:rsidR="00051227" w:rsidRPr="009C73B3" w:rsidP="00051227">
      <w:pPr>
        <w:pStyle w:val="1podsek"/>
        <w:numPr>
          <w:numId w:val="0"/>
        </w:numPr>
        <w:tabs>
          <w:tab w:val="clear" w:pos="360"/>
        </w:tabs>
        <w:bidi w:val="0"/>
        <w:ind w:firstLine="0"/>
        <w:rPr>
          <w:rFonts w:ascii="Times New Roman" w:hAnsi="Times New Roman"/>
        </w:rPr>
      </w:pPr>
    </w:p>
    <w:p w:rsidR="00051227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>VYHLÁŠKA</w:t>
      </w:r>
    </w:p>
    <w:p w:rsidR="00F97AA2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F97AA2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z ........../2017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Ministerstva zdravotníctva Slovenskej republiky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>o spôsobe určenia maximálnej výšky úhrady zdravotnej poisťovne za jednotku referenčnej dávky dietetickej potraviny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Ministerstvo zdravotníctva Slovenskej republiky podľa </w:t>
      </w:r>
      <w:hyperlink r:id="rId7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§ 57 ods. 5 zákona č. 363/2011 Z. z.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 o rozsahu a podmienkach úhrady liekov, zdravotníckych pomôcok a dietetických potravín na základe verejného zdravotného poistenia a o zmene a doplnení niektorých zákonov (ďalej len "zákon") ustanovuje: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§ 1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Predmet úpravy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Predmetom tejto vyhlášky je ustanoviť spôsob určenia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a) jednotky referenčnej dávky dietetickej potraviny,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b) maximálnej výšky úhrady zdravotnej poisťovne za jednotku referenčnej dávky dietetickej potraviny (ďalej len "úhrada poisťovne").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§ 2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Vymedzenie pojmov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Na účely tejto vyhlášky sa rozumie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a) referenčnou dietetickou potravinou dietetická potravina, ktorá má v podskupine dietetických potravín najnižšiu maximálnu cenu dietetickej potraviny vo verejnej lekárni prepočítanú na počet jednotiek referenčnej dávky dietetickej potraviny (ďalej len "referenčná cena dietetickej potraviny"),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b) úhradovou skupinou jedna alebo viac podskupín dietetických potravín podľa rozdelenia uvedeného v </w:t>
      </w:r>
      <w:hyperlink r:id="rId8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prílohe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,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c) referenčnou dietetickou potravinou úhradovej skupiny dietetická potravina, ktorá má v úhradovej skupine najnižšiu maximálnu cenu dietetickej potraviny vo verejnej lekárni prepočítanú na počet jednotiek referenčnej dávky dietetickej potraviny (ďalej len "referenčná cena úhradovej skupiny").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§ 3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(1) Jednotka referenčnej dávky dietetickej potraviny sa určuje ako primeraná jednotka hmotnosti alebo objemu dietetickej potraviny alebo jej zložky vyjadrujúca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a) energetickú hodnotu dietetickej potraviny alebo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b) množstvo živiny v dietetickej potravine.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§ 4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(1) Úhrada poisťovne pre podskupinu dietetických potravín sa určuje v rovnakej výške pre všetky indikácie, pri ktorých je liečba dietetickými potravinami zaradenými v tejto podskupine uhrádzaná na základe verejného zdravotného poistenia.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(2) V odôvodnených prípadoch možno pre indikáciu osobitne vymedzenú v indikačnom obmedzení určiť aj inú úhradu poisťovne.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(3) Úhrada poisťovne sa určuje v eurách s presnosťou na dve desatinné miesta.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§ 5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(1) Pre všetky podskupiny dietetických potravín, ktoré tvoria úhradovú skupinu, sa úhrada poisťovne určuje v rovnakej výške (ďalej len "skupinová úhrada").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(2) Skupinová úhrada sa určuje vo výške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a) násobku referenčnej ceny úhradovej skupiny a koeficientu uvedeného v </w:t>
      </w:r>
      <w:hyperlink r:id="rId8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prílohe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 alebo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b) podľa § 6, ak ide o úhradovú skupinu, ktorá v </w:t>
      </w:r>
      <w:hyperlink r:id="rId8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prílohe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 nemá uvedený koeficient.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§ 6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(1) Úhrada poisťovne alebo skupinová úhrada sa vypočíta zo základu vo výške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a) úhrady poisťovne pre podskupinu dietetických potravín, ktorá zodpovedá porovnateľnej terapeutickej intervencii,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>b) primerane prepočítaných nákladov zdravotnej poisťovne na liečbu inými dostupnými medicínskymi intervenciami.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(2) Pri výpočte základu podľa </w:t>
      </w:r>
      <w:hyperlink r:id="rId9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odseku 1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 sa zohľadňujú porovnateľné medicínske intervencie, ktoré sú štandardne používané v podmienkach bežnej terapeutickej praxe, pričom môžu byť plne alebo čiastočne nahradené použitím dietetických potravín zaradených v posudzovanej podskupine dietetických potravín alebo úhradovej skupine. Na mechanizmus účinku sa neprihliada. Ak to vyplýva z charakteru porovnávaných intervencií, rozdiely v dĺžke liečby sa zohľadnia primerane.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(3) Základ podľa </w:t>
      </w:r>
      <w:hyperlink r:id="rId9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odseku 1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 možno zvýšiť alebo znížiť maximálne o 20% podľa týchto kritérií: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a) v klinických štúdiách preukázané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1. zníženie výskytu závažných komplikácií choroby najmenej o 20%,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2. významné upravenie merateľných parametrov, ktoré majú vzťah k patogenéze choroby,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3. významné zvýšenie kvality života,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b) zníženie celkového počtu podávaných dietetických potravín pacientovi.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(4) Pri určovaní skupinovej úhrady sa posúdenie kritérií podľa </w:t>
      </w:r>
      <w:hyperlink r:id="rId9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odseku 3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 vykonáva pre podskupinu dietetických potravín</w:t>
      </w:r>
      <w:r w:rsidR="007B4987">
        <w:rPr>
          <w:rFonts w:ascii="Times New Roman" w:hAnsi="Times New Roman"/>
          <w:sz w:val="24"/>
          <w:szCs w:val="24"/>
          <w:lang w:eastAsia="sk-SK"/>
        </w:rPr>
        <w:t>,</w:t>
      </w:r>
      <w:r w:rsidRPr="00C24E30">
        <w:rPr>
          <w:rFonts w:ascii="Times New Roman" w:hAnsi="Times New Roman"/>
          <w:sz w:val="24"/>
          <w:szCs w:val="24"/>
          <w:lang w:eastAsia="sk-SK"/>
        </w:rPr>
        <w:t xml:space="preserve"> v ktorej je zaradená referenčná dietetická potravina úhradovej skupiny.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§ 7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>Úhrada poisťovne pre špecifickú podskupinu dietetických potravín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(1) Špecifickou podskupinou sa na účely tejto vyhlášky rozumie podskupina dietetických potravín, v ktorej sú zaradené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a) dietetické potraviny určené na liečbu choroby, ktorej prevalencia v Slovenskej republike je nižšia ako 1:100 000,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>b) dietetické potraviny, ktoré sú indikované na nutričné ovplyvnenie patologického procesu pre definovanú skupinu pacientov nezávisle na stave výživy pacienta.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(2) Úhrada poisťovne pre špecifickú podskupinu dietetických potravín sa podľa </w:t>
      </w:r>
      <w:hyperlink r:id="rId10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odseku 1 písm. a) a b)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, určí tak, aby maximálny doplatok poistenca prepočítaný na mesiac liečby alebo cyklus liečby kratší ako jeden mesiac referenčnou dietetickou potravinou neprevýšil 5% z priemernej mesačnej mzdy zamestnanca v hospodárstve Slovenskej republiky zistenej Štatistickým úradom Slovenskej republiky za kalendárny rok, ktorý dva roky predchádza kalendárnemu roku, v ktorom sa určuje úhrada. 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(3) Na určovanie úhrady poisťovne pre špecifickú podskupinu dietetických potravín sa primerane vzťahujú ustanovenia </w:t>
      </w:r>
      <w:hyperlink r:id="rId11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 xml:space="preserve">§ 5 až 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6.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§ 8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Prehodnotenie úhrad poisťovne a skupinových úhrad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(1) Prehodnotenie úhrad poisťovne a skupinových úhrad (ďalej len "prehodnotenie úhrad") sa vykonáva tak, aby rozhodnutia nadobudli vykonateľnosť k prvému dňu kalendárneho štvrťroka.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(2) Prehodnotenie úhrad sa vykonáva podľa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a) </w:t>
      </w:r>
      <w:hyperlink r:id="rId12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 xml:space="preserve">§ 5 až 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7 primerane,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b) </w:t>
      </w:r>
      <w:hyperlink r:id="rId13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odseku 3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, ak ide o podskupinu dietetických potravín, alebo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c) </w:t>
      </w:r>
      <w:hyperlink r:id="rId13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odseku 4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, ak ide o podskupiny dietetických potravín, ktoré tvoria úhradovú skupinu.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(3) Ak sa zmenila referenčná cena dietetickej potraviny, úhrada poisťovne pre podskupinu sa určí tak, aby podiel maximálnej výšky doplatku poistenca za referenčnú dietetickú potravinu a maximálnej ceny referenčnej dietetickej potraviny vo verejnej lekárni zostal nezmenený.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(4) Ak sa zmenila referenčná cena úhradovej skupiny, skupinová úhrada sa určí tak, aby podiel maximálnej výšky doplatku poistenca za referenčnú dietetickú potravinu úhradovej skupiny a maximálnej ceny referenčnej dietetickej potraviny úhradovej skupiny vo verejnej lekárni zostal nezmenený.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(5) Pri prehodnotení úhrad podľa </w:t>
      </w:r>
      <w:hyperlink r:id="rId13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odsekov 3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 a </w:t>
      </w:r>
      <w:hyperlink r:id="rId13" w:history="1">
        <w:r w:rsidRPr="00C24E30">
          <w:rPr>
            <w:rFonts w:ascii="Times New Roman" w:hAnsi="Times New Roman"/>
            <w:sz w:val="24"/>
            <w:szCs w:val="24"/>
            <w:lang w:eastAsia="sk-SK"/>
          </w:rPr>
          <w:t>4</w:t>
        </w:r>
      </w:hyperlink>
      <w:r w:rsidRPr="00C24E30">
        <w:rPr>
          <w:rFonts w:ascii="Times New Roman" w:hAnsi="Times New Roman"/>
          <w:sz w:val="24"/>
          <w:szCs w:val="24"/>
          <w:lang w:eastAsia="sk-SK"/>
        </w:rPr>
        <w:t xml:space="preserve"> sa prihliada na podiel maximálnej výšky doplatku poistenca za dietetickú potravinu a maximálnu cenu dietetickej potraviny vo verejnej lekárni určených k prvému dňu prechádzajúceho kalendárneho štvrťroka.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§ 9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Spoločné ustanovenia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(1) Úhrada poisťovne pre podskupinu dietetických potravín sa určí tak, aby neprevýšila referenčnú cenu dietetickej potraviny.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ab/>
        <w:t xml:space="preserve">(2) Skupinová úhrada pre úhradovú skupinu sa určí tak, aby neprevýšila referenčnú cenu úhradovej skupiny.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§ 10 </w:t>
      </w:r>
    </w:p>
    <w:p w:rsidR="00051227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246F4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246F4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246F4">
        <w:rPr>
          <w:rFonts w:ascii="Times New Roman" w:hAnsi="Times New Roman"/>
          <w:sz w:val="24"/>
          <w:szCs w:val="24"/>
          <w:lang w:eastAsia="sk-SK"/>
        </w:rPr>
        <w:t>Táto vyhláška nadobúda účinnosť 1. januára 2018.</w:t>
      </w:r>
    </w:p>
    <w:p w:rsidR="00051227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229F7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229F7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229F7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229F7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B229F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>Tomáš Drucker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>minister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229F7">
      <w:pPr>
        <w:bidi w:val="0"/>
        <w:rPr>
          <w:rFonts w:ascii="Times New Roman" w:hAnsi="Times New Roman"/>
          <w:b/>
          <w:bCs/>
          <w:sz w:val="18"/>
          <w:szCs w:val="18"/>
          <w:lang w:eastAsia="sk-SK"/>
        </w:rPr>
      </w:pPr>
      <w:r>
        <w:rPr>
          <w:rFonts w:ascii="Times New Roman" w:hAnsi="Times New Roman"/>
          <w:b/>
          <w:bCs/>
          <w:sz w:val="18"/>
          <w:szCs w:val="18"/>
          <w:lang w:eastAsia="sk-SK"/>
        </w:rPr>
        <w:br w:type="page"/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  <w:lang w:eastAsia="sk-SK"/>
        </w:rPr>
      </w:pPr>
      <w:r w:rsidRPr="00C24E30">
        <w:rPr>
          <w:rFonts w:ascii="Times New Roman" w:hAnsi="Times New Roman"/>
          <w:b/>
          <w:bCs/>
          <w:sz w:val="18"/>
          <w:szCs w:val="18"/>
          <w:lang w:eastAsia="sk-SK"/>
        </w:rPr>
        <w:t xml:space="preserve">Príloha 1 </w:t>
      </w:r>
    </w:p>
    <w:p w:rsidR="00051227" w:rsidRPr="00C24E30" w:rsidP="0005122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sk-SK"/>
        </w:rPr>
      </w:pPr>
    </w:p>
    <w:tbl>
      <w:tblPr>
        <w:tblStyle w:val="TableNormal"/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033"/>
        <w:gridCol w:w="843"/>
        <w:gridCol w:w="5478"/>
        <w:gridCol w:w="791"/>
        <w:gridCol w:w="842"/>
      </w:tblGrid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b/>
                <w:sz w:val="16"/>
                <w:szCs w:val="16"/>
                <w:lang w:eastAsia="sk-SK"/>
              </w:rPr>
              <w:t>Úhradová skupina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b/>
                <w:sz w:val="16"/>
                <w:szCs w:val="16"/>
                <w:lang w:eastAsia="sk-SK"/>
              </w:rPr>
              <w:t>Podskupina dietetických</w:t>
            </w:r>
          </w:p>
          <w:p w:rsidR="00051227" w:rsidRPr="00C24E30" w:rsidP="002B4B78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b/>
                <w:sz w:val="16"/>
                <w:szCs w:val="16"/>
                <w:lang w:eastAsia="sk-SK"/>
              </w:rPr>
              <w:t>potravín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b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b/>
                <w:sz w:val="16"/>
                <w:szCs w:val="16"/>
                <w:lang w:eastAsia="sk-SK"/>
              </w:rPr>
              <w:t>Koeficient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V06CAA0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Štandardná výživa bez fenylalanínu do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V06CAB0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Tekutá štandardná výživa bez fenylalanínu do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p.o.sol.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Štandardná výživa bez fenylalanínu od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Štandardná výživa bez fenylalanínu od troch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V06CAA6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Štandardná výživa bez fenylalanínu od ôsmich rokov veku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V06CAA7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Štandardná výživa bez fenylalanínu od deviatich rokov veku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V06CAA8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Štandardná výživa bez fenylalanínu od pätnástich rokov veku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V06CAA9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Štandardná výživa bez fenylalanínu v gravidite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V06CAC0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Doplnková výživa bez fenylalanínu v prášku od pol roka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Doplnková výživa bez fenylalanínu v prášku od jedného roku veku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V06CAC3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Doplnková výživa bez fenylalanínu v prášku od troch  rokov veku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V06CAC4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Doplnková výživa bez fenylalanínu v prášku od štyroch 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V06CAC8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Doplnková výživa bez fenylalanínu v prášku od  pätnástich rokov veku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V06CAD0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Tekutá doplnková výživa bez fenylalanínu od pol roka 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Tekutá doplnková výživa bez fenylalanínu od troch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Tekutá doplnková výživa bez fenylalanínu od štyroch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V06CAD6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Tekutá doplnková výživa bez fenylalanínu od ôsmich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V06CBA0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fenylalanínu a tyrozínu do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fenylalanínu a tyrozínu od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fenylalanínu a tyrozínu od šiestich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V06CBA6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fenylalanínu a tyrozínu od ôsmich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V06CBA8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fenylalanínu a tyrozínu od pätnástich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V06CBB0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leucínu, izoleucínu, valínu do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leucínu, izoleucínu, valínu od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leucínu, izoleucínu, valínu od šiestich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Výživa bez leucínu, izoleucínu, valínu od deviatich  rokov veku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Výživa bez leucínu, izoleucínu, valínu od pätnástich  rokov veku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V06CBC0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metionínu do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metionínu od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V06CBC5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metionínu od šiestich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V06CBC6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metionínu od ôsmich 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V06CBC8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metionínu od pätnástich 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V06CBD0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lyzínu a tryptofánu do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lyzínu a tryptofánu od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V06CBE0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leucínu do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leucínu od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V06CBE5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leucínu od šiestich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V06CBF0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izoleucínu, metionínu, treonínu, valínu do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V06CBF1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izoleucínu, metionínu, treonínu, valínu od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V06CBF5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izoleucínu, metionínu, treonínu, valínu od šiestich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V06CBF6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 izoleucínu, metionínu, treonínu, valínu  od ôsmich 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V06CBF8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bez izoleucínu, metionínu, treonínu, valínu  od pätnástich 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V06CCA0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Esenciálne AK, stopové prvky, vitamíny do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V06CCA1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Esenciálne AK, stopové prvky, vitamíny od jedného roku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V06CCA5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Esenciálne AK, stopové prvky, vitamíny od šiestich rokov veku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V06CCA6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Esenciálne AK, stopové prvky, vitamíny od ôsmich rokov veku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V06CCA8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Esenciálne AK, stopové prvky, vitamíny od pätnástich rokov veku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V06CDA2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Nízkoproteínové suroviny so zníženým obsahom fenylalanínu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0,9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V06CDA3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Nízkoproteínové nápoje v prášku so zníženým obsahom fenylalanínu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plv.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V06CDA4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Nízkoproteínové nápoje so zníženým obsahom fenylalanínu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sol.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V06CDB2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Nízkoproteínové  potraviny so zníženým obsahom fenylalanínu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do 150 g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0,70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V06CDB3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Nízkoproteínové  potraviny so zníženým obsahom fenylalanínu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nad 150 g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V06CDB4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Nízkoproteínové potraviny so zníženým obsahom fenylalanínu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nad 200 g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V06CDB5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Nízkoproteínové  potraviny so zníženým obsahom fenylalanínu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nad 400 g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V06CEA1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Bezlepkové potravinové suroviny - základné múky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0,9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V06CEA2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Bezlepkové potravinové suroviny - špeciálne múky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V06CEA3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Bezlepkové potravinové suroviny - špeciálne, iné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V06CEB1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Bezlepkové potraviny - chlieb, pečivo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0,70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V06CEB2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Bezlepkové potraviny - cestoviny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V06CEA4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Bezlepkové potravinové suroviny - doplnkové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0,30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V06CEB3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Bezlepkové potraviny - doplnkové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V06CEB4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Bezlepkové potraviny - doplnkové, polotovar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V06DFB1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Oligomérne mliečne prípravky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0,70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V06DFB2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Oligomérne mliečne prípravky s MCT tukmi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V06DFC1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 na báze aminokyselín pre dojčatá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0,70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V06DFC2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Výživa, na báze aminokyselín pre deti do troch rokov veku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plv.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V06DXA1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Ženské materské mlieko bez nákladov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0,90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V06DXA2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Ženské materské mlieko s nákladmi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V06EAA2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Polymérne diéty do 100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V06EAA3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Polymérne diéty do 150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V06EAA4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Polymérne diéty do 200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V06EAA5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Polymérne diéty do 240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V06EAB2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Polymérne diéty s vlákninou do 100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V06EAB3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Polymérne diéty s vlákninou do 150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V06EAB4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Polymérne diéty s vlákninou do 200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V06EBA2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Polymérne diéty pre deti do 100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V06EBA3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Polymérne diéty pre deti do 150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V06EBB3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Polymérne diéty s vlákninou pre deti do 150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V06EFB2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Diéty pre diabetikov s vlákninou do 100 kcal/100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sol.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V06EFB3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Diéty pre diabetikov s vlákninou do 150 kcal/100 ml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p.o. sol.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V06EGA4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Diéty pri renálnej insuficiencii bez vlákniny do 200 kcal/100 ml a obsahom bielkovín ≥ 7 g na 100 ml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V06EGB4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Diéty pri renálnej insuficiencii s vlákninou do 200 kcal/100 ml a  obsahom bielkovín ≥ 7 g na 100 ml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555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V06EGC4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Diéty pri renálnej insuficiencii s vlákninou do 200 kcal/100 ml a  obsahom bielkovín ≤ 5 g na 100 ml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V06EIA3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Imunomodulačné diéty s omega 3 MK, MUFA, MCT   do 150kcal/100 ml s vlákninou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1</w:t>
            </w:r>
          </w:p>
        </w:tc>
      </w:tr>
      <w:tr>
        <w:tblPrEx>
          <w:tblW w:w="0" w:type="auto"/>
          <w:tblInd w:w="7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V06EIA4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>Imunomodulačné diéty s omega 3 MK, MUFA, MCT  do 200kcal/100 ml s vlákninou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  <w:r w:rsidRPr="00C24E30">
              <w:rPr>
                <w:rFonts w:ascii="Times New Roman" w:hAnsi="Times New Roman"/>
                <w:sz w:val="16"/>
                <w:szCs w:val="16"/>
                <w:lang w:eastAsia="sk-SK"/>
              </w:rPr>
              <w:t xml:space="preserve">p.o. sol. 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51227" w:rsidRPr="00C24E30" w:rsidP="002B4B78">
            <w:pPr>
              <w:bidi w:val="0"/>
              <w:spacing w:line="240" w:lineRule="auto"/>
              <w:rPr>
                <w:rFonts w:ascii="Times New Roman" w:hAnsi="Times New Roman"/>
                <w:sz w:val="16"/>
                <w:szCs w:val="16"/>
                <w:lang w:eastAsia="sk-SK"/>
              </w:rPr>
            </w:pPr>
          </w:p>
        </w:tc>
      </w:tr>
    </w:tbl>
    <w:p w:rsidR="00FC4BCF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5483D"/>
    <w:multiLevelType w:val="hybridMultilevel"/>
    <w:tmpl w:val="EBC0A338"/>
    <w:lvl w:ilvl="0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4A41D1"/>
    <w:rsid w:val="00051227"/>
    <w:rsid w:val="000836BE"/>
    <w:rsid w:val="002B4B78"/>
    <w:rsid w:val="004A41D1"/>
    <w:rsid w:val="007B4987"/>
    <w:rsid w:val="009C73B3"/>
    <w:rsid w:val="00B229F7"/>
    <w:rsid w:val="00C24E30"/>
    <w:rsid w:val="00D246F4"/>
    <w:rsid w:val="00D40F8B"/>
    <w:rsid w:val="00F97AA2"/>
    <w:rsid w:val="00FC4B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22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podsek">
    <w:name w:val="1podsek"/>
    <w:basedOn w:val="ListParagraph"/>
    <w:qFormat/>
    <w:rsid w:val="00051227"/>
    <w:pPr>
      <w:numPr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05122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F97AA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7AA2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435/2011%20Z.z.%25238'&amp;ucin-k-dni='30.12.9999'" TargetMode="External" /><Relationship Id="rId11" Type="http://schemas.openxmlformats.org/officeDocument/2006/relationships/hyperlink" Target="aspi://module='ASPI'&amp;link='435/2011%20Z.z.%25235-7'&amp;ucin-k-dni='30.12.9999'" TargetMode="External" /><Relationship Id="rId12" Type="http://schemas.openxmlformats.org/officeDocument/2006/relationships/hyperlink" Target="aspi://module='ASPI'&amp;link='435/2011%20Z.z.%25235-8'&amp;ucin-k-dni='30.12.9999'" TargetMode="External" /><Relationship Id="rId13" Type="http://schemas.openxmlformats.org/officeDocument/2006/relationships/hyperlink" Target="aspi://module='ASPI'&amp;link='435/2011%20Z.z.%25239'&amp;ucin-k-dni='30.12.9999'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aspi://module='ASPI'&amp;link='363/2011%20Z.z.%25236'&amp;ucin-k-dni='30.12.9999'" TargetMode="External" /><Relationship Id="rId8" Type="http://schemas.openxmlformats.org/officeDocument/2006/relationships/hyperlink" Target="aspi://module='ASPI'&amp;link='435/2011%20Z.z.'&amp;ucin-k-dni='30.12.9999'" TargetMode="External" /><Relationship Id="rId9" Type="http://schemas.openxmlformats.org/officeDocument/2006/relationships/hyperlink" Target="aspi://module='ASPI'&amp;link='435/2011%20Z.z.%25237'&amp;ucin-k-dni='30.12.9999'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C5C7883-D759-422E-ACE0-E2234A020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869A5C0-7E18-43A3-8DD6-3E6F02712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1F7E5-5745-4174-B6F8-53811EA8CC0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2217</Words>
  <Characters>12638</Characters>
  <Application>Microsoft Office Word</Application>
  <DocSecurity>0</DocSecurity>
  <Lines>0</Lines>
  <Paragraphs>0</Paragraphs>
  <ScaleCrop>false</ScaleCrop>
  <Company>MZ SR</Company>
  <LinksUpToDate>false</LinksUpToDate>
  <CharactersWithSpaces>14826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Vincová Veronika</dc:creator>
  <cp:lastModifiedBy>Vincová Veronika</cp:lastModifiedBy>
  <cp:revision>2</cp:revision>
  <cp:lastPrinted>2017-08-10T09:30:00Z</cp:lastPrinted>
  <dcterms:created xsi:type="dcterms:W3CDTF">2017-09-21T10:16:00Z</dcterms:created>
  <dcterms:modified xsi:type="dcterms:W3CDTF">2017-09-21T10:16:00Z</dcterms:modified>
</cp:coreProperties>
</file>