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60F28" w:rsidRPr="00170210" w:rsidP="00A60F28">
      <w:pPr>
        <w:bidi w:val="0"/>
        <w:rPr>
          <w:rFonts w:ascii="Times New Roman" w:hAnsi="Times New Roman"/>
          <w:b/>
          <w:sz w:val="24"/>
          <w:szCs w:val="24"/>
        </w:rPr>
      </w:pPr>
    </w:p>
    <w:tbl>
      <w:tblPr>
        <w:tblStyle w:val="Mriekatabuky1"/>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60F28" w:rsidRPr="001D6025" w:rsidP="002B4B78">
            <w:pPr>
              <w:bidi w:val="0"/>
              <w:spacing w:after="0" w:line="240" w:lineRule="auto"/>
              <w:jc w:val="center"/>
              <w:rPr>
                <w:rFonts w:ascii="Times New Roman" w:hAnsi="Times New Roman"/>
                <w:b/>
                <w:sz w:val="24"/>
                <w:szCs w:val="24"/>
                <w:lang w:eastAsia="sk-SK"/>
              </w:rPr>
            </w:pPr>
            <w:r w:rsidRPr="001D6025">
              <w:rPr>
                <w:rFonts w:ascii="Times New Roman" w:hAnsi="Times New Roman"/>
                <w:b/>
                <w:sz w:val="24"/>
                <w:szCs w:val="24"/>
                <w:lang w:eastAsia="sk-SK"/>
              </w:rPr>
              <w:t xml:space="preserve">Analýza vplyvov na podnikateľské prostredie </w:t>
            </w:r>
          </w:p>
          <w:p w:rsidR="00A60F28" w:rsidRPr="001D6025" w:rsidP="002B4B78">
            <w:pPr>
              <w:bidi w:val="0"/>
              <w:spacing w:after="0" w:line="240" w:lineRule="auto"/>
              <w:jc w:val="center"/>
              <w:rPr>
                <w:rFonts w:ascii="Times New Roman" w:hAnsi="Times New Roman"/>
                <w:b/>
                <w:sz w:val="24"/>
                <w:szCs w:val="24"/>
                <w:lang w:eastAsia="sk-SK"/>
              </w:rPr>
            </w:pPr>
            <w:r w:rsidRPr="001D6025">
              <w:rPr>
                <w:rFonts w:ascii="Times New Roman" w:hAnsi="Times New Roman"/>
                <w:b/>
                <w:sz w:val="24"/>
                <w:szCs w:val="24"/>
                <w:lang w:eastAsia="sk-SK"/>
              </w:rPr>
              <w:t>(vrátane testu 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60F28" w:rsidRPr="001D6025" w:rsidP="002B4B78">
            <w:pPr>
              <w:bidi w:val="0"/>
              <w:spacing w:after="0" w:line="240" w:lineRule="auto"/>
              <w:rPr>
                <w:rFonts w:ascii="Times New Roman" w:hAnsi="Times New Roman"/>
                <w:b/>
                <w:sz w:val="24"/>
                <w:szCs w:val="24"/>
                <w:lang w:eastAsia="sk-SK"/>
              </w:rPr>
            </w:pPr>
            <w:r w:rsidRPr="001D6025">
              <w:rPr>
                <w:rFonts w:ascii="Times New Roman" w:hAnsi="Times New Roman"/>
                <w:b/>
                <w:sz w:val="24"/>
                <w:szCs w:val="24"/>
                <w:lang w:eastAsia="sk-SK"/>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il"/>
                    <w:left w:val="nil"/>
                    <w:bottom w:val="nil"/>
                    <w:right w:val="nil"/>
                  </w:tcBorders>
                  <w:textDirection w:val="lrTb"/>
                  <w:vAlign w:val="top"/>
                </w:tcPr>
                <w:p w:rsidR="00A60F28" w:rsidRPr="001D6025" w:rsidP="002B4B78">
                  <w:pPr>
                    <w:bidi w:val="0"/>
                    <w:spacing w:after="0" w:line="240" w:lineRule="auto"/>
                    <w:jc w:val="center"/>
                    <w:rPr>
                      <w:rFonts w:ascii="Times New Roman" w:hAnsi="Times New Roman"/>
                      <w:sz w:val="24"/>
                      <w:szCs w:val="24"/>
                      <w:lang w:eastAsia="sk-SK"/>
                    </w:rPr>
                  </w:pPr>
                  <w:r w:rsidRPr="001D6025">
                    <w:rPr>
                      <w:rFonts w:ascii="Segoe UI Symbol" w:eastAsia="MS Mincho" w:hAnsi="Segoe UI Symbol" w:cs="Segoe UI Symbol" w:hint="default"/>
                      <w:sz w:val="24"/>
                      <w:szCs w:val="24"/>
                      <w:lang w:eastAsia="sk-SK"/>
                    </w:rPr>
                    <w:t>☐</w:t>
                  </w:r>
                </w:p>
              </w:tc>
              <w:tc>
                <w:tcPr>
                  <w:tcW w:w="8545" w:type="dxa"/>
                  <w:tcBorders>
                    <w:top w:val="nil"/>
                    <w:left w:val="nil"/>
                    <w:bottom w:val="nil"/>
                    <w:right w:val="nil"/>
                  </w:tcBorders>
                  <w:textDirection w:val="lrTb"/>
                  <w:vAlign w:val="top"/>
                </w:tcPr>
                <w:p w:rsidR="00A60F28" w:rsidRPr="001D6025" w:rsidP="002B4B78">
                  <w:pPr>
                    <w:bidi w:val="0"/>
                    <w:spacing w:after="0" w:line="240" w:lineRule="auto"/>
                    <w:rPr>
                      <w:rFonts w:ascii="Times New Roman" w:hAnsi="Times New Roman"/>
                      <w:b/>
                      <w:sz w:val="24"/>
                      <w:szCs w:val="24"/>
                      <w:lang w:eastAsia="sk-SK"/>
                    </w:rPr>
                  </w:pPr>
                  <w:r w:rsidRPr="001D6025">
                    <w:rPr>
                      <w:rFonts w:ascii="Times New Roman" w:hAnsi="Times New Roman"/>
                      <w:b/>
                      <w:sz w:val="24"/>
                      <w:szCs w:val="24"/>
                      <w:lang w:eastAsia="sk-SK"/>
                    </w:rPr>
                    <w:t xml:space="preserve">iba na MSP (0 - 249 zamestnancov) </w:t>
                  </w:r>
                </w:p>
              </w:tc>
            </w:tr>
            <w:tr>
              <w:tblPrEx>
                <w:tblW w:w="0" w:type="auto"/>
                <w:tblLook w:val="04A0"/>
              </w:tblPrEx>
              <w:tc>
                <w:tcPr>
                  <w:tcW w:w="436" w:type="dxa"/>
                  <w:tcBorders>
                    <w:top w:val="nil"/>
                    <w:left w:val="nil"/>
                    <w:bottom w:val="nil"/>
                    <w:right w:val="nil"/>
                  </w:tcBorders>
                  <w:textDirection w:val="lrTb"/>
                  <w:vAlign w:val="top"/>
                </w:tcPr>
                <w:p w:rsidR="00A60F28" w:rsidRPr="001D6025" w:rsidP="002B4B78">
                  <w:pPr>
                    <w:bidi w:val="0"/>
                    <w:spacing w:after="0" w:line="240" w:lineRule="auto"/>
                    <w:jc w:val="center"/>
                    <w:rPr>
                      <w:rFonts w:ascii="Times New Roman" w:hAnsi="Times New Roman"/>
                      <w:sz w:val="24"/>
                      <w:szCs w:val="24"/>
                      <w:lang w:eastAsia="sk-SK"/>
                    </w:rPr>
                  </w:pPr>
                  <w:r w:rsidRPr="001D6025">
                    <w:rPr>
                      <w:rFonts w:ascii="Segoe UI Symbol" w:eastAsia="MS Mincho" w:hAnsi="Segoe UI Symbol" w:cs="Segoe UI Symbol" w:hint="default"/>
                      <w:sz w:val="24"/>
                      <w:szCs w:val="24"/>
                      <w:lang w:eastAsia="sk-SK"/>
                    </w:rPr>
                    <w:t>☐</w:t>
                  </w:r>
                </w:p>
              </w:tc>
              <w:tc>
                <w:tcPr>
                  <w:tcW w:w="8545" w:type="dxa"/>
                  <w:tcBorders>
                    <w:top w:val="nil"/>
                    <w:left w:val="nil"/>
                    <w:bottom w:val="nil"/>
                    <w:right w:val="nil"/>
                  </w:tcBorders>
                  <w:textDirection w:val="lrTb"/>
                  <w:vAlign w:val="top"/>
                </w:tcPr>
                <w:p w:rsidR="00A60F28" w:rsidRPr="001D6025" w:rsidP="002B4B78">
                  <w:pPr>
                    <w:bidi w:val="0"/>
                    <w:spacing w:after="0" w:line="240" w:lineRule="auto"/>
                    <w:rPr>
                      <w:rFonts w:ascii="Times New Roman" w:hAnsi="Times New Roman"/>
                      <w:b/>
                      <w:sz w:val="24"/>
                      <w:szCs w:val="24"/>
                      <w:lang w:eastAsia="sk-SK"/>
                    </w:rPr>
                  </w:pPr>
                  <w:r w:rsidRPr="001D6025">
                    <w:rPr>
                      <w:rFonts w:ascii="Times New Roman" w:hAnsi="Times New Roman"/>
                      <w:b/>
                      <w:sz w:val="24"/>
                      <w:szCs w:val="24"/>
                      <w:lang w:eastAsia="sk-SK"/>
                    </w:rPr>
                    <w:t>iba na veľké podniky (250 a viac zamestnancov)</w:t>
                  </w:r>
                </w:p>
              </w:tc>
            </w:tr>
            <w:tr>
              <w:tblPrEx>
                <w:tblW w:w="0" w:type="auto"/>
                <w:tblLook w:val="04A0"/>
              </w:tblPrEx>
              <w:tc>
                <w:tcPr>
                  <w:tcW w:w="436" w:type="dxa"/>
                  <w:tcBorders>
                    <w:top w:val="nil"/>
                    <w:left w:val="nil"/>
                    <w:bottom w:val="nil"/>
                    <w:right w:val="nil"/>
                  </w:tcBorders>
                  <w:textDirection w:val="lrTb"/>
                  <w:vAlign w:val="top"/>
                </w:tcPr>
                <w:p w:rsidR="00A60F28" w:rsidRPr="001D6025" w:rsidP="002B4B78">
                  <w:pPr>
                    <w:bidi w:val="0"/>
                    <w:spacing w:after="0" w:line="240" w:lineRule="auto"/>
                    <w:jc w:val="center"/>
                    <w:rPr>
                      <w:rFonts w:ascii="Times New Roman" w:hAnsi="Times New Roman"/>
                      <w:sz w:val="24"/>
                      <w:szCs w:val="24"/>
                      <w:lang w:eastAsia="sk-SK"/>
                    </w:rPr>
                  </w:pPr>
                  <w:r w:rsidRPr="001D6025">
                    <w:rPr>
                      <w:rFonts w:ascii="Segoe UI Symbol" w:eastAsia="MS Mincho" w:hAnsi="Segoe UI Symbol" w:cs="Segoe UI Symbol" w:hint="default"/>
                      <w:sz w:val="24"/>
                      <w:szCs w:val="24"/>
                      <w:lang w:eastAsia="sk-SK"/>
                    </w:rPr>
                    <w:t>☒</w:t>
                  </w:r>
                </w:p>
              </w:tc>
              <w:tc>
                <w:tcPr>
                  <w:tcW w:w="8545" w:type="dxa"/>
                  <w:tcBorders>
                    <w:top w:val="nil"/>
                    <w:left w:val="nil"/>
                    <w:bottom w:val="nil"/>
                    <w:right w:val="nil"/>
                  </w:tcBorders>
                  <w:textDirection w:val="lrTb"/>
                  <w:vAlign w:val="top"/>
                </w:tcPr>
                <w:p w:rsidR="00A60F28" w:rsidRPr="001D6025" w:rsidP="002B4B78">
                  <w:pPr>
                    <w:bidi w:val="0"/>
                    <w:spacing w:after="0" w:line="240" w:lineRule="auto"/>
                    <w:rPr>
                      <w:rFonts w:ascii="Times New Roman" w:hAnsi="Times New Roman"/>
                      <w:sz w:val="24"/>
                      <w:szCs w:val="24"/>
                      <w:lang w:eastAsia="sk-SK"/>
                    </w:rPr>
                  </w:pPr>
                  <w:r w:rsidRPr="001D6025">
                    <w:rPr>
                      <w:rFonts w:ascii="Times New Roman" w:hAnsi="Times New Roman"/>
                      <w:b/>
                      <w:sz w:val="24"/>
                      <w:szCs w:val="24"/>
                      <w:lang w:eastAsia="sk-SK"/>
                    </w:rPr>
                    <w:t>na všetky kategórie podnikov</w:t>
                  </w:r>
                </w:p>
              </w:tc>
            </w:tr>
          </w:tbl>
          <w:p w:rsidR="00A60F28" w:rsidRPr="001D6025" w:rsidP="002B4B78">
            <w:pPr>
              <w:bidi w:val="0"/>
              <w:spacing w:after="0" w:line="240" w:lineRule="auto"/>
              <w:rPr>
                <w:rFonts w:ascii="Times New Roman" w:hAnsi="Times New Roman"/>
                <w:b/>
                <w:sz w:val="24"/>
                <w:szCs w:val="24"/>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60F28" w:rsidRPr="001D6025" w:rsidP="002B4B78">
            <w:pPr>
              <w:bidi w:val="0"/>
              <w:spacing w:after="0" w:line="240" w:lineRule="auto"/>
              <w:rPr>
                <w:rFonts w:ascii="Times New Roman" w:hAnsi="Times New Roman"/>
                <w:b/>
                <w:sz w:val="24"/>
                <w:szCs w:val="24"/>
                <w:lang w:eastAsia="sk-SK"/>
              </w:rPr>
            </w:pPr>
            <w:r w:rsidRPr="001D6025">
              <w:rPr>
                <w:rFonts w:ascii="Times New Roman" w:hAnsi="Times New Roman"/>
                <w:b/>
                <w:sz w:val="24"/>
                <w:szCs w:val="24"/>
                <w:lang w:eastAsia="sk-SK"/>
              </w:rPr>
              <w:t>3.1 Dotknuté podnikateľské subjekty</w:t>
            </w:r>
          </w:p>
          <w:p w:rsidR="00A60F28" w:rsidRPr="001D6025" w:rsidP="002B4B78">
            <w:pPr>
              <w:bidi w:val="0"/>
              <w:spacing w:after="0" w:line="240" w:lineRule="auto"/>
              <w:ind w:left="284"/>
              <w:rPr>
                <w:rFonts w:ascii="Times New Roman" w:hAnsi="Times New Roman"/>
                <w:b/>
                <w:sz w:val="24"/>
                <w:szCs w:val="24"/>
                <w:lang w:eastAsia="sk-SK"/>
              </w:rPr>
            </w:pPr>
            <w:r w:rsidRPr="001D6025">
              <w:rPr>
                <w:rFonts w:ascii="Times New Roman" w:hAnsi="Times New Roman"/>
                <w:sz w:val="24"/>
                <w:szCs w:val="24"/>
                <w:lang w:eastAsia="sk-SK"/>
              </w:rPr>
              <w:t xml:space="preserve"> - </w:t>
            </w:r>
            <w:r w:rsidRPr="001D6025">
              <w:rPr>
                <w:rFonts w:ascii="Times New Roman" w:hAnsi="Times New Roman"/>
                <w:b/>
                <w:sz w:val="24"/>
                <w:szCs w:val="24"/>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Uveďte, aké podnikateľské subjekty budú predkladaným návrhom ovplyvnené.</w:t>
            </w:r>
          </w:p>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Aký je ich počet?</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Predložený návrh sa dotýka podnikateľských subjekto</w:t>
            </w:r>
            <w:r w:rsidR="00BC7625">
              <w:rPr>
                <w:rFonts w:ascii="Times New Roman" w:hAnsi="Times New Roman"/>
                <w:i/>
                <w:sz w:val="24"/>
                <w:szCs w:val="24"/>
                <w:lang w:eastAsia="sk-SK"/>
              </w:rPr>
              <w:t>v</w:t>
            </w:r>
            <w:r w:rsidRPr="001D6025">
              <w:rPr>
                <w:rFonts w:ascii="Times New Roman" w:hAnsi="Times New Roman"/>
                <w:i/>
                <w:sz w:val="24"/>
                <w:szCs w:val="24"/>
                <w:lang w:eastAsia="sk-SK"/>
              </w:rPr>
              <w:t xml:space="preserve"> –</w:t>
            </w:r>
            <w:r w:rsidR="0008766E">
              <w:rPr>
                <w:rFonts w:ascii="Times New Roman" w:hAnsi="Times New Roman"/>
                <w:i/>
                <w:sz w:val="24"/>
                <w:szCs w:val="24"/>
                <w:lang w:eastAsia="sk-SK"/>
              </w:rPr>
              <w:t xml:space="preserve"> </w:t>
            </w:r>
            <w:r w:rsidRPr="001D6025">
              <w:rPr>
                <w:rFonts w:ascii="Times New Roman" w:hAnsi="Times New Roman"/>
                <w:i/>
                <w:sz w:val="24"/>
                <w:szCs w:val="24"/>
                <w:lang w:eastAsia="sk-SK"/>
              </w:rPr>
              <w:t>držiteľov registrácie, výrobcov alebo dovozcov liekov, zdravotníckych pomôcok a dietetických potravín</w:t>
            </w:r>
            <w:r w:rsidR="0008766E">
              <w:rPr>
                <w:rFonts w:ascii="Times New Roman" w:hAnsi="Times New Roman"/>
                <w:i/>
                <w:sz w:val="24"/>
                <w:szCs w:val="24"/>
                <w:lang w:eastAsia="sk-SK"/>
              </w:rPr>
              <w:t>,</w:t>
            </w:r>
            <w:r w:rsidRPr="001D6025">
              <w:rPr>
                <w:rFonts w:ascii="Times New Roman" w:hAnsi="Times New Roman"/>
                <w:i/>
                <w:sz w:val="24"/>
                <w:szCs w:val="24"/>
                <w:lang w:eastAsia="sk-SK"/>
              </w:rPr>
              <w:t xml:space="preserve"> ktoré sú plne alebo čiastočne hradené z</w:t>
            </w:r>
            <w:r w:rsidR="0008766E">
              <w:rPr>
                <w:rFonts w:ascii="Times New Roman" w:hAnsi="Times New Roman"/>
                <w:i/>
                <w:sz w:val="24"/>
                <w:szCs w:val="24"/>
                <w:lang w:eastAsia="sk-SK"/>
              </w:rPr>
              <w:t xml:space="preserve"> prostriedkov </w:t>
            </w:r>
            <w:r w:rsidRPr="001D6025">
              <w:rPr>
                <w:rFonts w:ascii="Times New Roman" w:hAnsi="Times New Roman"/>
                <w:i/>
                <w:sz w:val="24"/>
                <w:szCs w:val="24"/>
                <w:lang w:eastAsia="sk-SK"/>
              </w:rPr>
              <w:t>verejného zdravotného poistenia.</w:t>
            </w:r>
          </w:p>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Počet držiteľov registrácie liekov je 1081.</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60F28" w:rsidRPr="001D6025" w:rsidP="002B4B78">
            <w:pPr>
              <w:bidi w:val="0"/>
              <w:spacing w:after="0" w:line="240" w:lineRule="auto"/>
              <w:rPr>
                <w:rFonts w:ascii="Times New Roman" w:hAnsi="Times New Roman"/>
                <w:b/>
                <w:sz w:val="24"/>
                <w:szCs w:val="24"/>
                <w:lang w:eastAsia="sk-SK"/>
              </w:rPr>
            </w:pPr>
            <w:r w:rsidRPr="001D6025">
              <w:rPr>
                <w:rFonts w:ascii="Times New Roman" w:hAnsi="Times New Roman"/>
                <w:b/>
                <w:sz w:val="24"/>
                <w:szCs w:val="24"/>
                <w:lang w:eastAsia="sk-SK"/>
              </w:rPr>
              <w:t>3.2 Vyhodnotenie konzultácií</w:t>
            </w:r>
          </w:p>
          <w:p w:rsidR="00A60F28" w:rsidRPr="001D6025" w:rsidP="002B4B78">
            <w:pPr>
              <w:bidi w:val="0"/>
              <w:spacing w:after="0" w:line="240" w:lineRule="auto"/>
              <w:rPr>
                <w:rFonts w:ascii="Times New Roman" w:hAnsi="Times New Roman"/>
                <w:b/>
                <w:sz w:val="24"/>
                <w:szCs w:val="24"/>
                <w:lang w:eastAsia="sk-SK"/>
              </w:rPr>
            </w:pPr>
            <w:r w:rsidRPr="001D6025">
              <w:rPr>
                <w:rFonts w:ascii="Times New Roman" w:hAnsi="Times New Roman"/>
                <w:sz w:val="24"/>
                <w:szCs w:val="24"/>
                <w:lang w:eastAsia="sk-SK"/>
              </w:rPr>
              <w:t xml:space="preserve">       - </w:t>
            </w:r>
            <w:r w:rsidRPr="001D6025">
              <w:rPr>
                <w:rFonts w:ascii="Times New Roman" w:hAnsi="Times New Roman"/>
                <w:b/>
                <w:sz w:val="24"/>
                <w:szCs w:val="24"/>
                <w:lang w:eastAsia="sk-SK"/>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Uveďte, akou formou (verejné alebo cielené konzultácie a prečo) a s kým bol návrh konzultovaný.</w:t>
            </w:r>
          </w:p>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Ako dlho trvali konzultácie?</w:t>
            </w:r>
          </w:p>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 xml:space="preserve">Uveďte hlavné body konzultácií a výsledky konzultácií. </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A60F28" w:rsidRPr="001D6025" w:rsidP="002B4B78">
            <w:pPr>
              <w:bidi w:val="0"/>
              <w:spacing w:after="0" w:line="240" w:lineRule="auto"/>
              <w:jc w:val="both"/>
              <w:rPr>
                <w:rFonts w:ascii="Times New Roman" w:hAnsi="Times New Roman"/>
                <w:i/>
                <w:sz w:val="24"/>
                <w:szCs w:val="24"/>
                <w:lang w:eastAsia="sk-SK"/>
              </w:rPr>
            </w:pPr>
            <w:r w:rsidRPr="001D6025">
              <w:rPr>
                <w:rFonts w:ascii="Times New Roman" w:hAnsi="Times New Roman"/>
                <w:i/>
                <w:sz w:val="24"/>
                <w:szCs w:val="24"/>
                <w:lang w:eastAsia="sk-SK"/>
              </w:rPr>
              <w:t>Pracovná skupina za účasti zástupcov partnerov: AIFP (Asociácia inovatívneho farmaceutického priemyslu), ADL (Asociácia dodávateľov liekov a zdravotníckych pomôcok), SK MED  (Slovenská asociácia dodávateľov zdravotníckych pomôcok), Genas (Asociácia generických výrobcov), odborné spoločnosti SLS (Slovenská lekárska spoločnosť), SSFE (Slovenská spoločnosť pre farmakoekonomiku), ISPOR Chapter Slovkia (International Society for Pharmacoeconomics and Outcomes Research, lokálne zastúpenie Slovensko), zdravotné poisťovne VšZP (Všobecná zdravotná poisťovňa), Dôvera, Union, AZPSR (</w:t>
            </w:r>
            <w:r w:rsidR="0008766E">
              <w:rPr>
                <w:rFonts w:ascii="Times New Roman" w:hAnsi="Times New Roman"/>
                <w:i/>
                <w:sz w:val="24"/>
                <w:szCs w:val="24"/>
                <w:lang w:eastAsia="sk-SK"/>
              </w:rPr>
              <w:t>Asociácia</w:t>
            </w:r>
            <w:r w:rsidRPr="001D6025">
              <w:rPr>
                <w:rFonts w:ascii="Times New Roman" w:hAnsi="Times New Roman"/>
                <w:i/>
                <w:sz w:val="24"/>
                <w:szCs w:val="24"/>
                <w:lang w:eastAsia="sk-SK"/>
              </w:rPr>
              <w:t xml:space="preserve"> zdravotných poisťovní SR), štátna správa MF SR IFP (Ministerstvo financií Slovenskej republiky - Inštitút finančnej politiky), pacienti AOPP (Asociácia na ochranu práv pacientov), mimovládne organizácie Transparency International Slovensko.</w:t>
            </w:r>
          </w:p>
          <w:p w:rsidR="00C77278" w:rsidRPr="001D6025" w:rsidP="002B4B78">
            <w:pPr>
              <w:bidi w:val="0"/>
              <w:spacing w:after="0" w:line="240" w:lineRule="auto"/>
              <w:jc w:val="both"/>
              <w:rPr>
                <w:rFonts w:ascii="Times New Roman" w:hAnsi="Times New Roman"/>
                <w:i/>
                <w:sz w:val="24"/>
                <w:szCs w:val="24"/>
                <w:lang w:eastAsia="sk-SK"/>
              </w:rPr>
            </w:pPr>
            <w:r w:rsidRPr="001D6025" w:rsidR="00A60F28">
              <w:rPr>
                <w:rFonts w:ascii="Times New Roman" w:hAnsi="Times New Roman"/>
                <w:i/>
                <w:sz w:val="24"/>
                <w:szCs w:val="24"/>
                <w:lang w:eastAsia="sk-SK"/>
              </w:rPr>
              <w:t>16.8.2016 sa konalo iniciálne stretnutie MZ a pracovných partnerov, na ktorom bol potvrdený záujem pripraviť novelu zákona 363/2011. Stanovili sa 4 pracovné skupiny  s nasledovným popisom úloh: 1.parametre nákladovej efektívnosti koordinovaná  AIFP v spolupráci s ADL a GENAS, 2.regulácia výnimiek koordinovaná  zdravotnou poisťovňou VšZP v spolupráci so zdravotnými poisťovňami Dôvera a Union, 3.podmienená kategorizácia s koordinátorom VšZP v spolupráci s MZ SR, 4.ŠZM koordinovaná zdravotnou poisťovňou Dôvera v spolupráci s VšZP a Union. Návrhy zmien v paragrafovom znení mali byť dodané na MZ do 10.9.2016.</w:t>
            </w:r>
          </w:p>
          <w:p w:rsidR="00A60F28" w:rsidRPr="001D6025" w:rsidP="002B4B78">
            <w:pPr>
              <w:bidi w:val="0"/>
              <w:spacing w:after="0" w:line="240" w:lineRule="auto"/>
              <w:jc w:val="both"/>
              <w:rPr>
                <w:rFonts w:ascii="Times New Roman" w:hAnsi="Times New Roman"/>
                <w:i/>
                <w:sz w:val="24"/>
                <w:szCs w:val="24"/>
                <w:lang w:eastAsia="sk-SK"/>
              </w:rPr>
            </w:pPr>
            <w:r w:rsidRPr="001D6025">
              <w:rPr>
                <w:rFonts w:ascii="Times New Roman" w:hAnsi="Times New Roman"/>
                <w:i/>
                <w:sz w:val="24"/>
                <w:szCs w:val="24"/>
                <w:lang w:eastAsia="sk-SK"/>
              </w:rPr>
              <w:t xml:space="preserve">Úlohou pracovného stretnutia dňa 8.12.2016 bolo komplexné prehodnotenie cieľov novelizácie zákona a následné definovanie rozsahu úloh odborných pracovných skupín nasledovne: 1.inovácia, 2.metódy šetrenia prostriedkov verejného zdravotného poistenia, 3.modely zdieľania nákladov – risk/cost sharingové systémy,4. transparentnosť a 5.zmeny, doplnenia a odstránenie nepresností, ktoré vyplynuli z aplikačnej praxe. Pracovné skupiny sa dohodli na príprave konceptu legislatívneho návrhu do 9.1.2017, </w:t>
            </w:r>
            <w:r w:rsidR="0008766E">
              <w:rPr>
                <w:rFonts w:ascii="Times New Roman" w:hAnsi="Times New Roman"/>
                <w:i/>
                <w:sz w:val="24"/>
                <w:szCs w:val="24"/>
                <w:lang w:eastAsia="sk-SK"/>
              </w:rPr>
              <w:t xml:space="preserve">na </w:t>
            </w:r>
            <w:r w:rsidRPr="001D6025">
              <w:rPr>
                <w:rFonts w:ascii="Times New Roman" w:hAnsi="Times New Roman"/>
                <w:i/>
                <w:sz w:val="24"/>
                <w:szCs w:val="24"/>
                <w:lang w:eastAsia="sk-SK"/>
              </w:rPr>
              <w:t>príprave paragrafového znenia do konca januára 2017 a na ďalšom stretnutí najneskôr do 11.1.2016.</w:t>
            </w:r>
          </w:p>
          <w:p w:rsidR="00463682" w:rsidP="002B4B78">
            <w:pPr>
              <w:bidi w:val="0"/>
              <w:spacing w:after="0" w:line="240" w:lineRule="auto"/>
              <w:jc w:val="both"/>
              <w:rPr>
                <w:rFonts w:ascii="Times New Roman" w:hAnsi="Times New Roman"/>
                <w:i/>
                <w:sz w:val="24"/>
                <w:szCs w:val="24"/>
                <w:lang w:eastAsia="sk-SK"/>
              </w:rPr>
            </w:pPr>
            <w:r w:rsidRPr="001D6025" w:rsidR="00A60F28">
              <w:rPr>
                <w:rFonts w:ascii="Times New Roman" w:hAnsi="Times New Roman"/>
                <w:i/>
                <w:sz w:val="24"/>
                <w:szCs w:val="24"/>
                <w:lang w:eastAsia="sk-SK"/>
              </w:rPr>
              <w:t>Na pracovnom stretnutí dňa 11.1.2017 boli prezentované návrhy jednotlivých odborných pracovných skupín a pomenovali sa oblasti, pre ktoré mali odborné skupiny pripraviť ďalšie návrhy riešení. Zúčastnení sa dohodli na tom, že AIFP pripraví konsolidované paragrafové znenie ako kompilát návrhov jednotlivých odborných pracovných skupín. Zadala sa úloha pre IZP vypočítať dopad navrhovaných zmien na základe podkladov od AIFP.</w:t>
            </w:r>
          </w:p>
          <w:p w:rsidR="00A60F28" w:rsidP="002B4B78">
            <w:pPr>
              <w:bidi w:val="0"/>
              <w:spacing w:after="0" w:line="240" w:lineRule="auto"/>
              <w:jc w:val="both"/>
              <w:rPr>
                <w:rFonts w:ascii="Times New Roman" w:hAnsi="Times New Roman"/>
                <w:i/>
                <w:sz w:val="24"/>
                <w:szCs w:val="24"/>
                <w:lang w:eastAsia="sk-SK"/>
              </w:rPr>
            </w:pPr>
            <w:r w:rsidR="00463682">
              <w:rPr>
                <w:rFonts w:ascii="Times New Roman" w:hAnsi="Times New Roman"/>
                <w:i/>
                <w:sz w:val="24"/>
                <w:szCs w:val="24"/>
                <w:lang w:eastAsia="sk-SK"/>
              </w:rPr>
              <w:t>MZ upozornilo že návrh výšky koeficientu prahovej hodnoty od AIFP na úrovni trojnásobku ročného HDP je príliš ambiciózny. Ako alternatívne riešenie navrhlo MZ definovať koeficient prahovej hodnoty ako 35 násobok hrubej mzdy v hospodárstve.</w:t>
            </w:r>
            <w:r w:rsidRPr="001D6025">
              <w:rPr>
                <w:rFonts w:ascii="Times New Roman" w:hAnsi="Times New Roman"/>
                <w:i/>
                <w:sz w:val="24"/>
                <w:szCs w:val="24"/>
                <w:lang w:eastAsia="sk-SK"/>
              </w:rPr>
              <w:t xml:space="preserve"> </w:t>
            </w:r>
          </w:p>
          <w:p w:rsidR="00463682" w:rsidP="002B4B78">
            <w:pPr>
              <w:bidi w:val="0"/>
              <w:spacing w:after="0" w:line="240" w:lineRule="auto"/>
              <w:jc w:val="both"/>
              <w:rPr>
                <w:rFonts w:ascii="Times New Roman" w:hAnsi="Times New Roman"/>
                <w:i/>
                <w:sz w:val="24"/>
                <w:szCs w:val="24"/>
                <w:lang w:eastAsia="sk-SK"/>
              </w:rPr>
            </w:pPr>
            <w:r>
              <w:rPr>
                <w:rFonts w:ascii="Times New Roman" w:hAnsi="Times New Roman"/>
                <w:i/>
                <w:sz w:val="24"/>
                <w:szCs w:val="24"/>
                <w:lang w:eastAsia="sk-SK"/>
              </w:rPr>
              <w:t>Návrh multi-kriteriálneho systému hodnotenia liekov ktoré by nedosiahli nákladovú efektivitu pri analýze užitočnosti (QALY) považovalo MZ za nevhodný z </w:t>
            </w:r>
            <w:r w:rsidR="00C77278">
              <w:rPr>
                <w:rFonts w:ascii="Times New Roman" w:hAnsi="Times New Roman"/>
                <w:i/>
                <w:sz w:val="24"/>
                <w:szCs w:val="24"/>
                <w:lang w:eastAsia="sk-SK"/>
              </w:rPr>
              <w:t>dôvodu</w:t>
            </w:r>
            <w:r>
              <w:rPr>
                <w:rFonts w:ascii="Times New Roman" w:hAnsi="Times New Roman"/>
                <w:i/>
                <w:sz w:val="24"/>
                <w:szCs w:val="24"/>
                <w:lang w:eastAsia="sk-SK"/>
              </w:rPr>
              <w:t xml:space="preserve"> výberu </w:t>
            </w:r>
            <w:r w:rsidR="00C77278">
              <w:rPr>
                <w:rFonts w:ascii="Times New Roman" w:hAnsi="Times New Roman"/>
                <w:i/>
                <w:sz w:val="24"/>
                <w:szCs w:val="24"/>
                <w:lang w:eastAsia="sk-SK"/>
              </w:rPr>
              <w:t>kritérií</w:t>
            </w:r>
            <w:r>
              <w:rPr>
                <w:rFonts w:ascii="Times New Roman" w:hAnsi="Times New Roman"/>
                <w:i/>
                <w:sz w:val="24"/>
                <w:szCs w:val="24"/>
                <w:lang w:eastAsia="sk-SK"/>
              </w:rPr>
              <w:t xml:space="preserve"> </w:t>
            </w:r>
            <w:r w:rsidR="00C77278">
              <w:rPr>
                <w:rFonts w:ascii="Times New Roman" w:hAnsi="Times New Roman"/>
                <w:i/>
                <w:sz w:val="24"/>
                <w:szCs w:val="24"/>
                <w:lang w:eastAsia="sk-SK"/>
              </w:rPr>
              <w:t>ktoré</w:t>
            </w:r>
            <w:r>
              <w:rPr>
                <w:rFonts w:ascii="Times New Roman" w:hAnsi="Times New Roman"/>
                <w:i/>
                <w:sz w:val="24"/>
                <w:szCs w:val="24"/>
                <w:lang w:eastAsia="sk-SK"/>
              </w:rPr>
              <w:t xml:space="preserve"> boli nad rámec zdravotnej starostlivosti a zasahovali do </w:t>
            </w:r>
            <w:r w:rsidR="00C77278">
              <w:rPr>
                <w:rFonts w:ascii="Times New Roman" w:hAnsi="Times New Roman"/>
                <w:i/>
                <w:sz w:val="24"/>
                <w:szCs w:val="24"/>
                <w:lang w:eastAsia="sk-SK"/>
              </w:rPr>
              <w:t>sociálnej</w:t>
            </w:r>
            <w:r>
              <w:rPr>
                <w:rFonts w:ascii="Times New Roman" w:hAnsi="Times New Roman"/>
                <w:i/>
                <w:sz w:val="24"/>
                <w:szCs w:val="24"/>
                <w:lang w:eastAsia="sk-SK"/>
              </w:rPr>
              <w:t xml:space="preserve"> oblasti ktorú zákon 363/2011nerieši.Kritériá ako </w:t>
            </w:r>
            <w:r w:rsidR="00C77278">
              <w:rPr>
                <w:rFonts w:ascii="Times New Roman" w:hAnsi="Times New Roman"/>
                <w:i/>
                <w:sz w:val="24"/>
                <w:szCs w:val="24"/>
                <w:lang w:eastAsia="sk-SK"/>
              </w:rPr>
              <w:t>„</w:t>
            </w:r>
            <w:r>
              <w:rPr>
                <w:rFonts w:ascii="Times New Roman" w:hAnsi="Times New Roman"/>
                <w:i/>
                <w:sz w:val="24"/>
                <w:szCs w:val="24"/>
                <w:lang w:eastAsia="sk-SK"/>
              </w:rPr>
              <w:t>vysoká úmrtnosť</w:t>
            </w:r>
            <w:r w:rsidR="00C77278">
              <w:rPr>
                <w:rFonts w:ascii="Times New Roman" w:hAnsi="Times New Roman"/>
                <w:i/>
                <w:sz w:val="24"/>
                <w:szCs w:val="24"/>
                <w:lang w:eastAsia="sk-SK"/>
              </w:rPr>
              <w:t>“</w:t>
            </w:r>
            <w:r>
              <w:rPr>
                <w:rFonts w:ascii="Times New Roman" w:hAnsi="Times New Roman"/>
                <w:i/>
                <w:sz w:val="24"/>
                <w:szCs w:val="24"/>
                <w:lang w:eastAsia="sk-SK"/>
              </w:rPr>
              <w:t xml:space="preserve">, </w:t>
            </w:r>
            <w:r w:rsidR="00C77278">
              <w:rPr>
                <w:rFonts w:ascii="Times New Roman" w:hAnsi="Times New Roman"/>
                <w:i/>
                <w:sz w:val="24"/>
                <w:szCs w:val="24"/>
                <w:lang w:eastAsia="sk-SK"/>
              </w:rPr>
              <w:t>„</w:t>
            </w:r>
            <w:r>
              <w:rPr>
                <w:rFonts w:ascii="Times New Roman" w:hAnsi="Times New Roman"/>
                <w:i/>
                <w:sz w:val="24"/>
                <w:szCs w:val="24"/>
                <w:lang w:eastAsia="sk-SK"/>
              </w:rPr>
              <w:t>vysoká chorobnosť</w:t>
            </w:r>
            <w:r w:rsidR="00C77278">
              <w:rPr>
                <w:rFonts w:ascii="Times New Roman" w:hAnsi="Times New Roman"/>
                <w:i/>
                <w:sz w:val="24"/>
                <w:szCs w:val="24"/>
                <w:lang w:eastAsia="sk-SK"/>
              </w:rPr>
              <w:t>“</w:t>
            </w:r>
            <w:r>
              <w:rPr>
                <w:rFonts w:ascii="Times New Roman" w:hAnsi="Times New Roman"/>
                <w:i/>
                <w:sz w:val="24"/>
                <w:szCs w:val="24"/>
                <w:lang w:eastAsia="sk-SK"/>
              </w:rPr>
              <w:t xml:space="preserve">, </w:t>
            </w:r>
            <w:r w:rsidR="00C77278">
              <w:rPr>
                <w:rFonts w:ascii="Times New Roman" w:hAnsi="Times New Roman"/>
                <w:i/>
                <w:sz w:val="24"/>
                <w:szCs w:val="24"/>
                <w:lang w:eastAsia="sk-SK"/>
              </w:rPr>
              <w:t>„</w:t>
            </w:r>
            <w:r>
              <w:rPr>
                <w:rFonts w:ascii="Times New Roman" w:hAnsi="Times New Roman"/>
                <w:i/>
                <w:sz w:val="24"/>
                <w:szCs w:val="24"/>
                <w:lang w:eastAsia="sk-SK"/>
              </w:rPr>
              <w:t>vysoká komorbidita</w:t>
            </w:r>
            <w:r w:rsidR="00C77278">
              <w:rPr>
                <w:rFonts w:ascii="Times New Roman" w:hAnsi="Times New Roman"/>
                <w:i/>
                <w:sz w:val="24"/>
                <w:szCs w:val="24"/>
                <w:lang w:eastAsia="sk-SK"/>
              </w:rPr>
              <w:t xml:space="preserve">“ sú nedostatočne špecifikované a ich vyhodnotenie je ne realizovateľné. MZ požiadalo AIFP o úpravu kritérií a ich presnejšie definovanie. </w:t>
            </w:r>
            <w:r>
              <w:rPr>
                <w:rFonts w:ascii="Times New Roman" w:hAnsi="Times New Roman"/>
                <w:i/>
                <w:sz w:val="24"/>
                <w:szCs w:val="24"/>
                <w:lang w:eastAsia="sk-SK"/>
              </w:rPr>
              <w:t xml:space="preserve"> </w:t>
            </w:r>
          </w:p>
          <w:p w:rsidR="00C77278" w:rsidRPr="001D6025" w:rsidP="002B4B78">
            <w:pPr>
              <w:bidi w:val="0"/>
              <w:spacing w:after="0" w:line="240" w:lineRule="auto"/>
              <w:jc w:val="both"/>
              <w:rPr>
                <w:rFonts w:ascii="Times New Roman" w:hAnsi="Times New Roman"/>
                <w:i/>
                <w:sz w:val="24"/>
                <w:szCs w:val="24"/>
                <w:lang w:eastAsia="sk-SK"/>
              </w:rPr>
            </w:pPr>
            <w:r>
              <w:rPr>
                <w:rFonts w:ascii="Times New Roman" w:hAnsi="Times New Roman"/>
                <w:i/>
                <w:sz w:val="24"/>
                <w:szCs w:val="24"/>
                <w:lang w:eastAsia="sk-SK"/>
              </w:rPr>
              <w:t xml:space="preserve">Návrh </w:t>
            </w:r>
            <w:r w:rsidRPr="001D6025">
              <w:rPr>
                <w:rFonts w:ascii="Times New Roman" w:hAnsi="Times New Roman"/>
                <w:i/>
                <w:sz w:val="24"/>
                <w:szCs w:val="24"/>
                <w:lang w:eastAsia="sk-SK"/>
              </w:rPr>
              <w:t>metód šetrenia prostriedkov verejného zdravotného poistenia</w:t>
            </w:r>
            <w:r>
              <w:rPr>
                <w:rFonts w:ascii="Times New Roman" w:hAnsi="Times New Roman"/>
                <w:i/>
                <w:sz w:val="24"/>
                <w:szCs w:val="24"/>
                <w:lang w:eastAsia="sk-SK"/>
              </w:rPr>
              <w:t xml:space="preserve"> bol MZ vyhodnotení ako nedostatočný a pracovná skupina bola vyzvaná na ich doplnenie.</w:t>
            </w:r>
          </w:p>
          <w:p w:rsidR="00C77278" w:rsidP="002B4B78">
            <w:pPr>
              <w:bidi w:val="0"/>
              <w:spacing w:after="0" w:line="240" w:lineRule="auto"/>
              <w:jc w:val="both"/>
              <w:rPr>
                <w:rFonts w:ascii="Times New Roman" w:hAnsi="Times New Roman"/>
                <w:i/>
                <w:sz w:val="24"/>
                <w:szCs w:val="24"/>
                <w:lang w:eastAsia="sk-SK"/>
              </w:rPr>
            </w:pPr>
            <w:r w:rsidRPr="001D6025" w:rsidR="00A60F28">
              <w:rPr>
                <w:rFonts w:ascii="Times New Roman" w:hAnsi="Times New Roman"/>
                <w:i/>
                <w:sz w:val="24"/>
                <w:szCs w:val="24"/>
                <w:lang w:eastAsia="sk-SK"/>
              </w:rPr>
              <w:t xml:space="preserve">Na pracovnom stretnutí dňa 13.2.2017 boli prezentované pripomienky jednotlivých členov pracovnej skupiny ku skompilovanému návrhu znenia novelizácie zákona č. 363/2011 Z.z.. AIFP predstavila paragrafové znenia k novele zákona. </w:t>
            </w:r>
            <w:r>
              <w:rPr>
                <w:rFonts w:ascii="Times New Roman" w:hAnsi="Times New Roman"/>
                <w:i/>
                <w:sz w:val="24"/>
                <w:szCs w:val="24"/>
                <w:lang w:eastAsia="sk-SK"/>
              </w:rPr>
              <w:t>AIFP predstavila upravenú verziu multiktireriálneho hodnotenia a p</w:t>
            </w:r>
            <w:r w:rsidRPr="001D6025" w:rsidR="00A60F28">
              <w:rPr>
                <w:rFonts w:ascii="Times New Roman" w:hAnsi="Times New Roman"/>
                <w:i/>
                <w:sz w:val="24"/>
                <w:szCs w:val="24"/>
                <w:lang w:eastAsia="sk-SK"/>
              </w:rPr>
              <w:t>racovn</w:t>
            </w:r>
            <w:r>
              <w:rPr>
                <w:rFonts w:ascii="Times New Roman" w:hAnsi="Times New Roman"/>
                <w:i/>
                <w:sz w:val="24"/>
                <w:szCs w:val="24"/>
                <w:lang w:eastAsia="sk-SK"/>
              </w:rPr>
              <w:t>á</w:t>
            </w:r>
            <w:r w:rsidRPr="001D6025" w:rsidR="00A60F28">
              <w:rPr>
                <w:rFonts w:ascii="Times New Roman" w:hAnsi="Times New Roman"/>
                <w:i/>
                <w:sz w:val="24"/>
                <w:szCs w:val="24"/>
                <w:lang w:eastAsia="sk-SK"/>
              </w:rPr>
              <w:t xml:space="preserve"> skupin</w:t>
            </w:r>
            <w:r>
              <w:rPr>
                <w:rFonts w:ascii="Times New Roman" w:hAnsi="Times New Roman"/>
                <w:i/>
                <w:sz w:val="24"/>
                <w:szCs w:val="24"/>
                <w:lang w:eastAsia="sk-SK"/>
              </w:rPr>
              <w:t>a</w:t>
            </w:r>
            <w:r w:rsidRPr="001D6025" w:rsidR="00A60F28">
              <w:rPr>
                <w:rFonts w:ascii="Times New Roman" w:hAnsi="Times New Roman"/>
                <w:i/>
                <w:sz w:val="24"/>
                <w:szCs w:val="24"/>
                <w:lang w:eastAsia="sk-SK"/>
              </w:rPr>
              <w:t xml:space="preserve"> sa dohodl</w:t>
            </w:r>
            <w:r>
              <w:rPr>
                <w:rFonts w:ascii="Times New Roman" w:hAnsi="Times New Roman"/>
                <w:i/>
                <w:sz w:val="24"/>
                <w:szCs w:val="24"/>
                <w:lang w:eastAsia="sk-SK"/>
              </w:rPr>
              <w:t>a</w:t>
            </w:r>
            <w:r w:rsidRPr="001D6025" w:rsidR="00A60F28">
              <w:rPr>
                <w:rFonts w:ascii="Times New Roman" w:hAnsi="Times New Roman"/>
                <w:i/>
                <w:sz w:val="24"/>
                <w:szCs w:val="24"/>
                <w:lang w:eastAsia="sk-SK"/>
              </w:rPr>
              <w:t xml:space="preserve"> na tom, že AIFP pripraví návrh vyhlášky o multikriteriálnom hodnotení, ktorá nadväzuje na novelu zákona č. 363/2011 Z.z. a následne spresní termín predstavenia návrhu vyhlášky. Členovia pracovných skupín mali možnosť poslať podnety k navrhovanému zneniu vyhlášky. </w:t>
            </w:r>
          </w:p>
          <w:p w:rsidR="00CE2ED6" w:rsidP="002B4B78">
            <w:pPr>
              <w:bidi w:val="0"/>
              <w:spacing w:after="0" w:line="240" w:lineRule="auto"/>
              <w:jc w:val="both"/>
              <w:rPr>
                <w:rFonts w:ascii="Times New Roman" w:hAnsi="Times New Roman"/>
                <w:i/>
                <w:sz w:val="24"/>
                <w:szCs w:val="24"/>
                <w:lang w:eastAsia="sk-SK"/>
              </w:rPr>
            </w:pPr>
            <w:r w:rsidR="00C77278">
              <w:rPr>
                <w:rFonts w:ascii="Times New Roman" w:hAnsi="Times New Roman"/>
                <w:i/>
                <w:sz w:val="24"/>
                <w:szCs w:val="24"/>
                <w:lang w:eastAsia="sk-SK"/>
              </w:rPr>
              <w:t xml:space="preserve">Pracovná podskupina zodpovedná za prípravu </w:t>
            </w:r>
            <w:r w:rsidRPr="001D6025" w:rsidR="00C77278">
              <w:rPr>
                <w:rFonts w:ascii="Times New Roman" w:hAnsi="Times New Roman"/>
                <w:i/>
                <w:sz w:val="24"/>
                <w:szCs w:val="24"/>
                <w:lang w:eastAsia="sk-SK"/>
              </w:rPr>
              <w:t>metód šetrenia prostriedkov verejného zdravotného poistenia</w:t>
            </w:r>
            <w:r w:rsidR="00C77278">
              <w:rPr>
                <w:rFonts w:ascii="Times New Roman" w:hAnsi="Times New Roman"/>
                <w:i/>
                <w:sz w:val="24"/>
                <w:szCs w:val="24"/>
                <w:lang w:eastAsia="sk-SK"/>
              </w:rPr>
              <w:t xml:space="preserve"> nepredstavila žiadne nové návrhy takže </w:t>
            </w:r>
            <w:r w:rsidRPr="001D6025" w:rsidR="00A60F28">
              <w:rPr>
                <w:rFonts w:ascii="Times New Roman" w:hAnsi="Times New Roman"/>
                <w:i/>
                <w:sz w:val="24"/>
                <w:szCs w:val="24"/>
                <w:lang w:eastAsia="sk-SK"/>
              </w:rPr>
              <w:t>MZ definovalo ďalšie úlohy v oblasti šetrenia prostriedkov verejného zdravotného poistenia</w:t>
            </w:r>
            <w:r w:rsidR="00C77278">
              <w:rPr>
                <w:rFonts w:ascii="Times New Roman" w:hAnsi="Times New Roman"/>
                <w:i/>
                <w:sz w:val="24"/>
                <w:szCs w:val="24"/>
                <w:lang w:eastAsia="sk-SK"/>
              </w:rPr>
              <w:t>. Návrh sa mal týkať definovania podmienok pre vstup 1.2.a</w:t>
            </w:r>
            <w:r>
              <w:rPr>
                <w:rFonts w:ascii="Times New Roman" w:hAnsi="Times New Roman"/>
                <w:i/>
                <w:sz w:val="24"/>
                <w:szCs w:val="24"/>
                <w:lang w:eastAsia="sk-SK"/>
              </w:rPr>
              <w:t xml:space="preserve"> </w:t>
            </w:r>
            <w:r w:rsidR="00C77278">
              <w:rPr>
                <w:rFonts w:ascii="Times New Roman" w:hAnsi="Times New Roman"/>
                <w:i/>
                <w:sz w:val="24"/>
                <w:szCs w:val="24"/>
                <w:lang w:eastAsia="sk-SK"/>
              </w:rPr>
              <w:t>3. generického lieku a 1.2.a</w:t>
            </w:r>
            <w:r>
              <w:rPr>
                <w:rFonts w:ascii="Times New Roman" w:hAnsi="Times New Roman"/>
                <w:i/>
                <w:sz w:val="24"/>
                <w:szCs w:val="24"/>
                <w:lang w:eastAsia="sk-SK"/>
              </w:rPr>
              <w:t xml:space="preserve"> </w:t>
            </w:r>
            <w:r w:rsidR="00C77278">
              <w:rPr>
                <w:rFonts w:ascii="Times New Roman" w:hAnsi="Times New Roman"/>
                <w:i/>
                <w:sz w:val="24"/>
                <w:szCs w:val="24"/>
                <w:lang w:eastAsia="sk-SK"/>
              </w:rPr>
              <w:t>3. biologicky podobného lieku.</w:t>
            </w:r>
            <w:r w:rsidRPr="001D6025" w:rsidR="00A60F28">
              <w:rPr>
                <w:rFonts w:ascii="Times New Roman" w:hAnsi="Times New Roman"/>
                <w:i/>
                <w:sz w:val="24"/>
                <w:szCs w:val="24"/>
                <w:lang w:eastAsia="sk-SK"/>
              </w:rPr>
              <w:t xml:space="preserve"> </w:t>
            </w:r>
          </w:p>
          <w:p w:rsidR="00A60F28" w:rsidRPr="001D6025" w:rsidP="002B4B78">
            <w:pPr>
              <w:bidi w:val="0"/>
              <w:spacing w:after="0" w:line="240" w:lineRule="auto"/>
              <w:jc w:val="both"/>
              <w:rPr>
                <w:rFonts w:ascii="Times New Roman" w:hAnsi="Times New Roman"/>
                <w:i/>
                <w:sz w:val="24"/>
                <w:szCs w:val="24"/>
                <w:lang w:eastAsia="sk-SK"/>
              </w:rPr>
            </w:pPr>
            <w:r w:rsidR="00CE2ED6">
              <w:rPr>
                <w:rFonts w:ascii="Times New Roman" w:hAnsi="Times New Roman"/>
                <w:i/>
                <w:sz w:val="24"/>
                <w:szCs w:val="24"/>
                <w:lang w:eastAsia="sk-SK"/>
              </w:rPr>
              <w:t>MZ</w:t>
            </w:r>
            <w:r w:rsidRPr="001D6025">
              <w:rPr>
                <w:rFonts w:ascii="Times New Roman" w:hAnsi="Times New Roman"/>
                <w:i/>
                <w:sz w:val="24"/>
                <w:szCs w:val="24"/>
                <w:lang w:eastAsia="sk-SK"/>
              </w:rPr>
              <w:t xml:space="preserve"> očakávalo obratom podnety k riešeniu pravidiel prehodnocovania kategorizovaných liekov, </w:t>
            </w:r>
            <w:r w:rsidR="0008766E">
              <w:rPr>
                <w:rFonts w:ascii="Times New Roman" w:hAnsi="Times New Roman"/>
                <w:i/>
                <w:sz w:val="24"/>
                <w:szCs w:val="24"/>
                <w:lang w:eastAsia="sk-SK"/>
              </w:rPr>
              <w:t xml:space="preserve">pri </w:t>
            </w:r>
            <w:r w:rsidRPr="001D6025">
              <w:rPr>
                <w:rFonts w:ascii="Times New Roman" w:hAnsi="Times New Roman"/>
                <w:i/>
                <w:sz w:val="24"/>
                <w:szCs w:val="24"/>
                <w:lang w:eastAsia="sk-SK"/>
              </w:rPr>
              <w:t>nesúlad</w:t>
            </w:r>
            <w:r w:rsidR="0008766E">
              <w:rPr>
                <w:rFonts w:ascii="Times New Roman" w:hAnsi="Times New Roman"/>
                <w:i/>
                <w:sz w:val="24"/>
                <w:szCs w:val="24"/>
                <w:lang w:eastAsia="sk-SK"/>
              </w:rPr>
              <w:t>e</w:t>
            </w:r>
            <w:r w:rsidRPr="001D6025">
              <w:rPr>
                <w:rFonts w:ascii="Times New Roman" w:hAnsi="Times New Roman"/>
                <w:i/>
                <w:sz w:val="24"/>
                <w:szCs w:val="24"/>
                <w:lang w:eastAsia="sk-SK"/>
              </w:rPr>
              <w:t xml:space="preserve"> reálnej spotreby s predpokladaným vplyvom na verejné zdroje predkladan</w:t>
            </w:r>
            <w:r w:rsidR="00CE2ED6">
              <w:rPr>
                <w:rFonts w:ascii="Times New Roman" w:hAnsi="Times New Roman"/>
                <w:i/>
                <w:sz w:val="24"/>
                <w:szCs w:val="24"/>
                <w:lang w:eastAsia="sk-SK"/>
              </w:rPr>
              <w:t>ým</w:t>
            </w:r>
            <w:r w:rsidRPr="001D6025">
              <w:rPr>
                <w:rFonts w:ascii="Times New Roman" w:hAnsi="Times New Roman"/>
                <w:i/>
                <w:sz w:val="24"/>
                <w:szCs w:val="24"/>
                <w:lang w:eastAsia="sk-SK"/>
              </w:rPr>
              <w:t xml:space="preserve"> v žiadostiach o kategorizáciu. Ministerstvo prezentovalo časový harmonogram legislatívneho procesu k novele zákona č. 363/2011 Z.z. v zápise. </w:t>
            </w:r>
          </w:p>
          <w:p w:rsidR="00A60F28" w:rsidRPr="001D6025" w:rsidP="002B4B78">
            <w:pPr>
              <w:bidi w:val="0"/>
              <w:spacing w:after="0" w:line="240" w:lineRule="auto"/>
              <w:jc w:val="both"/>
              <w:rPr>
                <w:rFonts w:ascii="Times New Roman" w:hAnsi="Times New Roman"/>
                <w:i/>
                <w:sz w:val="24"/>
                <w:szCs w:val="24"/>
                <w:lang w:eastAsia="sk-SK"/>
              </w:rPr>
            </w:pPr>
            <w:r w:rsidRPr="001D6025">
              <w:rPr>
                <w:rFonts w:ascii="Times New Roman" w:hAnsi="Times New Roman"/>
                <w:i/>
                <w:sz w:val="24"/>
                <w:szCs w:val="24"/>
                <w:lang w:eastAsia="sk-SK"/>
              </w:rPr>
              <w:t>28.2.2017</w:t>
            </w:r>
            <w:r w:rsidR="0008766E">
              <w:rPr>
                <w:rFonts w:ascii="Times New Roman" w:hAnsi="Times New Roman"/>
                <w:i/>
                <w:sz w:val="24"/>
                <w:szCs w:val="24"/>
                <w:lang w:eastAsia="sk-SK"/>
              </w:rPr>
              <w:t xml:space="preserve"> </w:t>
            </w:r>
            <w:r w:rsidRPr="001D6025">
              <w:rPr>
                <w:rFonts w:ascii="Times New Roman" w:hAnsi="Times New Roman"/>
                <w:i/>
                <w:sz w:val="24"/>
                <w:szCs w:val="24"/>
                <w:lang w:eastAsia="sk-SK"/>
              </w:rPr>
              <w:t>stretnutie koordinovan</w:t>
            </w:r>
            <w:r w:rsidR="00BC7625">
              <w:rPr>
                <w:rFonts w:ascii="Times New Roman" w:hAnsi="Times New Roman"/>
                <w:i/>
                <w:sz w:val="24"/>
                <w:szCs w:val="24"/>
                <w:lang w:eastAsia="sk-SK"/>
              </w:rPr>
              <w:t>é</w:t>
            </w:r>
            <w:r w:rsidRPr="001D6025">
              <w:rPr>
                <w:rFonts w:ascii="Times New Roman" w:hAnsi="Times New Roman"/>
                <w:i/>
                <w:sz w:val="24"/>
                <w:szCs w:val="24"/>
                <w:lang w:eastAsia="sk-SK"/>
              </w:rPr>
              <w:t xml:space="preserve"> GENAS venované metódam šetrenia prostriedkov verejného zdravotného poistenia, na základe ktorého pripravila odborná pracovná skupina paragrafové znenie návrhov. </w:t>
            </w:r>
          </w:p>
          <w:p w:rsidR="00A60F28" w:rsidRPr="001D6025" w:rsidP="002B4B78">
            <w:pPr>
              <w:bidi w:val="0"/>
              <w:spacing w:after="0" w:line="240" w:lineRule="auto"/>
              <w:jc w:val="both"/>
              <w:rPr>
                <w:rFonts w:ascii="Times New Roman" w:hAnsi="Times New Roman"/>
                <w:i/>
                <w:sz w:val="24"/>
                <w:szCs w:val="24"/>
                <w:lang w:eastAsia="sk-SK"/>
              </w:rPr>
            </w:pPr>
            <w:r w:rsidRPr="001D6025">
              <w:rPr>
                <w:rFonts w:ascii="Times New Roman" w:hAnsi="Times New Roman"/>
                <w:i/>
                <w:sz w:val="24"/>
                <w:szCs w:val="24"/>
                <w:lang w:eastAsia="sk-SK"/>
              </w:rPr>
              <w:t>Dňa  20.3.2017 sa konalo stretnutie ministerstva a AZPSR, na ktorom boli prediskutované témy novelizácie týkajúce sa pravidiel zaraďovania liekov s pridanou hodnotou do zoznamu kategorizovaných liekov, pričom zástupcovia AZP upozornili na očakávané zvýšenie nákladov</w:t>
            </w:r>
            <w:r w:rsidR="0008766E">
              <w:rPr>
                <w:rFonts w:ascii="Times New Roman" w:hAnsi="Times New Roman"/>
                <w:i/>
                <w:sz w:val="24"/>
                <w:szCs w:val="24"/>
                <w:lang w:eastAsia="sk-SK"/>
              </w:rPr>
              <w:t>.</w:t>
            </w:r>
            <w:r w:rsidRPr="001D6025">
              <w:rPr>
                <w:rFonts w:ascii="Times New Roman" w:hAnsi="Times New Roman"/>
                <w:i/>
                <w:sz w:val="24"/>
                <w:szCs w:val="24"/>
                <w:lang w:eastAsia="sk-SK"/>
              </w:rPr>
              <w:t xml:space="preserve"> </w:t>
            </w:r>
            <w:r w:rsidR="0008766E">
              <w:rPr>
                <w:rFonts w:ascii="Times New Roman" w:hAnsi="Times New Roman"/>
                <w:i/>
                <w:sz w:val="24"/>
                <w:szCs w:val="24"/>
                <w:lang w:eastAsia="sk-SK"/>
              </w:rPr>
              <w:t>R</w:t>
            </w:r>
            <w:r w:rsidRPr="001D6025">
              <w:rPr>
                <w:rFonts w:ascii="Times New Roman" w:hAnsi="Times New Roman"/>
                <w:i/>
                <w:sz w:val="24"/>
                <w:szCs w:val="24"/>
                <w:lang w:eastAsia="sk-SK"/>
              </w:rPr>
              <w:t>isk / cost sharingové systémy zdieľania nákladov sú považované za pozitívnu zmenu, ktorá bude viesť k efektívnemu vynakladaniu prostriedkov verejného zdravotného poistenia. Členovia AZPSR zaslali do 24.3.2017 svoje doplňujúce návrhy.</w:t>
            </w:r>
          </w:p>
          <w:p w:rsidR="00A60F28" w:rsidRPr="001D6025" w:rsidP="002B4B78">
            <w:pPr>
              <w:bidi w:val="0"/>
              <w:spacing w:after="0" w:line="240" w:lineRule="auto"/>
              <w:jc w:val="both"/>
              <w:rPr>
                <w:rFonts w:ascii="Times New Roman" w:hAnsi="Times New Roman"/>
                <w:i/>
                <w:sz w:val="24"/>
                <w:szCs w:val="24"/>
                <w:lang w:eastAsia="sk-SK"/>
              </w:rPr>
            </w:pPr>
            <w:r w:rsidRPr="001D6025">
              <w:rPr>
                <w:rFonts w:ascii="Times New Roman" w:hAnsi="Times New Roman"/>
                <w:i/>
                <w:sz w:val="24"/>
                <w:szCs w:val="24"/>
                <w:lang w:eastAsia="sk-SK"/>
              </w:rPr>
              <w:t>Dňa 25.5.2017 boli zástupcami ministerstva prezentované pracovnej skupine  návrhy hlavných novelizačných zmien a doplnení  zákona č. 363/2011 Z.z. Následne boli diskutované najpodstatnejšie témy a členovia pracovnej skupiny boli vyzvaní na zasielanie z</w:t>
            </w:r>
            <w:r>
              <w:rPr>
                <w:rFonts w:ascii="Times New Roman" w:hAnsi="Times New Roman"/>
                <w:i/>
                <w:sz w:val="24"/>
                <w:szCs w:val="24"/>
                <w:lang w:eastAsia="sk-SK"/>
              </w:rPr>
              <w:t>ásadných  pripomienok a návrhov</w:t>
            </w:r>
            <w:r w:rsidRPr="001D6025">
              <w:rPr>
                <w:rFonts w:ascii="Times New Roman" w:hAnsi="Times New Roman"/>
                <w:i/>
                <w:sz w:val="24"/>
                <w:szCs w:val="24"/>
                <w:lang w:eastAsia="sk-SK"/>
              </w:rPr>
              <w:t xml:space="preserve"> do 2.6.2017.</w:t>
            </w:r>
            <w:r w:rsidR="0040558A">
              <w:rPr>
                <w:rFonts w:ascii="Times New Roman" w:hAnsi="Times New Roman"/>
                <w:i/>
                <w:sz w:val="24"/>
                <w:szCs w:val="24"/>
                <w:lang w:eastAsia="sk-SK"/>
              </w:rPr>
              <w:t xml:space="preserve"> AIFP a GENAS sa nezhodli na detailoch zmluvy o podmienkach úhrady, ktoré majú respektíve nemajú byt predmetom obchodného tajomstva.  </w:t>
            </w:r>
            <w:r w:rsidRPr="001D6025">
              <w:rPr>
                <w:rFonts w:ascii="Times New Roman" w:hAnsi="Times New Roman"/>
                <w:i/>
                <w:sz w:val="24"/>
                <w:szCs w:val="24"/>
                <w:lang w:eastAsia="sk-SK"/>
              </w:rPr>
              <w:t xml:space="preserve"> </w:t>
            </w:r>
          </w:p>
          <w:p w:rsidR="00A60F28" w:rsidRPr="001D6025" w:rsidP="002B4B78">
            <w:pPr>
              <w:bidi w:val="0"/>
              <w:spacing w:after="0" w:line="240" w:lineRule="auto"/>
              <w:rPr>
                <w:rFonts w:ascii="Times New Roman" w:hAnsi="Times New Roman"/>
                <w:i/>
                <w:sz w:val="24"/>
                <w:szCs w:val="24"/>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60F28" w:rsidRPr="001D6025" w:rsidP="002B4B78">
            <w:pPr>
              <w:bidi w:val="0"/>
              <w:spacing w:after="0" w:line="240" w:lineRule="auto"/>
              <w:rPr>
                <w:rFonts w:ascii="Times New Roman" w:hAnsi="Times New Roman"/>
                <w:b/>
                <w:sz w:val="24"/>
                <w:szCs w:val="24"/>
                <w:lang w:eastAsia="sk-SK"/>
              </w:rPr>
            </w:pPr>
            <w:r w:rsidRPr="001D6025">
              <w:rPr>
                <w:rFonts w:ascii="Times New Roman" w:hAnsi="Times New Roman"/>
                <w:b/>
                <w:sz w:val="24"/>
                <w:szCs w:val="24"/>
                <w:lang w:eastAsia="sk-SK"/>
              </w:rPr>
              <w:t>3.3 Náklady regulácie</w:t>
            </w:r>
          </w:p>
          <w:p w:rsidR="00A60F28" w:rsidRPr="001D6025" w:rsidP="002B4B78">
            <w:pPr>
              <w:bidi w:val="0"/>
              <w:spacing w:after="0" w:line="240" w:lineRule="auto"/>
              <w:rPr>
                <w:rFonts w:ascii="Times New Roman" w:hAnsi="Times New Roman"/>
                <w:b/>
                <w:sz w:val="24"/>
                <w:szCs w:val="24"/>
                <w:lang w:eastAsia="sk-SK"/>
              </w:rPr>
            </w:pPr>
            <w:r w:rsidRPr="001D6025">
              <w:rPr>
                <w:rFonts w:ascii="Times New Roman" w:hAnsi="Times New Roman"/>
                <w:sz w:val="24"/>
                <w:szCs w:val="24"/>
                <w:lang w:eastAsia="sk-SK"/>
              </w:rPr>
              <w:t xml:space="preserve">      - </w:t>
            </w:r>
            <w:r w:rsidRPr="001D6025">
              <w:rPr>
                <w:rFonts w:ascii="Times New Roman" w:hAnsi="Times New Roman"/>
                <w:b/>
                <w:sz w:val="24"/>
                <w:szCs w:val="24"/>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60F28" w:rsidRPr="001D6025" w:rsidP="002B4B78">
            <w:pPr>
              <w:bidi w:val="0"/>
              <w:spacing w:after="0" w:line="240" w:lineRule="auto"/>
              <w:rPr>
                <w:rFonts w:ascii="Times New Roman" w:hAnsi="Times New Roman"/>
                <w:b/>
                <w:i/>
                <w:sz w:val="24"/>
                <w:szCs w:val="24"/>
                <w:lang w:eastAsia="sk-SK"/>
              </w:rPr>
            </w:pPr>
            <w:r w:rsidRPr="001D6025">
              <w:rPr>
                <w:rFonts w:ascii="Times New Roman" w:hAnsi="Times New Roman"/>
                <w:b/>
                <w:i/>
                <w:sz w:val="24"/>
                <w:szCs w:val="24"/>
                <w:lang w:eastAsia="sk-SK"/>
              </w:rPr>
              <w:t>3.3.1 Priame finančné náklady</w:t>
            </w:r>
          </w:p>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60F28" w:rsidRPr="001D6025" w:rsidP="002B4B78">
            <w:pPr>
              <w:bidi w:val="0"/>
              <w:spacing w:after="0" w:line="240" w:lineRule="auto"/>
              <w:jc w:val="both"/>
              <w:rPr>
                <w:rFonts w:ascii="Times New Roman" w:hAnsi="Times New Roman"/>
                <w:i/>
                <w:sz w:val="24"/>
                <w:szCs w:val="24"/>
                <w:lang w:eastAsia="sk-SK"/>
              </w:rPr>
            </w:pPr>
            <w:r w:rsidRPr="001D6025">
              <w:rPr>
                <w:rFonts w:ascii="Times New Roman" w:hAnsi="Times New Roman"/>
                <w:i/>
                <w:sz w:val="24"/>
                <w:szCs w:val="24"/>
                <w:lang w:eastAsia="sk-SK"/>
              </w:rPr>
              <w:t xml:space="preserve">Zvýšenie  správnych poplatkov za konania vo veci kategorizácie liekov, zdravotníckych pomôcok a dietetických potravín bude v celkovej sume 1 448 936 eur v roku 2018. Z tejto sumy budú tvoriť poplatky  z dôvodu zvýšených sadzieb správnych poplatkov za žiadosť o zaradenie do zoznamu kategorizovaných liekov, zdravotníckych pomôcok a dietetických potravín  851 200 eur. </w:t>
            </w:r>
          </w:p>
          <w:p w:rsidR="00A60F28" w:rsidRPr="001D6025" w:rsidP="002B4B78">
            <w:pPr>
              <w:bidi w:val="0"/>
              <w:spacing w:after="0" w:line="240" w:lineRule="auto"/>
              <w:jc w:val="both"/>
              <w:rPr>
                <w:rFonts w:ascii="Times New Roman" w:hAnsi="Times New Roman"/>
                <w:i/>
                <w:sz w:val="24"/>
                <w:szCs w:val="24"/>
                <w:lang w:eastAsia="sk-SK"/>
              </w:rPr>
            </w:pPr>
            <w:r w:rsidRPr="001D6025">
              <w:rPr>
                <w:rFonts w:ascii="Times New Roman" w:hAnsi="Times New Roman"/>
                <w:i/>
                <w:sz w:val="24"/>
                <w:szCs w:val="24"/>
                <w:lang w:eastAsia="sk-SK"/>
              </w:rPr>
              <w:t>Predpokladá sa, že sa budú týkať asi 580 subjektov.</w:t>
            </w:r>
          </w:p>
          <w:p w:rsidR="00A60F28" w:rsidRPr="001D6025" w:rsidP="002B4B78">
            <w:pPr>
              <w:bidi w:val="0"/>
              <w:spacing w:after="0" w:line="240" w:lineRule="auto"/>
              <w:jc w:val="both"/>
              <w:rPr>
                <w:rFonts w:ascii="Times New Roman" w:hAnsi="Times New Roman"/>
                <w:i/>
                <w:sz w:val="24"/>
                <w:szCs w:val="24"/>
                <w:lang w:eastAsia="sk-SK"/>
              </w:rPr>
            </w:pPr>
            <w:r w:rsidRPr="001D6025">
              <w:rPr>
                <w:rFonts w:ascii="Times New Roman" w:hAnsi="Times New Roman"/>
                <w:i/>
                <w:sz w:val="24"/>
                <w:szCs w:val="24"/>
                <w:lang w:eastAsia="sk-SK"/>
              </w:rPr>
              <w:t>Novo zavedené poplatky za žiadosť o vyradenie liekov, zdravotníckych pomôcok a dietetických potravín zo zoznamu kategorizovaných liekov, zdravotníckych pomôcok a dietetických potravín budú tvoriť 597 736 eur.</w:t>
            </w:r>
          </w:p>
          <w:p w:rsidR="00A60F28" w:rsidRPr="001D6025" w:rsidP="002B4B78">
            <w:pPr>
              <w:bidi w:val="0"/>
              <w:spacing w:after="0" w:line="240" w:lineRule="auto"/>
              <w:jc w:val="both"/>
              <w:rPr>
                <w:rFonts w:ascii="Times New Roman" w:hAnsi="Times New Roman"/>
                <w:b/>
                <w:i/>
                <w:sz w:val="24"/>
                <w:szCs w:val="24"/>
                <w:lang w:eastAsia="sk-SK"/>
              </w:rPr>
            </w:pPr>
            <w:r w:rsidRPr="001D6025">
              <w:rPr>
                <w:rFonts w:ascii="Times New Roman" w:hAnsi="Times New Roman"/>
                <w:i/>
                <w:sz w:val="24"/>
                <w:szCs w:val="24"/>
                <w:lang w:eastAsia="sk-SK"/>
              </w:rPr>
              <w:t>Predpokladá sa, že sa budú týkať asi 1000 subjektov.</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60F28" w:rsidRPr="001D6025" w:rsidP="002B4B78">
            <w:pPr>
              <w:bidi w:val="0"/>
              <w:spacing w:after="0" w:line="240" w:lineRule="auto"/>
              <w:rPr>
                <w:rFonts w:ascii="Times New Roman" w:hAnsi="Times New Roman"/>
                <w:b/>
                <w:i/>
                <w:sz w:val="24"/>
                <w:szCs w:val="24"/>
                <w:lang w:eastAsia="sk-SK"/>
              </w:rPr>
            </w:pPr>
            <w:r w:rsidRPr="001D6025">
              <w:rPr>
                <w:rFonts w:ascii="Times New Roman" w:hAnsi="Times New Roman"/>
                <w:b/>
                <w:i/>
                <w:sz w:val="24"/>
                <w:szCs w:val="24"/>
                <w:lang w:eastAsia="sk-SK"/>
              </w:rPr>
              <w:t>3.3.2 Nepriame finančné náklady</w:t>
            </w:r>
          </w:p>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Vyžaduje si predkladaný návrh dodatočné náklady na nákup tovarov alebo služieb? Zvyšuje predkladaný návrh náklady súvisiace so zamestnávaním? 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60F28" w:rsidRPr="001D6025" w:rsidP="002B4B78">
            <w:pPr>
              <w:bidi w:val="0"/>
              <w:spacing w:after="0" w:line="240" w:lineRule="auto"/>
              <w:rPr>
                <w:rFonts w:ascii="Times New Roman" w:hAnsi="Times New Roman"/>
                <w:b/>
                <w:i/>
                <w:sz w:val="24"/>
                <w:szCs w:val="24"/>
                <w:lang w:eastAsia="sk-SK"/>
              </w:rPr>
            </w:pPr>
          </w:p>
          <w:p w:rsidR="00A60F28" w:rsidRPr="001D6025" w:rsidP="002B4B78">
            <w:pPr>
              <w:bidi w:val="0"/>
              <w:spacing w:after="0" w:line="240" w:lineRule="auto"/>
              <w:jc w:val="both"/>
              <w:rPr>
                <w:rFonts w:ascii="Times New Roman" w:hAnsi="Times New Roman"/>
                <w:i/>
                <w:sz w:val="24"/>
                <w:szCs w:val="24"/>
                <w:lang w:eastAsia="sk-SK"/>
              </w:rPr>
            </w:pPr>
            <w:r w:rsidRPr="001D6025">
              <w:rPr>
                <w:rFonts w:ascii="Times New Roman" w:hAnsi="Times New Roman"/>
                <w:i/>
                <w:sz w:val="24"/>
                <w:szCs w:val="24"/>
                <w:lang w:eastAsia="sk-SK"/>
              </w:rPr>
              <w:t>Návrh zákona nemá vplyv na nepriame náklady.</w:t>
            </w:r>
          </w:p>
          <w:p w:rsidR="00A60F28" w:rsidRPr="001D6025" w:rsidP="002B4B78">
            <w:pPr>
              <w:bidi w:val="0"/>
              <w:spacing w:after="0" w:line="240" w:lineRule="auto"/>
              <w:jc w:val="both"/>
              <w:rPr>
                <w:rFonts w:ascii="Times New Roman" w:hAnsi="Times New Roman"/>
                <w:b/>
                <w:i/>
                <w:sz w:val="24"/>
                <w:szCs w:val="24"/>
                <w:lang w:eastAsia="sk-SK"/>
              </w:rPr>
            </w:pPr>
            <w:r w:rsidRPr="001D6025">
              <w:rPr>
                <w:rFonts w:ascii="Times New Roman" w:hAnsi="Times New Roman"/>
                <w:b/>
                <w:i/>
                <w:sz w:val="24"/>
                <w:szCs w:val="24"/>
                <w:lang w:eastAsia="sk-SK"/>
              </w:rPr>
              <w:t xml:space="preserve">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60F28" w:rsidRPr="001D6025" w:rsidP="002B4B78">
            <w:pPr>
              <w:bidi w:val="0"/>
              <w:spacing w:after="0" w:line="240" w:lineRule="auto"/>
              <w:rPr>
                <w:rFonts w:ascii="Times New Roman" w:hAnsi="Times New Roman"/>
                <w:b/>
                <w:i/>
                <w:sz w:val="24"/>
                <w:szCs w:val="24"/>
                <w:lang w:eastAsia="sk-SK"/>
              </w:rPr>
            </w:pPr>
            <w:r w:rsidRPr="001D6025">
              <w:rPr>
                <w:rFonts w:ascii="Times New Roman" w:hAnsi="Times New Roman"/>
                <w:b/>
                <w:i/>
                <w:sz w:val="24"/>
                <w:szCs w:val="24"/>
                <w:lang w:eastAsia="sk-SK"/>
              </w:rPr>
              <w:t>3.3.3 Administratívne náklady</w:t>
            </w:r>
          </w:p>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60F28" w:rsidRPr="001D6025" w:rsidP="002B4B78">
            <w:pPr>
              <w:bidi w:val="0"/>
              <w:spacing w:after="0" w:line="240" w:lineRule="auto"/>
              <w:jc w:val="both"/>
              <w:rPr>
                <w:rFonts w:ascii="Times New Roman" w:hAnsi="Times New Roman"/>
                <w:i/>
                <w:sz w:val="24"/>
                <w:szCs w:val="24"/>
                <w:lang w:eastAsia="sk-SK"/>
              </w:rPr>
            </w:pPr>
            <w:r w:rsidRPr="001D6025">
              <w:rPr>
                <w:rFonts w:ascii="Times New Roman" w:hAnsi="Times New Roman"/>
                <w:i/>
                <w:sz w:val="24"/>
                <w:szCs w:val="24"/>
                <w:lang w:eastAsia="sk-SK"/>
              </w:rPr>
              <w:t>Novela zákona zavádza nové povinnosti súvisiace s konaniami o kategorizácii liekov, zdravotníckych pomôcok a dietetických potravín.</w:t>
            </w:r>
          </w:p>
          <w:p w:rsidR="00A60F28" w:rsidRPr="001D6025" w:rsidP="002B4B78">
            <w:pPr>
              <w:bidi w:val="0"/>
              <w:spacing w:after="0" w:line="240" w:lineRule="auto"/>
              <w:jc w:val="both"/>
              <w:rPr>
                <w:rFonts w:ascii="Times New Roman" w:hAnsi="Times New Roman"/>
                <w:i/>
                <w:sz w:val="24"/>
                <w:szCs w:val="24"/>
                <w:lang w:eastAsia="sk-SK"/>
              </w:rPr>
            </w:pPr>
            <w:r w:rsidRPr="001D6025">
              <w:rPr>
                <w:rFonts w:ascii="Times New Roman" w:hAnsi="Times New Roman"/>
                <w:i/>
                <w:sz w:val="24"/>
                <w:szCs w:val="24"/>
                <w:lang w:eastAsia="sk-SK"/>
              </w:rPr>
              <w:t>Návrh maximálnej sumy úhrad zdravotných poisťovní za liek alebo za spoločne posudzované lieky na obdobie podmienenej kategorizácie predkladá držiteľ registrácie lieku pre lieky, ktoré  majú významný vplyv na prostriedky verejného zdravotného poistenia. Predkladá sa 1-krát ročne. Odhaduje sa, že sa bude týkať asi 200 držiteľov registrácie lieku.</w:t>
            </w:r>
          </w:p>
          <w:p w:rsidR="00A60F28" w:rsidRPr="001D6025" w:rsidP="002B4B78">
            <w:pPr>
              <w:bidi w:val="0"/>
              <w:spacing w:after="0" w:line="240" w:lineRule="auto"/>
              <w:jc w:val="both"/>
              <w:rPr>
                <w:rFonts w:ascii="Times New Roman" w:hAnsi="Times New Roman"/>
                <w:i/>
                <w:sz w:val="24"/>
                <w:szCs w:val="24"/>
                <w:lang w:eastAsia="sk-SK"/>
              </w:rPr>
            </w:pPr>
            <w:r w:rsidRPr="001D6025">
              <w:rPr>
                <w:rFonts w:ascii="Times New Roman" w:hAnsi="Times New Roman"/>
                <w:i/>
                <w:sz w:val="24"/>
                <w:szCs w:val="24"/>
                <w:lang w:eastAsia="sk-SK"/>
              </w:rPr>
              <w:t>Stanovenie koeficientu prahovej hodnoty je súčasťou žiadosti o zaradenie lieku do zoznamu kategorizovaných liekov. Predkladá ju držiteľ registrácie lieku jednorázovo. Predpokladá sa, že sa bude týkať asi 140 držiteľov registrácie lieku.</w:t>
            </w:r>
          </w:p>
          <w:p w:rsidR="00A60F28" w:rsidRPr="001D6025" w:rsidP="002B4B78">
            <w:pPr>
              <w:bidi w:val="0"/>
              <w:spacing w:after="0" w:line="240" w:lineRule="auto"/>
              <w:jc w:val="both"/>
              <w:rPr>
                <w:rFonts w:ascii="Times New Roman" w:hAnsi="Times New Roman"/>
                <w:i/>
                <w:sz w:val="24"/>
                <w:szCs w:val="24"/>
                <w:lang w:eastAsia="sk-SK"/>
              </w:rPr>
            </w:pPr>
            <w:r w:rsidRPr="001D6025">
              <w:rPr>
                <w:rFonts w:ascii="Times New Roman" w:hAnsi="Times New Roman"/>
                <w:i/>
                <w:sz w:val="24"/>
                <w:szCs w:val="24"/>
                <w:lang w:eastAsia="sk-SK"/>
              </w:rPr>
              <w:t>Zmluvu o podmienkach úhrady</w:t>
            </w:r>
            <w:r w:rsidRPr="001D6025">
              <w:rPr>
                <w:rFonts w:ascii="Times New Roman" w:hAnsi="Times New Roman"/>
                <w:sz w:val="24"/>
                <w:szCs w:val="24"/>
                <w:lang w:eastAsia="sk-SK"/>
              </w:rPr>
              <w:t xml:space="preserve"> </w:t>
            </w:r>
            <w:r w:rsidRPr="001D6025">
              <w:rPr>
                <w:rFonts w:ascii="Times New Roman" w:hAnsi="Times New Roman"/>
                <w:i/>
                <w:sz w:val="24"/>
                <w:szCs w:val="24"/>
                <w:lang w:eastAsia="sk-SK"/>
              </w:rPr>
              <w:t>lieku zdravotnou poisťovňou predkladá  držiteľ registrácie lieku jednorázovo. Predpokladá sa, že sa bude týkať asi 40 držiteľov registrácie lieku.</w:t>
            </w:r>
          </w:p>
          <w:p w:rsidR="00A60F28" w:rsidRPr="001D6025" w:rsidP="002B4B78">
            <w:pPr>
              <w:bidi w:val="0"/>
              <w:spacing w:after="0" w:line="240" w:lineRule="auto"/>
              <w:rPr>
                <w:rFonts w:ascii="Times New Roman" w:hAnsi="Times New Roman"/>
                <w:b/>
                <w:i/>
                <w:sz w:val="24"/>
                <w:szCs w:val="24"/>
                <w:lang w:eastAsia="sk-SK"/>
              </w:rPr>
            </w:pP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b/>
                <w:i/>
                <w:sz w:val="24"/>
                <w:szCs w:val="24"/>
                <w:lang w:eastAsia="sk-SK"/>
              </w:rPr>
              <w:t>3.3.4 Súhrnná tabuľka nákladov regulácie</w:t>
            </w:r>
          </w:p>
          <w:tbl>
            <w:tblPr>
              <w:tblStyle w:val="TableNormal"/>
              <w:tblW w:w="8500" w:type="dxa"/>
              <w:tblCellMar>
                <w:left w:w="70" w:type="dxa"/>
                <w:right w:w="70" w:type="dxa"/>
              </w:tblCellMar>
              <w:tblLook w:val="04A0"/>
            </w:tblPr>
            <w:tblGrid>
              <w:gridCol w:w="2980"/>
              <w:gridCol w:w="2620"/>
              <w:gridCol w:w="2900"/>
            </w:tblGrid>
            <w:tr>
              <w:tblPrEx>
                <w:tblW w:w="8500" w:type="dxa"/>
                <w:tblCellMar>
                  <w:left w:w="70" w:type="dxa"/>
                  <w:right w:w="70" w:type="dxa"/>
                </w:tblCellMar>
                <w:tblLook w:val="04A0"/>
              </w:tblPrEx>
              <w:trPr>
                <w:trHeight w:val="525"/>
              </w:trPr>
              <w:tc>
                <w:tcPr>
                  <w:tcW w:w="2980" w:type="dxa"/>
                  <w:tcBorders>
                    <w:top w:val="single" w:sz="8" w:space="0" w:color="auto"/>
                    <w:left w:val="single" w:sz="8" w:space="0" w:color="auto"/>
                    <w:bottom w:val="single" w:sz="8" w:space="0" w:color="auto"/>
                    <w:right w:val="single" w:sz="8" w:space="0" w:color="auto"/>
                  </w:tcBorders>
                  <w:textDirection w:val="lrTb"/>
                  <w:vAlign w:val="center"/>
                  <w:hideMark/>
                </w:tcPr>
                <w:p w:rsidR="00A60F28" w:rsidRPr="001D6025" w:rsidP="002B4B78">
                  <w:pPr>
                    <w:bidi w:val="0"/>
                    <w:spacing w:after="0" w:line="240" w:lineRule="auto"/>
                    <w:rPr>
                      <w:rFonts w:ascii="Times New Roman" w:hAnsi="Times New Roman"/>
                      <w:i/>
                      <w:iCs/>
                      <w:color w:val="000000"/>
                      <w:sz w:val="24"/>
                      <w:szCs w:val="24"/>
                      <w:lang w:eastAsia="sk-SK"/>
                    </w:rPr>
                  </w:pPr>
                  <w:r w:rsidRPr="001D6025">
                    <w:rPr>
                      <w:rFonts w:ascii="Times New Roman" w:hAnsi="Times New Roman"/>
                      <w:i/>
                      <w:iCs/>
                      <w:color w:val="000000"/>
                      <w:sz w:val="24"/>
                      <w:szCs w:val="24"/>
                      <w:lang w:eastAsia="sk-SK"/>
                    </w:rPr>
                    <w:t> </w:t>
                  </w:r>
                </w:p>
              </w:tc>
              <w:tc>
                <w:tcPr>
                  <w:tcW w:w="2620" w:type="dxa"/>
                  <w:tcBorders>
                    <w:top w:val="single" w:sz="8" w:space="0" w:color="auto"/>
                    <w:left w:val="none" w:sz="0" w:space="0" w:color="auto"/>
                    <w:bottom w:val="single" w:sz="8" w:space="0" w:color="auto"/>
                    <w:right w:val="single" w:sz="8" w:space="0" w:color="auto"/>
                  </w:tcBorders>
                  <w:textDirection w:val="lrTb"/>
                  <w:vAlign w:val="center"/>
                  <w:hideMark/>
                </w:tcPr>
                <w:p w:rsidR="00A60F28" w:rsidRPr="001D6025" w:rsidP="002B4B78">
                  <w:pPr>
                    <w:bidi w:val="0"/>
                    <w:spacing w:after="0" w:line="240" w:lineRule="auto"/>
                    <w:jc w:val="center"/>
                    <w:rPr>
                      <w:rFonts w:ascii="Times New Roman" w:hAnsi="Times New Roman"/>
                      <w:i/>
                      <w:iCs/>
                      <w:color w:val="000000"/>
                      <w:sz w:val="24"/>
                      <w:szCs w:val="24"/>
                      <w:lang w:eastAsia="sk-SK"/>
                    </w:rPr>
                  </w:pPr>
                  <w:r w:rsidRPr="001D6025">
                    <w:rPr>
                      <w:rFonts w:ascii="Times New Roman" w:hAnsi="Times New Roman"/>
                      <w:i/>
                      <w:iCs/>
                      <w:color w:val="000000"/>
                      <w:sz w:val="24"/>
                      <w:szCs w:val="24"/>
                      <w:lang w:eastAsia="sk-SK"/>
                    </w:rPr>
                    <w:t>Náklady na 1 podnikateľa</w:t>
                  </w:r>
                </w:p>
              </w:tc>
              <w:tc>
                <w:tcPr>
                  <w:tcW w:w="2900" w:type="dxa"/>
                  <w:tcBorders>
                    <w:top w:val="single" w:sz="8" w:space="0" w:color="auto"/>
                    <w:left w:val="none" w:sz="0" w:space="0" w:color="auto"/>
                    <w:bottom w:val="single" w:sz="8" w:space="0" w:color="auto"/>
                    <w:right w:val="single" w:sz="8" w:space="0" w:color="auto"/>
                  </w:tcBorders>
                  <w:textDirection w:val="lrTb"/>
                  <w:vAlign w:val="center"/>
                  <w:hideMark/>
                </w:tcPr>
                <w:p w:rsidR="00A60F28" w:rsidRPr="001D6025" w:rsidP="002B4B78">
                  <w:pPr>
                    <w:bidi w:val="0"/>
                    <w:spacing w:after="0" w:line="240" w:lineRule="auto"/>
                    <w:jc w:val="center"/>
                    <w:rPr>
                      <w:rFonts w:ascii="Times New Roman" w:hAnsi="Times New Roman"/>
                      <w:i/>
                      <w:iCs/>
                      <w:color w:val="000000"/>
                      <w:sz w:val="24"/>
                      <w:szCs w:val="24"/>
                      <w:lang w:eastAsia="sk-SK"/>
                    </w:rPr>
                  </w:pPr>
                  <w:r w:rsidRPr="001D6025">
                    <w:rPr>
                      <w:rFonts w:ascii="Times New Roman" w:hAnsi="Times New Roman"/>
                      <w:i/>
                      <w:iCs/>
                      <w:color w:val="000000"/>
                      <w:sz w:val="24"/>
                      <w:szCs w:val="24"/>
                      <w:lang w:eastAsia="sk-SK"/>
                    </w:rPr>
                    <w:t>Náklady na celé podnikateľské prostredie</w:t>
                  </w:r>
                </w:p>
              </w:tc>
            </w:tr>
            <w:tr>
              <w:tblPrEx>
                <w:tblW w:w="8500" w:type="dxa"/>
                <w:tblCellMar>
                  <w:left w:w="70" w:type="dxa"/>
                  <w:right w:w="70" w:type="dxa"/>
                </w:tblCellMar>
                <w:tblLook w:val="04A0"/>
              </w:tblPrEx>
              <w:trPr>
                <w:trHeight w:val="315"/>
              </w:trPr>
              <w:tc>
                <w:tcPr>
                  <w:tcW w:w="2980" w:type="dxa"/>
                  <w:tcBorders>
                    <w:top w:val="none" w:sz="0" w:space="0" w:color="auto"/>
                    <w:left w:val="single" w:sz="8" w:space="0" w:color="auto"/>
                    <w:bottom w:val="single" w:sz="8" w:space="0" w:color="auto"/>
                    <w:right w:val="single" w:sz="8" w:space="0" w:color="auto"/>
                  </w:tcBorders>
                  <w:textDirection w:val="lrTb"/>
                  <w:vAlign w:val="center"/>
                  <w:hideMark/>
                </w:tcPr>
                <w:p w:rsidR="00A60F28" w:rsidRPr="001D6025" w:rsidP="002B4B78">
                  <w:pPr>
                    <w:bidi w:val="0"/>
                    <w:spacing w:after="0" w:line="240" w:lineRule="auto"/>
                    <w:rPr>
                      <w:rFonts w:ascii="Times New Roman" w:hAnsi="Times New Roman"/>
                      <w:i/>
                      <w:iCs/>
                      <w:color w:val="000000"/>
                      <w:sz w:val="24"/>
                      <w:szCs w:val="24"/>
                      <w:lang w:eastAsia="sk-SK"/>
                    </w:rPr>
                  </w:pPr>
                  <w:r w:rsidRPr="001D6025">
                    <w:rPr>
                      <w:rFonts w:ascii="Times New Roman" w:hAnsi="Times New Roman"/>
                      <w:i/>
                      <w:iCs/>
                      <w:color w:val="000000"/>
                      <w:sz w:val="24"/>
                      <w:szCs w:val="24"/>
                      <w:lang w:eastAsia="sk-SK"/>
                    </w:rPr>
                    <w:t>Priame finančné náklady</w:t>
                  </w:r>
                </w:p>
              </w:tc>
              <w:tc>
                <w:tcPr>
                  <w:tcW w:w="2620" w:type="dxa"/>
                  <w:tcBorders>
                    <w:top w:val="none" w:sz="0" w:space="0" w:color="auto"/>
                    <w:left w:val="none" w:sz="0" w:space="0" w:color="auto"/>
                    <w:bottom w:val="single" w:sz="8" w:space="0" w:color="auto"/>
                    <w:right w:val="single" w:sz="8" w:space="0" w:color="auto"/>
                  </w:tcBorders>
                  <w:textDirection w:val="lrTb"/>
                  <w:vAlign w:val="center"/>
                  <w:hideMark/>
                </w:tcPr>
                <w:p w:rsidR="00A60F28" w:rsidRPr="001D6025" w:rsidP="002B4B78">
                  <w:pPr>
                    <w:bidi w:val="0"/>
                    <w:spacing w:after="0" w:line="240" w:lineRule="auto"/>
                    <w:jc w:val="center"/>
                    <w:rPr>
                      <w:rFonts w:ascii="Times New Roman" w:hAnsi="Times New Roman"/>
                      <w:i/>
                      <w:iCs/>
                      <w:color w:val="000000"/>
                      <w:sz w:val="24"/>
                      <w:szCs w:val="24"/>
                      <w:lang w:eastAsia="sk-SK"/>
                    </w:rPr>
                  </w:pPr>
                  <w:r w:rsidRPr="001D6025">
                    <w:rPr>
                      <w:rFonts w:ascii="Times New Roman" w:hAnsi="Times New Roman"/>
                      <w:i/>
                      <w:iCs/>
                      <w:color w:val="000000"/>
                      <w:sz w:val="24"/>
                      <w:szCs w:val="24"/>
                      <w:lang w:eastAsia="sk-SK"/>
                    </w:rPr>
                    <w:t>918,00</w:t>
                  </w:r>
                </w:p>
              </w:tc>
              <w:tc>
                <w:tcPr>
                  <w:tcW w:w="2900" w:type="dxa"/>
                  <w:tcBorders>
                    <w:top w:val="none" w:sz="0" w:space="0" w:color="auto"/>
                    <w:left w:val="none" w:sz="0" w:space="0" w:color="auto"/>
                    <w:bottom w:val="single" w:sz="8" w:space="0" w:color="auto"/>
                    <w:right w:val="single" w:sz="8" w:space="0" w:color="auto"/>
                  </w:tcBorders>
                  <w:textDirection w:val="lrTb"/>
                  <w:vAlign w:val="center"/>
                  <w:hideMark/>
                </w:tcPr>
                <w:p w:rsidR="00A60F28" w:rsidRPr="001D6025" w:rsidP="002B4B78">
                  <w:pPr>
                    <w:bidi w:val="0"/>
                    <w:spacing w:after="0" w:line="240" w:lineRule="auto"/>
                    <w:jc w:val="center"/>
                    <w:rPr>
                      <w:rFonts w:ascii="Times New Roman" w:hAnsi="Times New Roman"/>
                      <w:i/>
                      <w:iCs/>
                      <w:color w:val="000000"/>
                      <w:sz w:val="24"/>
                      <w:szCs w:val="24"/>
                      <w:lang w:eastAsia="sk-SK"/>
                    </w:rPr>
                  </w:pPr>
                  <w:r w:rsidRPr="001D6025">
                    <w:rPr>
                      <w:rFonts w:ascii="Times New Roman" w:hAnsi="Times New Roman"/>
                      <w:i/>
                      <w:iCs/>
                      <w:color w:val="000000"/>
                      <w:sz w:val="24"/>
                      <w:szCs w:val="24"/>
                      <w:lang w:eastAsia="sk-SK"/>
                    </w:rPr>
                    <w:t>1 448 936,00</w:t>
                  </w:r>
                </w:p>
              </w:tc>
            </w:tr>
            <w:tr>
              <w:tblPrEx>
                <w:tblW w:w="8500" w:type="dxa"/>
                <w:tblCellMar>
                  <w:left w:w="70" w:type="dxa"/>
                  <w:right w:w="70" w:type="dxa"/>
                </w:tblCellMar>
                <w:tblLook w:val="04A0"/>
              </w:tblPrEx>
              <w:trPr>
                <w:trHeight w:val="315"/>
              </w:trPr>
              <w:tc>
                <w:tcPr>
                  <w:tcW w:w="2980" w:type="dxa"/>
                  <w:tcBorders>
                    <w:top w:val="none" w:sz="0" w:space="0" w:color="auto"/>
                    <w:left w:val="single" w:sz="8" w:space="0" w:color="auto"/>
                    <w:bottom w:val="single" w:sz="8" w:space="0" w:color="auto"/>
                    <w:right w:val="single" w:sz="8" w:space="0" w:color="auto"/>
                  </w:tcBorders>
                  <w:textDirection w:val="lrTb"/>
                  <w:vAlign w:val="center"/>
                  <w:hideMark/>
                </w:tcPr>
                <w:p w:rsidR="00A60F28" w:rsidRPr="001D6025" w:rsidP="002B4B78">
                  <w:pPr>
                    <w:bidi w:val="0"/>
                    <w:spacing w:after="0" w:line="240" w:lineRule="auto"/>
                    <w:rPr>
                      <w:rFonts w:ascii="Times New Roman" w:hAnsi="Times New Roman"/>
                      <w:i/>
                      <w:iCs/>
                      <w:color w:val="000000"/>
                      <w:sz w:val="24"/>
                      <w:szCs w:val="24"/>
                      <w:lang w:eastAsia="sk-SK"/>
                    </w:rPr>
                  </w:pPr>
                  <w:r w:rsidRPr="001D6025">
                    <w:rPr>
                      <w:rFonts w:ascii="Times New Roman" w:hAnsi="Times New Roman"/>
                      <w:i/>
                      <w:iCs/>
                      <w:color w:val="000000"/>
                      <w:sz w:val="24"/>
                      <w:szCs w:val="24"/>
                      <w:lang w:eastAsia="sk-SK"/>
                    </w:rPr>
                    <w:t>Nepriame finančné náklady</w:t>
                  </w:r>
                </w:p>
              </w:tc>
              <w:tc>
                <w:tcPr>
                  <w:tcW w:w="2620" w:type="dxa"/>
                  <w:tcBorders>
                    <w:top w:val="none" w:sz="0" w:space="0" w:color="auto"/>
                    <w:left w:val="none" w:sz="0" w:space="0" w:color="auto"/>
                    <w:bottom w:val="single" w:sz="8" w:space="0" w:color="auto"/>
                    <w:right w:val="single" w:sz="8" w:space="0" w:color="auto"/>
                  </w:tcBorders>
                  <w:textDirection w:val="lrTb"/>
                  <w:vAlign w:val="center"/>
                  <w:hideMark/>
                </w:tcPr>
                <w:p w:rsidR="00A60F28" w:rsidRPr="001D6025" w:rsidP="002B4B78">
                  <w:pPr>
                    <w:bidi w:val="0"/>
                    <w:spacing w:after="0" w:line="240" w:lineRule="auto"/>
                    <w:jc w:val="center"/>
                    <w:rPr>
                      <w:rFonts w:ascii="Times New Roman" w:hAnsi="Times New Roman"/>
                      <w:i/>
                      <w:iCs/>
                      <w:color w:val="000000"/>
                      <w:sz w:val="24"/>
                      <w:szCs w:val="24"/>
                      <w:lang w:eastAsia="sk-SK"/>
                    </w:rPr>
                  </w:pPr>
                  <w:r w:rsidRPr="001D6025">
                    <w:rPr>
                      <w:rFonts w:ascii="Times New Roman" w:hAnsi="Times New Roman"/>
                      <w:i/>
                      <w:iCs/>
                      <w:color w:val="000000"/>
                      <w:sz w:val="24"/>
                      <w:szCs w:val="24"/>
                      <w:lang w:eastAsia="sk-SK"/>
                    </w:rPr>
                    <w:t>-</w:t>
                  </w:r>
                </w:p>
              </w:tc>
              <w:tc>
                <w:tcPr>
                  <w:tcW w:w="2900" w:type="dxa"/>
                  <w:tcBorders>
                    <w:top w:val="none" w:sz="0" w:space="0" w:color="auto"/>
                    <w:left w:val="none" w:sz="0" w:space="0" w:color="auto"/>
                    <w:bottom w:val="single" w:sz="8" w:space="0" w:color="auto"/>
                    <w:right w:val="single" w:sz="8" w:space="0" w:color="auto"/>
                  </w:tcBorders>
                  <w:textDirection w:val="lrTb"/>
                  <w:vAlign w:val="center"/>
                  <w:hideMark/>
                </w:tcPr>
                <w:p w:rsidR="00A60F28" w:rsidRPr="001D6025" w:rsidP="002B4B78">
                  <w:pPr>
                    <w:bidi w:val="0"/>
                    <w:spacing w:after="0" w:line="240" w:lineRule="auto"/>
                    <w:jc w:val="center"/>
                    <w:rPr>
                      <w:rFonts w:ascii="Times New Roman" w:hAnsi="Times New Roman"/>
                      <w:i/>
                      <w:iCs/>
                      <w:color w:val="000000"/>
                      <w:sz w:val="24"/>
                      <w:szCs w:val="24"/>
                      <w:lang w:eastAsia="sk-SK"/>
                    </w:rPr>
                  </w:pPr>
                  <w:r w:rsidRPr="001D6025">
                    <w:rPr>
                      <w:rFonts w:ascii="Times New Roman" w:hAnsi="Times New Roman"/>
                      <w:i/>
                      <w:iCs/>
                      <w:color w:val="000000"/>
                      <w:sz w:val="24"/>
                      <w:szCs w:val="24"/>
                      <w:lang w:eastAsia="sk-SK"/>
                    </w:rPr>
                    <w:t>-</w:t>
                  </w:r>
                </w:p>
              </w:tc>
            </w:tr>
            <w:tr>
              <w:tblPrEx>
                <w:tblW w:w="8500" w:type="dxa"/>
                <w:tblCellMar>
                  <w:left w:w="70" w:type="dxa"/>
                  <w:right w:w="70" w:type="dxa"/>
                </w:tblCellMar>
                <w:tblLook w:val="04A0"/>
              </w:tblPrEx>
              <w:trPr>
                <w:trHeight w:val="315"/>
              </w:trPr>
              <w:tc>
                <w:tcPr>
                  <w:tcW w:w="2980" w:type="dxa"/>
                  <w:tcBorders>
                    <w:top w:val="none" w:sz="0" w:space="0" w:color="auto"/>
                    <w:left w:val="single" w:sz="8" w:space="0" w:color="auto"/>
                    <w:bottom w:val="single" w:sz="8" w:space="0" w:color="auto"/>
                    <w:right w:val="single" w:sz="8" w:space="0" w:color="auto"/>
                  </w:tcBorders>
                  <w:textDirection w:val="lrTb"/>
                  <w:vAlign w:val="center"/>
                  <w:hideMark/>
                </w:tcPr>
                <w:p w:rsidR="00A60F28" w:rsidRPr="001D6025" w:rsidP="002B4B78">
                  <w:pPr>
                    <w:bidi w:val="0"/>
                    <w:spacing w:after="0" w:line="240" w:lineRule="auto"/>
                    <w:rPr>
                      <w:rFonts w:ascii="Times New Roman" w:hAnsi="Times New Roman"/>
                      <w:i/>
                      <w:iCs/>
                      <w:color w:val="000000"/>
                      <w:sz w:val="24"/>
                      <w:szCs w:val="24"/>
                      <w:lang w:eastAsia="sk-SK"/>
                    </w:rPr>
                  </w:pPr>
                  <w:r w:rsidRPr="001D6025">
                    <w:rPr>
                      <w:rFonts w:ascii="Times New Roman" w:hAnsi="Times New Roman"/>
                      <w:i/>
                      <w:iCs/>
                      <w:color w:val="000000"/>
                      <w:sz w:val="24"/>
                      <w:szCs w:val="24"/>
                      <w:lang w:eastAsia="sk-SK"/>
                    </w:rPr>
                    <w:t>Administratívne náklady</w:t>
                  </w:r>
                </w:p>
              </w:tc>
              <w:tc>
                <w:tcPr>
                  <w:tcW w:w="2620" w:type="dxa"/>
                  <w:tcBorders>
                    <w:top w:val="none" w:sz="0" w:space="0" w:color="auto"/>
                    <w:left w:val="none" w:sz="0" w:space="0" w:color="auto"/>
                    <w:bottom w:val="single" w:sz="8" w:space="0" w:color="auto"/>
                    <w:right w:val="single" w:sz="8" w:space="0" w:color="auto"/>
                  </w:tcBorders>
                  <w:textDirection w:val="lrTb"/>
                  <w:vAlign w:val="center"/>
                  <w:hideMark/>
                </w:tcPr>
                <w:p w:rsidR="00A60F28" w:rsidRPr="001D6025" w:rsidP="002B4B78">
                  <w:pPr>
                    <w:bidi w:val="0"/>
                    <w:spacing w:after="0" w:line="240" w:lineRule="auto"/>
                    <w:jc w:val="center"/>
                    <w:rPr>
                      <w:rFonts w:ascii="Times New Roman" w:hAnsi="Times New Roman"/>
                      <w:i/>
                      <w:iCs/>
                      <w:color w:val="000000"/>
                      <w:sz w:val="24"/>
                      <w:szCs w:val="24"/>
                      <w:lang w:eastAsia="sk-SK"/>
                    </w:rPr>
                  </w:pPr>
                  <w:r w:rsidRPr="001D6025">
                    <w:rPr>
                      <w:rFonts w:ascii="Times New Roman" w:hAnsi="Times New Roman"/>
                      <w:i/>
                      <w:iCs/>
                      <w:color w:val="000000"/>
                      <w:sz w:val="24"/>
                      <w:szCs w:val="24"/>
                      <w:lang w:eastAsia="sk-SK"/>
                    </w:rPr>
                    <w:t xml:space="preserve">265,29 </w:t>
                  </w:r>
                </w:p>
              </w:tc>
              <w:tc>
                <w:tcPr>
                  <w:tcW w:w="2900" w:type="dxa"/>
                  <w:tcBorders>
                    <w:top w:val="none" w:sz="0" w:space="0" w:color="auto"/>
                    <w:left w:val="none" w:sz="0" w:space="0" w:color="auto"/>
                    <w:bottom w:val="single" w:sz="8" w:space="0" w:color="auto"/>
                    <w:right w:val="single" w:sz="8" w:space="0" w:color="auto"/>
                  </w:tcBorders>
                  <w:textDirection w:val="lrTb"/>
                  <w:vAlign w:val="center"/>
                  <w:hideMark/>
                </w:tcPr>
                <w:p w:rsidR="00A60F28" w:rsidRPr="001D6025" w:rsidP="002B4B78">
                  <w:pPr>
                    <w:bidi w:val="0"/>
                    <w:spacing w:after="0" w:line="240" w:lineRule="auto"/>
                    <w:jc w:val="center"/>
                    <w:rPr>
                      <w:rFonts w:ascii="Times New Roman" w:hAnsi="Times New Roman"/>
                      <w:i/>
                      <w:iCs/>
                      <w:color w:val="000000"/>
                      <w:sz w:val="24"/>
                      <w:szCs w:val="24"/>
                      <w:lang w:eastAsia="sk-SK"/>
                    </w:rPr>
                  </w:pPr>
                  <w:r w:rsidRPr="001D6025">
                    <w:rPr>
                      <w:rFonts w:ascii="Times New Roman" w:hAnsi="Times New Roman"/>
                      <w:i/>
                      <w:iCs/>
                      <w:color w:val="000000"/>
                      <w:sz w:val="24"/>
                      <w:szCs w:val="24"/>
                      <w:lang w:eastAsia="sk-SK"/>
                    </w:rPr>
                    <w:t>27 767,45</w:t>
                  </w:r>
                </w:p>
              </w:tc>
            </w:tr>
            <w:tr>
              <w:tblPrEx>
                <w:tblW w:w="8500" w:type="dxa"/>
                <w:tblCellMar>
                  <w:left w:w="70" w:type="dxa"/>
                  <w:right w:w="70" w:type="dxa"/>
                </w:tblCellMar>
                <w:tblLook w:val="04A0"/>
              </w:tblPrEx>
              <w:trPr>
                <w:trHeight w:val="315"/>
              </w:trPr>
              <w:tc>
                <w:tcPr>
                  <w:tcW w:w="2980" w:type="dxa"/>
                  <w:tcBorders>
                    <w:top w:val="none" w:sz="0" w:space="0" w:color="auto"/>
                    <w:left w:val="single" w:sz="8" w:space="0" w:color="auto"/>
                    <w:bottom w:val="single" w:sz="8" w:space="0" w:color="auto"/>
                    <w:right w:val="single" w:sz="8" w:space="0" w:color="auto"/>
                  </w:tcBorders>
                  <w:textDirection w:val="lrTb"/>
                  <w:vAlign w:val="center"/>
                  <w:hideMark/>
                </w:tcPr>
                <w:p w:rsidR="00A60F28" w:rsidRPr="001D6025" w:rsidP="002B4B78">
                  <w:pPr>
                    <w:bidi w:val="0"/>
                    <w:spacing w:after="0" w:line="240" w:lineRule="auto"/>
                    <w:rPr>
                      <w:rFonts w:ascii="Times New Roman" w:hAnsi="Times New Roman"/>
                      <w:b/>
                      <w:bCs/>
                      <w:i/>
                      <w:iCs/>
                      <w:color w:val="000000"/>
                      <w:sz w:val="24"/>
                      <w:szCs w:val="24"/>
                      <w:lang w:eastAsia="sk-SK"/>
                    </w:rPr>
                  </w:pPr>
                  <w:r w:rsidRPr="001D6025">
                    <w:rPr>
                      <w:rFonts w:ascii="Times New Roman" w:hAnsi="Times New Roman"/>
                      <w:b/>
                      <w:bCs/>
                      <w:i/>
                      <w:iCs/>
                      <w:color w:val="000000"/>
                      <w:sz w:val="24"/>
                      <w:szCs w:val="24"/>
                      <w:lang w:eastAsia="sk-SK"/>
                    </w:rPr>
                    <w:t>Celkové náklady regulácie</w:t>
                  </w:r>
                </w:p>
              </w:tc>
              <w:tc>
                <w:tcPr>
                  <w:tcW w:w="2620" w:type="dxa"/>
                  <w:tcBorders>
                    <w:top w:val="none" w:sz="0" w:space="0" w:color="auto"/>
                    <w:left w:val="none" w:sz="0" w:space="0" w:color="auto"/>
                    <w:bottom w:val="single" w:sz="8" w:space="0" w:color="auto"/>
                    <w:right w:val="single" w:sz="8" w:space="0" w:color="auto"/>
                  </w:tcBorders>
                  <w:textDirection w:val="lrTb"/>
                  <w:vAlign w:val="center"/>
                  <w:hideMark/>
                </w:tcPr>
                <w:p w:rsidR="00A60F28" w:rsidRPr="001D6025" w:rsidP="002B4B78">
                  <w:pPr>
                    <w:bidi w:val="0"/>
                    <w:spacing w:after="0" w:line="240" w:lineRule="auto"/>
                    <w:jc w:val="center"/>
                    <w:rPr>
                      <w:rFonts w:ascii="Times New Roman" w:hAnsi="Times New Roman"/>
                      <w:b/>
                      <w:bCs/>
                      <w:i/>
                      <w:iCs/>
                      <w:color w:val="000000"/>
                      <w:sz w:val="24"/>
                      <w:szCs w:val="24"/>
                      <w:lang w:eastAsia="sk-SK"/>
                    </w:rPr>
                  </w:pPr>
                  <w:r w:rsidRPr="001D6025">
                    <w:rPr>
                      <w:rFonts w:ascii="Times New Roman" w:hAnsi="Times New Roman"/>
                      <w:b/>
                      <w:bCs/>
                      <w:i/>
                      <w:iCs/>
                      <w:color w:val="000000"/>
                      <w:sz w:val="24"/>
                      <w:szCs w:val="24"/>
                      <w:lang w:eastAsia="sk-SK"/>
                    </w:rPr>
                    <w:t xml:space="preserve">1 183,30 </w:t>
                  </w:r>
                </w:p>
              </w:tc>
              <w:tc>
                <w:tcPr>
                  <w:tcW w:w="2900" w:type="dxa"/>
                  <w:tcBorders>
                    <w:top w:val="none" w:sz="0" w:space="0" w:color="auto"/>
                    <w:left w:val="none" w:sz="0" w:space="0" w:color="auto"/>
                    <w:bottom w:val="single" w:sz="8" w:space="0" w:color="auto"/>
                    <w:right w:val="single" w:sz="8" w:space="0" w:color="auto"/>
                  </w:tcBorders>
                  <w:textDirection w:val="lrTb"/>
                  <w:vAlign w:val="center"/>
                  <w:hideMark/>
                </w:tcPr>
                <w:p w:rsidR="00A60F28" w:rsidRPr="001D6025" w:rsidP="002B4B78">
                  <w:pPr>
                    <w:bidi w:val="0"/>
                    <w:spacing w:after="0" w:line="240" w:lineRule="auto"/>
                    <w:jc w:val="center"/>
                    <w:rPr>
                      <w:rFonts w:ascii="Times New Roman" w:hAnsi="Times New Roman"/>
                      <w:b/>
                      <w:bCs/>
                      <w:i/>
                      <w:iCs/>
                      <w:color w:val="000000"/>
                      <w:sz w:val="24"/>
                      <w:szCs w:val="24"/>
                      <w:lang w:eastAsia="sk-SK"/>
                    </w:rPr>
                  </w:pPr>
                  <w:r w:rsidRPr="001D6025">
                    <w:rPr>
                      <w:rFonts w:ascii="Times New Roman" w:hAnsi="Times New Roman"/>
                      <w:b/>
                      <w:bCs/>
                      <w:i/>
                      <w:iCs/>
                      <w:color w:val="000000"/>
                      <w:sz w:val="24"/>
                      <w:szCs w:val="24"/>
                      <w:lang w:eastAsia="sk-SK"/>
                    </w:rPr>
                    <w:t>1 476 703,45</w:t>
                  </w:r>
                </w:p>
              </w:tc>
            </w:tr>
          </w:tbl>
          <w:p w:rsidR="00A60F28" w:rsidRPr="001D6025" w:rsidP="002B4B78">
            <w:pPr>
              <w:bidi w:val="0"/>
              <w:spacing w:after="0" w:line="240" w:lineRule="auto"/>
              <w:rPr>
                <w:rFonts w:ascii="Times New Roman" w:hAnsi="Times New Roman"/>
                <w:i/>
                <w:sz w:val="24"/>
                <w:szCs w:val="24"/>
                <w:lang w:eastAsia="sk-SK"/>
              </w:rPr>
            </w:pPr>
          </w:p>
          <w:p w:rsidR="00A60F28" w:rsidRPr="001D6025" w:rsidP="002B4B78">
            <w:pPr>
              <w:bidi w:val="0"/>
              <w:spacing w:after="0" w:line="240" w:lineRule="auto"/>
              <w:rPr>
                <w:rFonts w:ascii="Times New Roman" w:hAnsi="Times New Roman"/>
                <w:i/>
                <w:sz w:val="24"/>
                <w:szCs w:val="24"/>
                <w:lang w:eastAsia="sk-SK"/>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60F28" w:rsidRPr="001D6025" w:rsidP="002B4B78">
            <w:pPr>
              <w:bidi w:val="0"/>
              <w:spacing w:after="0" w:line="240" w:lineRule="auto"/>
              <w:rPr>
                <w:rFonts w:ascii="Times New Roman" w:hAnsi="Times New Roman"/>
                <w:b/>
                <w:sz w:val="24"/>
                <w:szCs w:val="24"/>
                <w:lang w:eastAsia="sk-SK"/>
              </w:rPr>
            </w:pPr>
            <w:r w:rsidRPr="001D6025">
              <w:rPr>
                <w:rFonts w:ascii="Times New Roman" w:hAnsi="Times New Roman"/>
                <w:b/>
                <w:sz w:val="24"/>
                <w:szCs w:val="24"/>
                <w:lang w:eastAsia="sk-SK"/>
              </w:rPr>
              <w:t>3.4 Konkurencieschopnosť a správanie sa podnikov na trhu</w:t>
            </w:r>
          </w:p>
          <w:p w:rsidR="00A60F28" w:rsidRPr="001D6025" w:rsidP="002B4B78">
            <w:pPr>
              <w:bidi w:val="0"/>
              <w:spacing w:after="0" w:line="240" w:lineRule="auto"/>
              <w:rPr>
                <w:rFonts w:ascii="Times New Roman" w:hAnsi="Times New Roman"/>
                <w:sz w:val="24"/>
                <w:szCs w:val="24"/>
                <w:lang w:eastAsia="sk-SK"/>
              </w:rPr>
            </w:pPr>
            <w:r w:rsidRPr="001D6025">
              <w:rPr>
                <w:rFonts w:ascii="Times New Roman" w:hAnsi="Times New Roman"/>
                <w:b/>
                <w:sz w:val="24"/>
                <w:szCs w:val="24"/>
                <w:lang w:eastAsia="sk-SK"/>
              </w:rPr>
              <w:t xml:space="preserve">       </w:t>
            </w:r>
            <w:r w:rsidRPr="001D6025">
              <w:rPr>
                <w:rFonts w:ascii="Times New Roman" w:hAnsi="Times New Roman"/>
                <w:sz w:val="24"/>
                <w:szCs w:val="24"/>
                <w:lang w:eastAsia="sk-SK"/>
              </w:rPr>
              <w:t xml:space="preserve">- </w:t>
            </w:r>
            <w:r w:rsidRPr="001D6025">
              <w:rPr>
                <w:rFonts w:ascii="Times New Roman" w:hAnsi="Times New Roman"/>
                <w:b/>
                <w:sz w:val="24"/>
                <w:szCs w:val="24"/>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Aký vplyv bude mať navrhovaná zmena na obchodné bariéry? Bude mať vplyv na vyvolanie cezhraničných investícií (príliv /odliv zahraničných investícií resp. uplatnenie slovenských podnikov na zahraničných trhoch)? Ak áno, popíšte.</w:t>
            </w:r>
          </w:p>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Ako ovplyvní cenu alebo dostupnosť základných zdrojov (suroviny, mechanizmy, pracovná sila, energie atď.)?</w:t>
            </w:r>
          </w:p>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A60F28" w:rsidP="002B4B78">
            <w:pPr>
              <w:bidi w:val="0"/>
              <w:spacing w:after="0" w:line="240" w:lineRule="auto"/>
              <w:jc w:val="both"/>
              <w:rPr>
                <w:rFonts w:ascii="Times New Roman" w:hAnsi="Times New Roman"/>
                <w:i/>
                <w:sz w:val="24"/>
                <w:szCs w:val="24"/>
                <w:lang w:eastAsia="sk-SK"/>
              </w:rPr>
            </w:pPr>
          </w:p>
          <w:p w:rsidR="00A60F28" w:rsidRPr="001D6025" w:rsidP="002B4B78">
            <w:pPr>
              <w:bidi w:val="0"/>
              <w:spacing w:after="0" w:line="240" w:lineRule="auto"/>
              <w:jc w:val="both"/>
              <w:rPr>
                <w:rFonts w:ascii="Times New Roman" w:hAnsi="Times New Roman"/>
                <w:i/>
                <w:sz w:val="24"/>
                <w:szCs w:val="24"/>
                <w:lang w:eastAsia="sk-SK"/>
              </w:rPr>
            </w:pPr>
            <w:r w:rsidRPr="001D6025">
              <w:rPr>
                <w:rFonts w:ascii="Times New Roman" w:hAnsi="Times New Roman"/>
                <w:i/>
                <w:sz w:val="24"/>
                <w:szCs w:val="24"/>
                <w:lang w:eastAsia="sk-SK"/>
              </w:rPr>
              <w:t>Návrh zákona nemá vplyv na konkurencieschopnosť.</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A60F28" w:rsidRPr="001D6025" w:rsidP="002B4B78">
            <w:pPr>
              <w:bidi w:val="0"/>
              <w:spacing w:after="0" w:line="240" w:lineRule="auto"/>
              <w:rPr>
                <w:rFonts w:ascii="Times New Roman" w:hAnsi="Times New Roman"/>
                <w:b/>
                <w:sz w:val="24"/>
                <w:szCs w:val="24"/>
                <w:lang w:eastAsia="sk-SK"/>
              </w:rPr>
            </w:pPr>
            <w:r w:rsidRPr="001D6025">
              <w:rPr>
                <w:rFonts w:ascii="Times New Roman" w:hAnsi="Times New Roman"/>
                <w:b/>
                <w:sz w:val="24"/>
                <w:szCs w:val="24"/>
                <w:lang w:eastAsia="sk-SK"/>
              </w:rPr>
              <w:t xml:space="preserve">3.5 Inovácie </w:t>
            </w:r>
          </w:p>
          <w:p w:rsidR="00A60F28" w:rsidRPr="001D6025" w:rsidP="002B4B78">
            <w:pPr>
              <w:bidi w:val="0"/>
              <w:spacing w:after="0" w:line="240" w:lineRule="auto"/>
              <w:rPr>
                <w:rFonts w:ascii="Times New Roman" w:hAnsi="Times New Roman"/>
                <w:b/>
                <w:sz w:val="24"/>
                <w:szCs w:val="24"/>
                <w:lang w:eastAsia="sk-SK"/>
              </w:rPr>
            </w:pPr>
            <w:r w:rsidRPr="001D6025">
              <w:rPr>
                <w:rFonts w:ascii="Times New Roman" w:hAnsi="Times New Roman"/>
                <w:sz w:val="24"/>
                <w:szCs w:val="24"/>
                <w:lang w:eastAsia="sk-SK"/>
              </w:rPr>
              <w:t xml:space="preserve">       - </w:t>
            </w:r>
            <w:r w:rsidRPr="001D6025">
              <w:rPr>
                <w:rFonts w:ascii="Times New Roman" w:hAnsi="Times New Roman"/>
                <w:b/>
                <w:sz w:val="24"/>
                <w:szCs w:val="24"/>
                <w:lang w:eastAsia="sk-SK"/>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Uveďte, ako podporuje navrhovaná zmena inovácie.</w:t>
            </w:r>
          </w:p>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Zjednodušuje uvedenie alebo rozšírenie nových výrobných metód, technológií a výrobkov na trh?</w:t>
            </w:r>
          </w:p>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Uveďte, ako vplýva navrhovaná zmena na jednotlivé práva duševného vlastníctva (napr. patenty, ochranné známky, autorské práva, vlastníctvo know-how).</w:t>
            </w:r>
          </w:p>
          <w:p w:rsidR="00A60F28" w:rsidRPr="001D6025" w:rsidP="002B4B78">
            <w:pPr>
              <w:bidi w:val="0"/>
              <w:spacing w:after="0" w:line="240" w:lineRule="auto"/>
              <w:rPr>
                <w:rFonts w:ascii="Times New Roman" w:hAnsi="Times New Roman"/>
                <w:i/>
                <w:sz w:val="24"/>
                <w:szCs w:val="24"/>
                <w:lang w:eastAsia="sk-SK"/>
              </w:rPr>
            </w:pPr>
            <w:r w:rsidRPr="001D6025">
              <w:rPr>
                <w:rFonts w:ascii="Times New Roman" w:hAnsi="Times New Roman"/>
                <w:i/>
                <w:sz w:val="24"/>
                <w:szCs w:val="24"/>
                <w:lang w:eastAsia="sk-SK"/>
              </w:rPr>
              <w:t>Podporuje vyššiu efektivitu výroby/využívania zdrojov? Ak áno, ako?</w:t>
            </w:r>
          </w:p>
          <w:p w:rsidR="00A60F28" w:rsidRPr="001D6025" w:rsidP="002B4B78">
            <w:pPr>
              <w:bidi w:val="0"/>
              <w:spacing w:after="0" w:line="240" w:lineRule="auto"/>
              <w:rPr>
                <w:rFonts w:ascii="Times New Roman" w:hAnsi="Times New Roman"/>
                <w:sz w:val="24"/>
                <w:szCs w:val="24"/>
                <w:lang w:eastAsia="sk-SK"/>
              </w:rPr>
            </w:pPr>
            <w:r w:rsidRPr="001D6025">
              <w:rPr>
                <w:rFonts w:ascii="Times New Roman" w:hAnsi="Times New Roman"/>
                <w:i/>
                <w:sz w:val="24"/>
                <w:szCs w:val="24"/>
                <w:lang w:eastAsia="sk-SK"/>
              </w:rPr>
              <w:t>Vytvorí zmena nové pracovné miesta pre zamestnancov výskumu a vývoja v SR?</w:t>
            </w:r>
          </w:p>
        </w:tc>
      </w:tr>
      <w:tr>
        <w:tblPrEx>
          <w:tblW w:w="0" w:type="auto"/>
          <w:tblLook w:val="04A0"/>
        </w:tblPrEx>
        <w:trPr>
          <w:trHeight w:val="174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A60F28" w:rsidP="002B4B78">
            <w:pPr>
              <w:bidi w:val="0"/>
              <w:spacing w:after="0" w:line="240" w:lineRule="auto"/>
              <w:jc w:val="both"/>
              <w:rPr>
                <w:rFonts w:ascii="Times New Roman" w:hAnsi="Times New Roman"/>
                <w:i/>
                <w:sz w:val="24"/>
                <w:szCs w:val="24"/>
                <w:lang w:eastAsia="sk-SK"/>
              </w:rPr>
            </w:pPr>
          </w:p>
          <w:p w:rsidR="00A60F28" w:rsidRPr="001D6025" w:rsidP="002B4B78">
            <w:pPr>
              <w:bidi w:val="0"/>
              <w:spacing w:after="0" w:line="240" w:lineRule="auto"/>
              <w:jc w:val="both"/>
              <w:rPr>
                <w:rFonts w:ascii="Times New Roman" w:hAnsi="Times New Roman"/>
                <w:i/>
                <w:sz w:val="24"/>
                <w:szCs w:val="24"/>
                <w:lang w:eastAsia="sk-SK"/>
              </w:rPr>
            </w:pPr>
            <w:r w:rsidRPr="001D6025">
              <w:rPr>
                <w:rFonts w:ascii="Times New Roman" w:hAnsi="Times New Roman"/>
                <w:i/>
                <w:sz w:val="24"/>
                <w:szCs w:val="24"/>
                <w:lang w:eastAsia="sk-SK"/>
              </w:rPr>
              <w:t>Návrh zákona nemá priamy  vplyv na inovácie. Nepriamo však podporuje inovácie formou vyššej ochoty štátu stanoviť vyššiu úhradu za lieky s vyššou pridanou hodnotou a súčasne stanoviť nižšiu úhradu za lieky s nižšou pridanou hodnotou.</w:t>
            </w:r>
          </w:p>
        </w:tc>
      </w:tr>
    </w:tbl>
    <w:p w:rsidR="00A60F28" w:rsidRPr="00CE018D" w:rsidP="00A60F28">
      <w:pPr>
        <w:bidi w:val="0"/>
        <w:spacing w:after="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roman"/>
    <w:pitch w:val="fixed"/>
    <w:sig w:usb0="00000000" w:usb1="00000000" w:usb2="00000000" w:usb3="00000000" w:csb0="0002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BB3103"/>
    <w:rsid w:val="000276E3"/>
    <w:rsid w:val="0008766E"/>
    <w:rsid w:val="00170210"/>
    <w:rsid w:val="001D6025"/>
    <w:rsid w:val="002B4B78"/>
    <w:rsid w:val="0040558A"/>
    <w:rsid w:val="00463682"/>
    <w:rsid w:val="004D2E0A"/>
    <w:rsid w:val="00516AF3"/>
    <w:rsid w:val="00681ACC"/>
    <w:rsid w:val="00696F86"/>
    <w:rsid w:val="00A60F28"/>
    <w:rsid w:val="00BB3103"/>
    <w:rsid w:val="00BC7625"/>
    <w:rsid w:val="00C77278"/>
    <w:rsid w:val="00CE018D"/>
    <w:rsid w:val="00CE2ED6"/>
    <w:rsid w:val="00FC4BC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F28"/>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customStyle="1" w:styleId="Mriekatabuky1">
    <w:name w:val="Mriežka tabuľky1"/>
    <w:basedOn w:val="TableNormal"/>
    <w:next w:val="TableGrid"/>
    <w:uiPriority w:val="59"/>
    <w:rsid w:val="00A60F2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60F2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Pages>
  <Words>1635</Words>
  <Characters>9321</Characters>
  <Application>Microsoft Office Word</Application>
  <DocSecurity>0</DocSecurity>
  <Lines>0</Lines>
  <Paragraphs>0</Paragraphs>
  <ScaleCrop>false</ScaleCrop>
  <Company>MZ SR</Company>
  <LinksUpToDate>false</LinksUpToDate>
  <CharactersWithSpaces>10935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Mrva Peter</dc:creator>
  <cp:lastModifiedBy>Vincová Veronika</cp:lastModifiedBy>
  <cp:revision>2</cp:revision>
  <cp:lastPrinted>2017-06-22T10:32:00Z</cp:lastPrinted>
  <dcterms:created xsi:type="dcterms:W3CDTF">2017-09-21T10:05:00Z</dcterms:created>
  <dcterms:modified xsi:type="dcterms:W3CDTF">2017-09-21T10:05:00Z</dcterms:modified>
</cp:coreProperties>
</file>