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67217" w:rsidRPr="00667217" w:rsidP="00667217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17">
        <w:rPr>
          <w:rFonts w:ascii="Times New Roman" w:hAnsi="Times New Roman" w:cs="Times New Roman"/>
          <w:b/>
          <w:sz w:val="24"/>
          <w:szCs w:val="24"/>
        </w:rPr>
        <w:t>Vykonávací predpis</w:t>
      </w:r>
    </w:p>
    <w:p w:rsidR="00667217" w:rsidRPr="00667217" w:rsidP="00BD276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7217" w:rsidRPr="00667217" w:rsidP="00BD276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 xml:space="preserve">Návrh </w:t>
      </w:r>
    </w:p>
    <w:p w:rsidR="00BD2765" w:rsidRPr="00667217" w:rsidP="00BD276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 xml:space="preserve">Vyhláška </w:t>
      </w:r>
    </w:p>
    <w:p w:rsidR="00BD2765" w:rsidRPr="00667217" w:rsidP="00BD276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Ministerstva zdravotníctva Slovenskej republiky</w:t>
      </w:r>
    </w:p>
    <w:p w:rsidR="00BD2765" w:rsidRPr="00667217" w:rsidP="00BD276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 xml:space="preserve">z....2017, </w:t>
      </w:r>
    </w:p>
    <w:p w:rsidR="00BD2765" w:rsidRPr="00667217" w:rsidP="00BD276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pStyle w:val="ListParagraph"/>
        <w:bidi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ktorou sa ustanovujú indikačné kritériá na poskytovanie ošetrovateľskej starostlivosti v zariadení sociálnych služieb a v zariadení sociálnoprávnej ochrany detí a sociálnej kurately a vzor posudku o potrebe poskytovania ošetrovateľskej starostlivosti osobe umiestnenej v zariadení sociálnych služieb a v zariadení sociálnoprávnej ochrany detí a sociálnej kurately</w:t>
      </w: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Ministerstvo zdravotníctva Slovenskej republiky podľa § 10a ods. 11 zákona č. 576/2004 Z. z.  o zdravotnej starostlivosti, službách súvisiacich s poskytovaním zdravotnej starostlivosti a o zmene a doplnení niektorých zákonov v znení zákona č. ..../2017 Z. z. ustanovuje:</w:t>
      </w: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§ 1</w:t>
      </w:r>
    </w:p>
    <w:p w:rsidR="00BD2765" w:rsidRPr="00667217" w:rsidP="00BD276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Indikačné kritériá na poskytovanie ošetrovateľskej starostlivosti v zariadení sociálnych služieb a v zariadení sociálnoprávnej ochrany detí a sociálnej kurately</w:t>
      </w:r>
    </w:p>
    <w:p w:rsidR="00BD2765" w:rsidRPr="00667217" w:rsidP="00BD276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numPr>
          <w:numId w:val="3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 xml:space="preserve">Indikačnými kritériami na poskytovanie ošetrovateľskej starostlivosti osobe umiestnenej v zariadení sociálnych služieb a v zariadení sociálnoprávnej ochrany detí a sociálnej kurately sú </w:t>
      </w:r>
    </w:p>
    <w:p w:rsidR="00BD2765" w:rsidRPr="00667217" w:rsidP="00BD2765">
      <w:pPr>
        <w:numPr>
          <w:numId w:val="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diagnózy stanovené všeobecným lekárom alebo ošetrujúcim lekárom podľa MKCH10,</w:t>
      </w:r>
    </w:p>
    <w:p w:rsidR="00BD2765" w:rsidRPr="00667217" w:rsidP="00BD2765">
      <w:pPr>
        <w:numPr>
          <w:numId w:val="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posúdenie zdravotného stavu, pridružených ochorení, diagnostika,</w:t>
      </w:r>
    </w:p>
    <w:p w:rsidR="00BD2765" w:rsidRPr="00667217" w:rsidP="00BD2765">
      <w:pPr>
        <w:numPr>
          <w:numId w:val="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určenie sesterskej diagnózy podľa zoznamu sesterských diagnóz,</w:t>
      </w:r>
    </w:p>
    <w:p w:rsidR="00BD2765" w:rsidRPr="00667217" w:rsidP="00BD2765">
      <w:pPr>
        <w:numPr>
          <w:numId w:val="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určenie stupňa zdravotno-sociálnej odkázanosti (zohľadňujúci štandardizovanú metodiku hodnotenia odkázanosti).</w:t>
      </w:r>
    </w:p>
    <w:p w:rsidR="00BD2765" w:rsidRPr="00667217" w:rsidP="00BD2765">
      <w:pPr>
        <w:bidi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numPr>
          <w:numId w:val="3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Posúdenie odkázanosti na poskytovanie ošetrovateľskej starostlivosti osobe sa určuje na základe posúdenia a vyhotovenia posudku o potrebe  poskytovania ošetrovateľskej starostlivosti osobe umiestnenej v zariadení sociálnych služieb a v zariadení sociálnoprávnej ochrany detí a sociálnej kurately.</w:t>
      </w:r>
    </w:p>
    <w:p w:rsidR="00BD2765" w:rsidRPr="00667217" w:rsidP="00BD2765">
      <w:pPr>
        <w:bidi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numPr>
          <w:numId w:val="3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Súčasťou posúdenia je vypracovanie ADL, Norton scale a MMSE testov.</w:t>
      </w: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numPr>
          <w:numId w:val="3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Výsledok posúdenia týchto škál svedčí o potrebe poskytovania ošetrovateľskej starostlivosti, ak sa aspoň v jednom z testov vyskytne vysoké riziko destabilizácie.</w:t>
      </w: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numPr>
          <w:numId w:val="3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Pri posudzovaní odkázanosti sa zohľadňuje úroveň stupňa odkázanosti na sociálne služby a miera rizika destabilizácie u osoby</w:t>
      </w:r>
    </w:p>
    <w:p w:rsidR="00BD2765" w:rsidRPr="00667217" w:rsidP="00BD2765">
      <w:pPr>
        <w:bidi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§ 2</w:t>
      </w:r>
    </w:p>
    <w:p w:rsidR="00BD2765" w:rsidRPr="00667217" w:rsidP="00BD276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Vzor posudku o potrebe  poskytovania ošetrovateľskej starostlivosti osobe umiestnenej v zariadení sociálnych služieb a v zariadení sociálnoprávnej ochrany detí a sociálnej kurately je uvedený v prílohe.</w:t>
      </w:r>
    </w:p>
    <w:p w:rsidR="00BD2765" w:rsidRPr="00667217" w:rsidP="00BD276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 xml:space="preserve">„Príloha </w:t>
      </w:r>
    </w:p>
    <w:p w:rsidR="00BD2765" w:rsidRPr="00667217" w:rsidP="00BD2765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Ministerstva zdravotníctva Slovenskej republiky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>Vzor</w:t>
            </w:r>
          </w:p>
          <w:p w:rsidR="00BD2765" w:rsidRPr="00667217" w:rsidP="006177C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>Posudok o potrebe poskytovania ošetrovateľskej starostlivosti osobe umiestnenej v zariadení sociálnych služieb a v zariadení sociálnoprávnej ochrany detí a sociálnej kurately</w:t>
            </w:r>
          </w:p>
        </w:tc>
      </w:tr>
    </w:tbl>
    <w:p w:rsidR="00BD2765" w:rsidRPr="00667217" w:rsidP="00BD2765">
      <w:pPr>
        <w:pStyle w:val="Heading3"/>
        <w:bidi w:val="0"/>
        <w:rPr>
          <w:rFonts w:ascii="Times New Roman" w:hAnsi="Times New Roman"/>
          <w:b w:val="0"/>
          <w:szCs w:val="24"/>
        </w:rPr>
      </w:pPr>
    </w:p>
    <w:p w:rsidR="00BD2765" w:rsidRPr="00667217" w:rsidP="00BD276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 xml:space="preserve">Zariadenie sociálnych služieb/Zriadenie sociálnoprávnej ochrany detí a sociálnej kurately: ....................................so sídlom v:   .........................................                                             </w:t>
      </w: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Meno, priezvisko, titul klienta   : .................................................................................................</w:t>
      </w: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Rodné číslo: ..........................................         Číselný kód zdravotnej poisťovne:  .....................</w:t>
      </w: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Stupeň odkázanosti:........</w:t>
      </w: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 xml:space="preserve">Pacient/klient prichádza: </w:t>
        <w:tab/>
      </w:r>
      <w:r w:rsidRPr="00667217">
        <w:rPr>
          <w:rFonts w:ascii="Segoe UI Symbol" w:eastAsia="MS Gothic" w:hAnsi="Segoe UI Symbol" w:cs="Segoe UI Symbol" w:hint="default"/>
          <w:sz w:val="24"/>
          <w:szCs w:val="24"/>
        </w:rPr>
        <w:t>☐</w:t>
      </w:r>
      <w:r w:rsidRPr="00667217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667217">
        <w:rPr>
          <w:rFonts w:ascii="Times New Roman" w:hAnsi="Times New Roman" w:cs="Times New Roman"/>
          <w:sz w:val="24"/>
          <w:szCs w:val="24"/>
        </w:rPr>
        <w:t>z domu (adresa, kontakt na rodinného príslušníka/inú osobu poskytujúcu starostlivosť)</w:t>
      </w:r>
    </w:p>
    <w:p w:rsidR="00BD2765" w:rsidRPr="00667217" w:rsidP="00BD2765">
      <w:pPr>
        <w:bidi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Segoe UI Symbol" w:eastAsia="MS Gothic" w:hAnsi="Segoe UI Symbol" w:cs="Segoe UI Symbol" w:hint="default"/>
          <w:sz w:val="24"/>
          <w:szCs w:val="24"/>
        </w:rPr>
        <w:t>☐</w:t>
      </w:r>
      <w:r w:rsidRPr="00667217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667217">
        <w:rPr>
          <w:rFonts w:ascii="Times New Roman" w:hAnsi="Times New Roman" w:cs="Times New Roman"/>
          <w:sz w:val="24"/>
          <w:szCs w:val="24"/>
        </w:rPr>
        <w:t xml:space="preserve">zo sociálneho zariadenia – adresa:                                              </w:t>
      </w:r>
    </w:p>
    <w:p w:rsidR="00BD2765" w:rsidRPr="00667217" w:rsidP="00BD2765">
      <w:pPr>
        <w:bidi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Segoe UI Symbol" w:eastAsia="MS Gothic" w:hAnsi="Segoe UI Symbol" w:cs="Segoe UI Symbol" w:hint="default"/>
          <w:sz w:val="24"/>
          <w:szCs w:val="24"/>
        </w:rPr>
        <w:t>☐</w:t>
      </w:r>
      <w:r w:rsidRPr="00667217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667217">
        <w:rPr>
          <w:rFonts w:ascii="Times New Roman" w:hAnsi="Times New Roman" w:cs="Times New Roman"/>
          <w:sz w:val="24"/>
          <w:szCs w:val="24"/>
        </w:rPr>
        <w:t xml:space="preserve">z nemocnice – adresa: </w:t>
      </w:r>
    </w:p>
    <w:p w:rsidR="00BD2765" w:rsidRPr="00667217" w:rsidP="00BD2765">
      <w:pPr>
        <w:bidi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Segoe UI Symbol" w:eastAsia="MS Gothic" w:hAnsi="Segoe UI Symbol" w:cs="Segoe UI Symbol" w:hint="default"/>
          <w:sz w:val="24"/>
          <w:szCs w:val="24"/>
        </w:rPr>
        <w:t>☐</w:t>
      </w:r>
      <w:r w:rsidRPr="00667217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667217">
        <w:rPr>
          <w:rFonts w:ascii="Times New Roman" w:hAnsi="Times New Roman" w:cs="Times New Roman"/>
          <w:sz w:val="24"/>
          <w:szCs w:val="24"/>
        </w:rPr>
        <w:t xml:space="preserve">z iného zariadenia (adresa)                                                                   </w:t>
      </w: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Posledná hospitalizácia:</w:t>
      </w:r>
      <w:r w:rsidRPr="00667217">
        <w:rPr>
          <w:rFonts w:ascii="Times New Roman" w:eastAsia="MS Gothic" w:hAnsi="Times New Roman" w:cs="Times New Roman"/>
          <w:sz w:val="24"/>
          <w:szCs w:val="24"/>
        </w:rPr>
        <w:t xml:space="preserve"> </w:t>
        <w:tab/>
      </w:r>
      <w:r w:rsidRPr="00667217">
        <w:rPr>
          <w:rFonts w:ascii="Segoe UI Symbol" w:eastAsia="MS Gothic" w:hAnsi="Segoe UI Symbol" w:cs="Segoe UI Symbol" w:hint="default"/>
          <w:sz w:val="24"/>
          <w:szCs w:val="24"/>
        </w:rPr>
        <w:t>☐</w:t>
      </w:r>
      <w:r w:rsidRPr="00667217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667217">
        <w:rPr>
          <w:rFonts w:ascii="Times New Roman" w:hAnsi="Times New Roman" w:cs="Times New Roman"/>
          <w:sz w:val="24"/>
          <w:szCs w:val="24"/>
        </w:rPr>
        <w:t xml:space="preserve">aktuálne hospitalizovaný od:    </w:t>
      </w:r>
    </w:p>
    <w:p w:rsidR="00BD2765" w:rsidRPr="00667217" w:rsidP="00BD2765">
      <w:pPr>
        <w:bidi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Segoe UI Symbol" w:eastAsia="MS Gothic" w:hAnsi="Segoe UI Symbol" w:cs="Segoe UI Symbol" w:hint="default"/>
          <w:sz w:val="24"/>
          <w:szCs w:val="24"/>
        </w:rPr>
        <w:t>☐</w:t>
      </w:r>
      <w:r w:rsidRPr="00667217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667217">
        <w:rPr>
          <w:rFonts w:ascii="Times New Roman" w:hAnsi="Times New Roman" w:cs="Times New Roman"/>
          <w:sz w:val="24"/>
          <w:szCs w:val="24"/>
        </w:rPr>
        <w:t xml:space="preserve">v minulosti – dátum prepustenia:                                                </w:t>
      </w: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Bydlisko trvalé: ..............................................................................................................................</w:t>
      </w: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Bydlisko prechodné: ......................................................................................................................</w:t>
      </w: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Lekárska diagnóza (slovom alebo číslom podľa MKCH): ................................................................</w:t>
      </w: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Odporúčaná liečba a diéta (ak nie je aktuálna prepúšťacia správa):  ..................................................</w:t>
      </w: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Zdôvodnenie pre poskytovanie ošetrovateľskej starostlivosti (ďalej len „OS“) v zariadení sociálnych služieb:</w:t>
      </w: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3"/>
      </w:tblGrid>
      <w:tr>
        <w:tblPrEx>
          <w:tblW w:w="1063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765" w:rsidRPr="00667217" w:rsidP="00BD2765">
            <w:pPr>
              <w:numPr>
                <w:numId w:val="1"/>
              </w:num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>Sesterská diagnóza (slovom alebo číslom podľa Zoznamu sesterských diagnóz):</w:t>
            </w:r>
          </w:p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200"/>
        <w:tblW w:w="10578" w:type="dxa"/>
        <w:tblCellMar>
          <w:left w:w="70" w:type="dxa"/>
          <w:right w:w="70" w:type="dxa"/>
        </w:tblCellMar>
        <w:tblLook w:val="04A0"/>
      </w:tblPr>
      <w:tblGrid>
        <w:gridCol w:w="400"/>
        <w:gridCol w:w="4718"/>
        <w:gridCol w:w="440"/>
        <w:gridCol w:w="5020"/>
      </w:tblGrid>
      <w:tr>
        <w:tblPrEx>
          <w:tblW w:w="1057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 113 Imobilita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A114 Riziko vzniku imobility</w:t>
            </w:r>
          </w:p>
        </w:tc>
      </w:tr>
      <w:tr>
        <w:tblPrEx>
          <w:tblW w:w="1057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 131 Riziko aspirácie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126 Porucha prehĺtania</w:t>
            </w:r>
          </w:p>
        </w:tc>
      </w:tr>
      <w:tr>
        <w:tblPrEx>
          <w:tblW w:w="1057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100-103 Dekubit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122  Zmenená výživa – menší  príjem ako telesná potreba      </w:t>
            </w:r>
          </w:p>
        </w:tc>
      </w:tr>
      <w:tr>
        <w:tblPrEx>
          <w:tblW w:w="1057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 110 Narušená celistvosť kože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 116 Riziko úrazu, poranenia</w:t>
            </w:r>
          </w:p>
        </w:tc>
      </w:tr>
      <w:tr>
        <w:tblPrEx>
          <w:tblW w:w="1057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04 Riziko vzniku dekubitov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101 Zmena poznávacích funkcií</w:t>
            </w:r>
          </w:p>
        </w:tc>
      </w:tr>
      <w:tr>
        <w:tblPrEx>
          <w:tblW w:w="1057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 100 Narušená pamäť                 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107 Inkontinencia moču</w:t>
            </w:r>
          </w:p>
        </w:tc>
      </w:tr>
      <w:tr>
        <w:tblPrEx>
          <w:tblW w:w="1057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 115 Deficit sebaopatery v aktivitách denného života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K118 Nedostatočné prekrvenie tkanív</w:t>
            </w:r>
          </w:p>
        </w:tc>
      </w:tr>
      <w:tr>
        <w:tblPrEx>
          <w:tblW w:w="1057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103 Inkontinencia stolice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V137 Znížený príjem tekutín </w:t>
            </w:r>
          </w:p>
        </w:tc>
      </w:tr>
      <w:tr>
        <w:tblPrEx>
          <w:tblW w:w="1057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P103 Zmenený psychický stav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T100 Znížený objem telesných tekutín</w:t>
            </w:r>
          </w:p>
        </w:tc>
      </w:tr>
      <w:tr>
        <w:tblPrEx>
          <w:tblW w:w="1057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P107 Zmena správania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T101 Riziko deficitu objemu telesných tekutín </w:t>
            </w:r>
          </w:p>
        </w:tc>
      </w:tr>
      <w:tr>
        <w:tblPrEx>
          <w:tblW w:w="1057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I121   Riziko vzniku infekcie 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T103 Riziko zvýšeného objemu telesných tekutín</w:t>
            </w:r>
          </w:p>
        </w:tc>
      </w:tr>
      <w:tr>
        <w:tblPrEx>
          <w:tblW w:w="1057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A124 Riziko alergickej reakcie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Riziko epileptického záchvatu</w:t>
            </w: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!!</w:t>
            </w:r>
          </w:p>
        </w:tc>
      </w:tr>
      <w:tr>
        <w:tblPrEx>
          <w:tblW w:w="1057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T102 Zvýšený objem telesných tekutín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Iné: </w:t>
            </w:r>
          </w:p>
        </w:tc>
      </w:tr>
      <w:tr>
        <w:tblPrEx>
          <w:tblW w:w="1057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Riziko náhlej hypoglykémie</w:t>
            </w: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!!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textDirection w:val="lrTb"/>
            <w:vAlign w:val="bottom"/>
            <w:hideMark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tbl>
      <w:tblPr>
        <w:tblStyle w:val="TableNormal"/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0"/>
      </w:tblGrid>
      <w:tr>
        <w:tblPrEx>
          <w:tblW w:w="10490" w:type="dxa"/>
          <w:tblInd w:w="-7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extDirection w:val="lrTb"/>
            <w:vAlign w:val="top"/>
          </w:tcPr>
          <w:p w:rsidR="00BD2765" w:rsidRPr="00667217" w:rsidP="00BD2765">
            <w:pPr>
              <w:numPr>
                <w:numId w:val="1"/>
              </w:num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>Prítomné riziko destabilizácie pri nezabezpečení kontinuálnej OS počas 24 hodín ?</w:t>
            </w:r>
          </w:p>
          <w:p w:rsidR="00BD2765" w:rsidRPr="00667217" w:rsidP="006177C8">
            <w:pPr>
              <w:bidi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7">
              <w:rPr>
                <w:rFonts w:ascii="Wingdings 2" w:eastAsia="Times New Roman" w:hAnsi="Wingdings 2" w:cs="Times New Roman"/>
                <w:sz w:val="24"/>
                <w:szCs w:val="24"/>
                <w:rtl w:val="0"/>
              </w:rPr>
              <w:sym w:font="Wingdings 2" w:char="F02A"/>
            </w: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 xml:space="preserve"> áno                         </w:t>
            </w:r>
            <w:r w:rsidRPr="00667217">
              <w:rPr>
                <w:rFonts w:ascii="Wingdings 2" w:eastAsia="Times New Roman" w:hAnsi="Wingdings 2" w:cs="Times New Roman"/>
                <w:sz w:val="24"/>
                <w:szCs w:val="24"/>
                <w:rtl w:val="0"/>
              </w:rPr>
              <w:sym w:font="Wingdings 2" w:char="F02A"/>
            </w: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</w:tbl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140"/>
        <w:gridCol w:w="904"/>
        <w:gridCol w:w="2239"/>
        <w:gridCol w:w="1578"/>
        <w:gridCol w:w="2069"/>
      </w:tblGrid>
      <w:tr>
        <w:tblPrEx>
          <w:tblW w:w="10490" w:type="dxa"/>
          <w:tblInd w:w="-7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BD2765">
            <w:pPr>
              <w:numPr>
                <w:numId w:val="1"/>
              </w:num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 xml:space="preserve">Posúdenie miery rizika destabilizácie </w:t>
            </w:r>
          </w:p>
          <w:p w:rsidR="00BD2765" w:rsidRPr="00667217" w:rsidP="006177C8">
            <w:pPr>
              <w:bidi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na základe hodnotiacich škál  </w:t>
            </w:r>
          </w:p>
          <w:p w:rsidR="00BD2765" w:rsidRPr="00667217" w:rsidP="006177C8">
            <w:pPr>
              <w:bidi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>Detekcia najvyššieho rizika destabilizácie</w:t>
            </w:r>
          </w:p>
        </w:tc>
      </w:tr>
      <w:tr>
        <w:tblPrEx>
          <w:tblW w:w="10490" w:type="dxa"/>
          <w:tblInd w:w="-714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i/>
                <w:sz w:val="24"/>
                <w:szCs w:val="24"/>
              </w:rPr>
              <w:t>Druh testu ošetrovateľského problému/rizika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Počet bodov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Zaradenie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i/>
                <w:sz w:val="24"/>
                <w:szCs w:val="24"/>
              </w:rPr>
              <w:t>Najvyššie riziko destabilizácie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i/>
                <w:sz w:val="24"/>
                <w:szCs w:val="24"/>
              </w:rPr>
              <w:t>Najmenšie riziko destabilizácie</w:t>
            </w:r>
          </w:p>
        </w:tc>
      </w:tr>
      <w:tr>
        <w:tblPrEx>
          <w:tblW w:w="10490" w:type="dxa"/>
          <w:tblInd w:w="-714" w:type="dxa"/>
          <w:tblLook w:val="04A0"/>
        </w:tblPrEx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 xml:space="preserve">ADL 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 xml:space="preserve">Barthelov test - Activity dailing living 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7217">
              <w:rPr>
                <w:rFonts w:ascii="Wingdings 2" w:eastAsia="Times New Roman" w:hAnsi="Wingdings 2" w:cs="Times New Roman"/>
                <w:sz w:val="24"/>
                <w:szCs w:val="24"/>
                <w:rtl w:val="0"/>
              </w:rPr>
              <w:sym w:font="Wingdings 2" w:char="F02A"/>
            </w:r>
            <w:r w:rsidRPr="006672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0 – 40 bodov (vysoko závislý)</w:t>
            </w:r>
          </w:p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7">
              <w:rPr>
                <w:rFonts w:ascii="Wingdings 2" w:eastAsia="Times New Roman" w:hAnsi="Wingdings 2" w:cs="Times New Roman"/>
                <w:sz w:val="24"/>
                <w:szCs w:val="24"/>
                <w:rtl w:val="0"/>
              </w:rPr>
              <w:sym w:font="Wingdings 2" w:char="F02A"/>
            </w: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7">
              <w:rPr>
                <w:rFonts w:ascii="Wingdings 2" w:eastAsia="Times New Roman" w:hAnsi="Wingdings 2" w:cs="Times New Roman"/>
                <w:sz w:val="24"/>
                <w:szCs w:val="24"/>
                <w:rtl w:val="0"/>
              </w:rPr>
              <w:sym w:font="Wingdings 2" w:char="F02A"/>
            </w: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>
        <w:tblPrEx>
          <w:tblW w:w="10490" w:type="dxa"/>
          <w:tblInd w:w="-714" w:type="dxa"/>
          <w:tblLook w:val="04A0"/>
        </w:tblPrEx>
        <w:trPr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7217">
              <w:rPr>
                <w:rFonts w:ascii="Wingdings 2" w:eastAsia="Times New Roman" w:hAnsi="Wingdings 2" w:cs="Times New Roman"/>
                <w:sz w:val="24"/>
                <w:szCs w:val="24"/>
                <w:rtl w:val="0"/>
              </w:rPr>
              <w:sym w:font="Wingdings 2" w:char="F02A"/>
            </w: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 xml:space="preserve"> 45 – 60 bodov (závislosť stredného stupňa)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0490" w:type="dxa"/>
          <w:tblInd w:w="-714" w:type="dxa"/>
          <w:tblLook w:val="04A0"/>
        </w:tblPrEx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>Nortonovej škála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>Riziko vzniku dekubitov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7217">
              <w:rPr>
                <w:rFonts w:ascii="Wingdings 2" w:eastAsia="Times New Roman" w:hAnsi="Wingdings 2" w:cs="Times New Roman"/>
                <w:sz w:val="24"/>
                <w:szCs w:val="24"/>
                <w:rtl w:val="0"/>
              </w:rPr>
              <w:sym w:font="Wingdings 2" w:char="F02A"/>
            </w: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2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10 bodov  a menej  (veľmi vysoké riziko) </w:t>
            </w:r>
          </w:p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7">
              <w:rPr>
                <w:rFonts w:ascii="Wingdings 2" w:eastAsia="Times New Roman" w:hAnsi="Wingdings 2" w:cs="Times New Roman"/>
                <w:sz w:val="24"/>
                <w:szCs w:val="24"/>
                <w:rtl w:val="0"/>
              </w:rPr>
              <w:sym w:font="Wingdings 2" w:char="F02A"/>
            </w: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7">
              <w:rPr>
                <w:rFonts w:ascii="Wingdings 2" w:eastAsia="Times New Roman" w:hAnsi="Wingdings 2" w:cs="Times New Roman"/>
                <w:sz w:val="24"/>
                <w:szCs w:val="24"/>
                <w:rtl w:val="0"/>
              </w:rPr>
              <w:sym w:font="Wingdings 2" w:char="F02A"/>
            </w: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>
        <w:tblPrEx>
          <w:tblW w:w="10490" w:type="dxa"/>
          <w:tblInd w:w="-714" w:type="dxa"/>
          <w:tblLook w:val="04A0"/>
        </w:tblPrEx>
        <w:trPr>
          <w:trHeight w:val="2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7217">
              <w:rPr>
                <w:rFonts w:ascii="Wingdings 2" w:eastAsia="Times New Roman" w:hAnsi="Wingdings 2" w:cs="Times New Roman"/>
                <w:sz w:val="24"/>
                <w:szCs w:val="24"/>
                <w:rtl w:val="0"/>
              </w:rPr>
              <w:sym w:font="Wingdings 2" w:char="F02A"/>
            </w: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 xml:space="preserve"> 10 – 14 (vysoké riziko)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0490" w:type="dxa"/>
          <w:tblInd w:w="-714" w:type="dxa"/>
          <w:tblLook w:val="04A0"/>
        </w:tblPrEx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 xml:space="preserve">MMS 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 xml:space="preserve">Mini mental state examination – test kognitívnych funkcií 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7217">
              <w:rPr>
                <w:rFonts w:ascii="Wingdings 2" w:eastAsia="Times New Roman" w:hAnsi="Wingdings 2" w:cs="Times New Roman"/>
                <w:sz w:val="24"/>
                <w:szCs w:val="24"/>
                <w:rtl w:val="0"/>
              </w:rPr>
              <w:sym w:font="Wingdings 2" w:char="F02A"/>
            </w:r>
            <w:r w:rsidRPr="006672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0-10  ťažká kognitívna porucha</w:t>
            </w:r>
          </w:p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7">
              <w:rPr>
                <w:rFonts w:ascii="Wingdings 2" w:eastAsia="Times New Roman" w:hAnsi="Wingdings 2" w:cs="Times New Roman"/>
                <w:sz w:val="24"/>
                <w:szCs w:val="24"/>
                <w:rtl w:val="0"/>
              </w:rPr>
              <w:sym w:font="Wingdings 2" w:char="F02A"/>
            </w: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7">
              <w:rPr>
                <w:rFonts w:ascii="Wingdings 2" w:eastAsia="Times New Roman" w:hAnsi="Wingdings 2" w:cs="Times New Roman"/>
                <w:sz w:val="24"/>
                <w:szCs w:val="24"/>
                <w:rtl w:val="0"/>
              </w:rPr>
              <w:sym w:font="Wingdings 2" w:char="F02A"/>
            </w: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>
        <w:tblPrEx>
          <w:tblW w:w="10490" w:type="dxa"/>
          <w:tblInd w:w="-714" w:type="dxa"/>
          <w:tblLook w:val="04A0"/>
        </w:tblPrEx>
        <w:trPr>
          <w:trHeight w:val="22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7217">
              <w:rPr>
                <w:rFonts w:ascii="Wingdings 2" w:eastAsia="Times New Roman" w:hAnsi="Wingdings 2" w:cs="Times New Roman"/>
                <w:sz w:val="24"/>
                <w:szCs w:val="24"/>
                <w:rtl w:val="0"/>
              </w:rPr>
              <w:sym w:font="Wingdings 2" w:char="F02A"/>
            </w: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 xml:space="preserve"> 11 – 20  stredne ťažká kognitívna porucha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0"/>
      </w:tblGrid>
      <w:tr>
        <w:tblPrEx>
          <w:tblW w:w="10490" w:type="dxa"/>
          <w:tblInd w:w="-7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extDirection w:val="lrTb"/>
            <w:vAlign w:val="top"/>
          </w:tcPr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765" w:rsidRPr="00667217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7">
              <w:rPr>
                <w:rFonts w:ascii="Times New Roman" w:hAnsi="Times New Roman" w:cs="Times New Roman"/>
                <w:sz w:val="24"/>
                <w:szCs w:val="24"/>
              </w:rPr>
              <w:t>D. Plán intervencie:  zabránenie predčasného úmrtia v dôsledku nedostatočnej starostlivosti o zdravie, zlepšenie alebo stabilizácia zdravotného stavu, zmiernenie utrpenia v prípade terminálneho štádia ochorenia; denné plánovanie a realizácia ošetrovateľskej starostlivosti; preventívny prístup vo vzťahu k prítomným rizikám (pádu, infekcie, malnutrície, embólie, dusenia, obehového zlyhania, epileptických záchvatov,  dehydratácie, agresivity, sebapoškodenia, depresie,  a i.); včasná iniciácia vyšetrenia lekárom, konzultácia o zdravotnom stave s lekárom a zabezpečenie súvisiacej starostlivosti; odbery  biologického materiálu, zabezpečenie vyšetrení podľa stavu a indikovania lekárom; príprava liečiv k podaniu , aplikácia liečiv,  supervízia správneho podania,  bezpečné posúdenie vhodnosti sily, dávky, interakcie generika v súlade s najaktuálnejšou ordináciou lekára, vylúčenie rizika podania nesprávneho liečiva alebo jeho nesprávnej dávky, vylúčenie podania liečiva, na ktoré je klient alergický, iniciácia pravidelného prehodnocovania polypragmázie v spolupráci s lekárom;  supervízia adekvátnej starostlivosti o fyziologické potreby (hydratácia, nutrícia, vyprázdňovanie, bezpečnosť, aktivita, odpočinok..); včasná iniciácia lekárskej intervencie činnosti na záchranu života – prvá pomoc, resuscitácia v prípade potreby;  určenie potreby, monitoring a hodnotenie vitálnych funkcií a vedomia  (tlak krvi, telesná teplota, pulz, dych, saturácia O2);  realizácia pravidelných ošetrovateľských vizít; fyzikálne vyšetrenie stavu a kondície;  iniciácia potreby/zavedenie alebo asistencia pri  zavedení katétra/kanyly v rozsahu kompetencií; maximalizácia potenciálu stabilizácie zdravotného stavu; minimalizácia fyzického a duševného utrpenia; prevencia rizík spojených s vekom, disabilitou  a prítomnými chorobami;  manažment bolesti; komunikácia a edukácia;  dokumentovanie ošetrovateľskej starostlivosti  a ďalšie úkony komplexnej ošetrovateľskej starostlivosti v súlade s najnovšími poznatkami a metódami v odbore ošetrovateľstvo, proaktívny prístup   s vylúčením zanedbania starostlivosti o zdravie a pri zachovaní etických princípov pri výkone profesie ;  pomoc pri zabezpečení kontinuity správnej starostlivosti po prepustení zo zariadenia.</w:t>
            </w:r>
          </w:p>
        </w:tc>
      </w:tr>
    </w:tbl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 xml:space="preserve">Predpokladaná dĺžka ošetrovateľskej starostlivosti:....................                   </w:t>
        <w:tab/>
        <w:t>Dátum prijatia:</w:t>
      </w: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tabs>
          <w:tab w:val="left" w:pos="3060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                                          </w:t>
        <w:tab/>
        <w:tab/>
        <w:t xml:space="preserve">Dátum: ......................................  </w:t>
      </w:r>
    </w:p>
    <w:p w:rsidR="00BD2765" w:rsidRPr="00667217" w:rsidP="00BD2765">
      <w:pPr>
        <w:bidi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 xml:space="preserve">podpis odborného zástupcu poskytovateľa </w:t>
      </w:r>
    </w:p>
    <w:p w:rsidR="00BD2765" w:rsidRPr="00667217" w:rsidP="00BD2765">
      <w:pPr>
        <w:bidi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pre poskytovanie OS  a odtlačok pečiatky</w:t>
      </w: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>Meno, priezvisko lekára, ktorý ošetrovateľskú starostlivosť navrhoval: ...................................</w:t>
      </w:r>
    </w:p>
    <w:p w:rsidR="00BD2765" w:rsidRPr="00667217" w:rsidP="00BD2765">
      <w:pPr>
        <w:tabs>
          <w:tab w:val="left" w:pos="3060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765" w:rsidRPr="00667217" w:rsidP="00BD2765">
      <w:pPr>
        <w:tabs>
          <w:tab w:val="left" w:pos="3060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                                          Dátum: ......................................  </w:t>
      </w:r>
    </w:p>
    <w:p w:rsidR="00BD2765" w:rsidRPr="00667217" w:rsidP="00BD2765">
      <w:pPr>
        <w:bidi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67217">
        <w:rPr>
          <w:rFonts w:ascii="Times New Roman" w:hAnsi="Times New Roman" w:cs="Times New Roman"/>
          <w:sz w:val="24"/>
          <w:szCs w:val="24"/>
        </w:rPr>
        <w:t xml:space="preserve">       podpis lekára odtlačok pečiatky</w:t>
        <w:tab/>
        <w:tab/>
        <w:tab/>
      </w:r>
      <w:r w:rsidRPr="006672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</w:t>
      </w:r>
      <w:r w:rsidRPr="00667217">
        <w:rPr>
          <w:rFonts w:ascii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Segoe UI Symbol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C4E66"/>
    <w:multiLevelType w:val="hybridMultilevel"/>
    <w:tmpl w:val="F9E0B2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30A66FB"/>
    <w:multiLevelType w:val="hybridMultilevel"/>
    <w:tmpl w:val="DBFE60C2"/>
    <w:lvl w:ilvl="0">
      <w:start w:val="1"/>
      <w:numFmt w:val="decimal"/>
      <w:lvlText w:val="(%1)"/>
      <w:lvlJc w:val="left"/>
      <w:pPr>
        <w:ind w:left="720" w:hanging="360"/>
      </w:pPr>
      <w:rPr>
        <w:rFonts w:ascii="Arial Narrow" w:hAnsi="Arial Narrow"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CFC5635"/>
    <w:multiLevelType w:val="hybridMultilevel"/>
    <w:tmpl w:val="8E7A446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D2765"/>
    <w:rsid w:val="00451F0B"/>
    <w:rsid w:val="006177C8"/>
    <w:rsid w:val="00667217"/>
    <w:rsid w:val="00816F34"/>
    <w:rsid w:val="00BD27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765"/>
    <w:pPr>
      <w:framePr w:wrap="auto"/>
      <w:widowControl/>
      <w:autoSpaceDE/>
      <w:autoSpaceDN/>
      <w:adjustRightInd/>
      <w:spacing w:after="160" w:line="259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3">
    <w:name w:val="heading 3"/>
    <w:basedOn w:val="Normal"/>
    <w:next w:val="Normal"/>
    <w:link w:val="Nadpis3Char"/>
    <w:qFormat/>
    <w:rsid w:val="00BD2765"/>
    <w:pPr>
      <w:keepNext/>
      <w:spacing w:after="0" w:line="240" w:lineRule="auto"/>
      <w:jc w:val="left"/>
      <w:outlineLvl w:val="2"/>
    </w:pPr>
    <w:rPr>
      <w:rFonts w:ascii="Arial" w:hAnsi="Arial" w:cs="Times New Roman"/>
      <w:b/>
      <w:bCs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locked/>
    <w:rsid w:val="00BD2765"/>
    <w:rPr>
      <w:rFonts w:ascii="Arial" w:hAnsi="Arial" w:cs="Times New Roman"/>
      <w:b/>
      <w:bCs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link w:val="OdsekzoznamuChar"/>
    <w:uiPriority w:val="34"/>
    <w:qFormat/>
    <w:rsid w:val="00BD2765"/>
    <w:pPr>
      <w:ind w:left="720"/>
      <w:contextualSpacing/>
      <w:jc w:val="both"/>
    </w:pPr>
  </w:style>
  <w:style w:type="character" w:customStyle="1" w:styleId="OdsekzoznamuChar">
    <w:name w:val="Odsek zoznamu Char"/>
    <w:link w:val="ListParagraph"/>
    <w:uiPriority w:val="34"/>
    <w:locked/>
    <w:rsid w:val="00BD27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1369</Words>
  <Characters>7804</Characters>
  <Application>Microsoft Office Word</Application>
  <DocSecurity>0</DocSecurity>
  <Lines>0</Lines>
  <Paragraphs>0</Paragraphs>
  <ScaleCrop>false</ScaleCrop>
  <Company>MZ SR</Company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Földesová Motajová Zuzana</dc:creator>
  <cp:lastModifiedBy>Jakubíková Jana</cp:lastModifiedBy>
  <cp:revision>2</cp:revision>
  <dcterms:created xsi:type="dcterms:W3CDTF">2017-09-20T11:04:00Z</dcterms:created>
  <dcterms:modified xsi:type="dcterms:W3CDTF">2017-09-20T11:04:00Z</dcterms:modified>
</cp:coreProperties>
</file>