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056F8">
      <w:pPr>
        <w:bidi w:val="0"/>
        <w:spacing w:after="0" w:line="240" w:lineRule="auto"/>
        <w:jc w:val="center"/>
        <w:rPr>
          <w:rFonts w:ascii="Times New Roman" w:hAnsi="Times New Roman"/>
          <w:b/>
          <w:bCs/>
          <w:sz w:val="28"/>
          <w:szCs w:val="28"/>
          <w:lang w:val="sk-SK" w:eastAsia="sk-SK"/>
        </w:rPr>
      </w:pPr>
      <w:r w:rsidR="004F79A6">
        <w:rPr>
          <w:rFonts w:ascii="Times New Roman" w:hAnsi="Times New Roman"/>
          <w:b/>
          <w:bCs/>
          <w:sz w:val="28"/>
          <w:szCs w:val="28"/>
          <w:lang w:val="sk-SK" w:eastAsia="sk-SK"/>
        </w:rPr>
        <w:t>Analýza vplyvov na rozpočet verejnej správy,</w:t>
      </w:r>
    </w:p>
    <w:p w:rsidR="00D056F8">
      <w:pPr>
        <w:bidi w:val="0"/>
        <w:spacing w:after="0" w:line="240" w:lineRule="auto"/>
        <w:jc w:val="center"/>
        <w:rPr>
          <w:rFonts w:ascii="Times New Roman" w:hAnsi="Times New Roman"/>
          <w:b/>
          <w:bCs/>
          <w:sz w:val="28"/>
          <w:szCs w:val="28"/>
          <w:lang w:val="sk-SK" w:eastAsia="sk-SK"/>
        </w:rPr>
      </w:pPr>
      <w:r w:rsidR="004F79A6">
        <w:rPr>
          <w:rFonts w:ascii="Times New Roman" w:hAnsi="Times New Roman"/>
          <w:b/>
          <w:bCs/>
          <w:sz w:val="28"/>
          <w:szCs w:val="28"/>
          <w:lang w:val="sk-SK" w:eastAsia="sk-SK"/>
        </w:rPr>
        <w:t>na zamestnanosť vo verejnej správe a financovanie návrhu</w:t>
      </w:r>
    </w:p>
    <w:p w:rsidR="00D056F8">
      <w:pPr>
        <w:bidi w:val="0"/>
        <w:spacing w:after="0" w:line="240" w:lineRule="auto"/>
        <w:jc w:val="right"/>
        <w:rPr>
          <w:rFonts w:ascii="Times New Roman" w:hAnsi="Times New Roman"/>
          <w:b/>
          <w:bCs/>
          <w:sz w:val="24"/>
          <w:szCs w:val="24"/>
          <w:lang w:val="sk-SK" w:eastAsia="sk-SK"/>
        </w:rPr>
      </w:pPr>
    </w:p>
    <w:p w:rsidR="00D056F8">
      <w:pPr>
        <w:bidi w:val="0"/>
        <w:spacing w:after="0" w:line="240" w:lineRule="auto"/>
        <w:rPr>
          <w:rFonts w:ascii="Times New Roman" w:hAnsi="Times New Roman"/>
          <w:b/>
          <w:bCs/>
          <w:sz w:val="24"/>
          <w:szCs w:val="24"/>
          <w:lang w:val="sk-SK" w:eastAsia="sk-SK"/>
        </w:rPr>
      </w:pPr>
    </w:p>
    <w:p w:rsidR="00D056F8">
      <w:pPr>
        <w:bidi w:val="0"/>
        <w:spacing w:after="0" w:line="240" w:lineRule="auto"/>
        <w:rPr>
          <w:rFonts w:ascii="Times New Roman" w:hAnsi="Times New Roman"/>
          <w:b/>
          <w:bCs/>
          <w:sz w:val="24"/>
          <w:szCs w:val="24"/>
          <w:lang w:val="sk-SK" w:eastAsia="sk-SK"/>
        </w:rPr>
      </w:pPr>
      <w:r w:rsidR="004F79A6">
        <w:rPr>
          <w:rFonts w:ascii="Times New Roman" w:hAnsi="Times New Roman"/>
          <w:b/>
          <w:bCs/>
          <w:sz w:val="24"/>
          <w:szCs w:val="24"/>
          <w:lang w:val="sk-SK" w:eastAsia="sk-SK"/>
        </w:rPr>
        <w:t>2.1 Zhrnutie vplyvov na rozpočet verejnej správy v návrhu</w:t>
      </w:r>
    </w:p>
    <w:p w:rsidR="00D056F8">
      <w:pPr>
        <w:bidi w:val="0"/>
        <w:spacing w:after="0" w:line="240" w:lineRule="auto"/>
        <w:jc w:val="right"/>
        <w:rPr>
          <w:rFonts w:ascii="Times New Roman" w:hAnsi="Times New Roman"/>
          <w:sz w:val="20"/>
          <w:szCs w:val="20"/>
          <w:lang w:val="sk-SK" w:eastAsia="sk-SK"/>
        </w:rPr>
      </w:pPr>
    </w:p>
    <w:p w:rsidR="00D056F8">
      <w:pPr>
        <w:bidi w:val="0"/>
        <w:spacing w:after="0" w:line="240" w:lineRule="auto"/>
        <w:jc w:val="right"/>
        <w:rPr>
          <w:rFonts w:ascii="Times New Roman" w:hAnsi="Times New Roman"/>
          <w:sz w:val="20"/>
          <w:szCs w:val="20"/>
          <w:lang w:val="sk-SK" w:eastAsia="sk-SK"/>
        </w:rPr>
      </w:pPr>
      <w:r w:rsidR="004F79A6">
        <w:rPr>
          <w:rFonts w:ascii="Times New Roman" w:hAnsi="Times New Roman"/>
          <w:sz w:val="20"/>
          <w:szCs w:val="20"/>
          <w:lang w:val="sk-SK" w:eastAsia="sk-SK"/>
        </w:rPr>
        <w:t xml:space="preserve">Tabuľka č. 1 </w:t>
      </w:r>
    </w:p>
    <w:tbl>
      <w:tblPr>
        <w:tblStyle w:val="TableNormal"/>
        <w:tblW w:w="1062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Pr>
      <w:tblGrid>
        <w:gridCol w:w="4661"/>
        <w:gridCol w:w="1400"/>
        <w:gridCol w:w="1520"/>
        <w:gridCol w:w="1520"/>
        <w:gridCol w:w="1520"/>
      </w:tblGrid>
      <w:tr>
        <w:tblPrEx>
          <w:tblW w:w="1062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PrEx>
        <w:trPr>
          <w:cantSplit/>
          <w:trHeight w:val="194"/>
          <w:jc w:val="center"/>
        </w:trPr>
        <w:tc>
          <w:tcPr>
            <w:tcW w:w="4661" w:type="dxa"/>
            <w:vMerge w:val="restart"/>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center"/>
              <w:rPr>
                <w:rFonts w:ascii="Times New Roman" w:hAnsi="Times New Roman"/>
                <w:b/>
                <w:bCs/>
                <w:sz w:val="20"/>
                <w:szCs w:val="24"/>
                <w:lang w:val="sk-SK" w:eastAsia="sk-SK"/>
              </w:rPr>
            </w:pPr>
            <w:r w:rsidR="004F79A6">
              <w:rPr>
                <w:rFonts w:ascii="Times New Roman" w:hAnsi="Times New Roman"/>
                <w:b/>
                <w:bCs/>
                <w:sz w:val="20"/>
                <w:szCs w:val="24"/>
                <w:lang w:val="sk-SK" w:eastAsia="sk-SK"/>
              </w:rPr>
              <w:t>Vplyvy na rozpočet verejnej správy</w:t>
            </w:r>
          </w:p>
        </w:tc>
        <w:tc>
          <w:tcPr>
            <w:tcW w:w="5960"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center"/>
              <w:rPr>
                <w:rFonts w:ascii="Times New Roman" w:hAnsi="Times New Roman"/>
                <w:b/>
                <w:bCs/>
                <w:sz w:val="20"/>
                <w:szCs w:val="24"/>
                <w:lang w:val="sk-SK" w:eastAsia="sk-SK"/>
              </w:rPr>
            </w:pPr>
            <w:r w:rsidR="004F79A6">
              <w:rPr>
                <w:rFonts w:ascii="Times New Roman" w:hAnsi="Times New Roman"/>
                <w:b/>
                <w:bCs/>
                <w:sz w:val="20"/>
                <w:szCs w:val="24"/>
                <w:lang w:val="sk-SK" w:eastAsia="sk-SK"/>
              </w:rPr>
              <w:t>Vplyv na rozpočet verejnej správy (v eurách)</w:t>
            </w:r>
          </w:p>
        </w:tc>
      </w:tr>
      <w:tr>
        <w:tblPrEx>
          <w:tblW w:w="10621" w:type="dxa"/>
          <w:jc w:val="center"/>
          <w:tblCellMar>
            <w:left w:w="65" w:type="dxa"/>
            <w:right w:w="70" w:type="dxa"/>
          </w:tblCellMar>
        </w:tblPrEx>
        <w:trPr>
          <w:cantSplit/>
          <w:trHeight w:val="70"/>
          <w:jc w:val="center"/>
        </w:trPr>
        <w:tc>
          <w:tcPr>
            <w:tcW w:w="4661" w:type="dxa"/>
            <w:vMerge/>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center"/>
              <w:rPr>
                <w:rFonts w:ascii="Times New Roman" w:hAnsi="Times New Roman"/>
                <w:b/>
                <w:bCs/>
                <w:sz w:val="20"/>
                <w:szCs w:val="24"/>
                <w:lang w:val="sk-SK" w:eastAsia="sk-SK"/>
              </w:rPr>
            </w:pPr>
          </w:p>
        </w:tc>
        <w:tc>
          <w:tcPr>
            <w:tcW w:w="140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center"/>
              <w:rPr>
                <w:rFonts w:ascii="Times New Roman" w:hAnsi="Times New Roman"/>
                <w:b/>
                <w:bCs/>
                <w:sz w:val="20"/>
                <w:szCs w:val="24"/>
                <w:lang w:val="sk-SK" w:eastAsia="sk-SK"/>
              </w:rPr>
            </w:pPr>
            <w:r w:rsidR="004F79A6">
              <w:rPr>
                <w:rFonts w:ascii="Times New Roman" w:hAnsi="Times New Roman"/>
                <w:b/>
                <w:bCs/>
                <w:sz w:val="20"/>
                <w:szCs w:val="24"/>
                <w:lang w:val="sk-SK" w:eastAsia="sk-SK"/>
              </w:rPr>
              <w:t>2017</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center"/>
              <w:rPr>
                <w:rFonts w:ascii="Times New Roman" w:hAnsi="Times New Roman"/>
                <w:b/>
                <w:bCs/>
                <w:sz w:val="20"/>
                <w:szCs w:val="24"/>
                <w:lang w:val="sk-SK" w:eastAsia="sk-SK"/>
              </w:rPr>
            </w:pPr>
            <w:r w:rsidR="004F79A6">
              <w:rPr>
                <w:rFonts w:ascii="Times New Roman" w:hAnsi="Times New Roman"/>
                <w:b/>
                <w:bCs/>
                <w:sz w:val="20"/>
                <w:szCs w:val="24"/>
                <w:lang w:val="sk-SK" w:eastAsia="sk-SK"/>
              </w:rPr>
              <w:t>2018</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center"/>
              <w:rPr>
                <w:rFonts w:ascii="Times New Roman" w:hAnsi="Times New Roman"/>
                <w:b/>
                <w:bCs/>
                <w:sz w:val="20"/>
                <w:szCs w:val="24"/>
                <w:lang w:val="sk-SK" w:eastAsia="sk-SK"/>
              </w:rPr>
            </w:pPr>
            <w:r w:rsidR="004F79A6">
              <w:rPr>
                <w:rFonts w:ascii="Times New Roman" w:hAnsi="Times New Roman"/>
                <w:b/>
                <w:bCs/>
                <w:sz w:val="20"/>
                <w:szCs w:val="24"/>
                <w:lang w:val="sk-SK" w:eastAsia="sk-SK"/>
              </w:rPr>
              <w:t>2019</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center"/>
              <w:rPr>
                <w:rFonts w:ascii="Times New Roman" w:hAnsi="Times New Roman"/>
                <w:b/>
                <w:bCs/>
                <w:sz w:val="20"/>
                <w:szCs w:val="24"/>
                <w:lang w:val="sk-SK" w:eastAsia="sk-SK"/>
              </w:rPr>
            </w:pPr>
            <w:r w:rsidR="004F79A6">
              <w:rPr>
                <w:rFonts w:ascii="Times New Roman" w:hAnsi="Times New Roman"/>
                <w:b/>
                <w:bCs/>
                <w:sz w:val="20"/>
                <w:szCs w:val="24"/>
                <w:lang w:val="sk-SK" w:eastAsia="sk-SK"/>
              </w:rPr>
              <w:t>2020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center"/>
          </w:tcPr>
          <w:p w:rsidR="00D056F8">
            <w:pPr>
              <w:bidi w:val="0"/>
              <w:spacing w:after="0" w:line="240" w:lineRule="auto"/>
              <w:rPr>
                <w:rFonts w:ascii="Times New Roman" w:hAnsi="Times New Roman"/>
                <w:sz w:val="20"/>
                <w:szCs w:val="24"/>
                <w:lang w:val="sk-SK" w:eastAsia="sk-SK"/>
              </w:rPr>
            </w:pPr>
            <w:r w:rsidR="004F79A6">
              <w:rPr>
                <w:rFonts w:ascii="Times New Roman" w:hAnsi="Times New Roman"/>
                <w:b/>
                <w:bCs/>
                <w:sz w:val="20"/>
                <w:szCs w:val="24"/>
                <w:lang w:val="sk-SK" w:eastAsia="sk-SK"/>
              </w:rPr>
              <w:t>Príjmy verejnej správy celkom</w:t>
            </w:r>
          </w:p>
        </w:tc>
        <w:tc>
          <w:tcPr>
            <w:tcW w:w="140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15 000 000</w:t>
            </w: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15 000 000</w:t>
            </w: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15 000 000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xml:space="preserve">z toho:  </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p>
        </w:tc>
      </w:tr>
      <w:tr>
        <w:tblPrEx>
          <w:tblW w:w="10621" w:type="dxa"/>
          <w:jc w:val="center"/>
          <w:tblCellMar>
            <w:left w:w="65" w:type="dxa"/>
            <w:right w:w="70" w:type="dxa"/>
          </w:tblCellMar>
        </w:tblPrEx>
        <w:trPr>
          <w:trHeight w:val="125"/>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ŠR</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125"/>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ind w:left="259"/>
              <w:rPr>
                <w:rFonts w:ascii="Times New Roman" w:hAnsi="Times New Roman"/>
                <w:b/>
                <w:bCs/>
                <w:i/>
                <w:iCs/>
                <w:sz w:val="20"/>
                <w:szCs w:val="24"/>
                <w:lang w:val="sk-SK" w:eastAsia="sk-SK"/>
              </w:rPr>
            </w:pPr>
            <w:r w:rsidR="004F79A6">
              <w:rPr>
                <w:rFonts w:ascii="Times New Roman" w:hAnsi="Times New Roman"/>
                <w:bCs/>
                <w:i/>
                <w:iCs/>
                <w:sz w:val="20"/>
                <w:szCs w:val="24"/>
                <w:lang w:val="sk-SK" w:eastAsia="sk-SK"/>
              </w:rPr>
              <w:t>Rozpočtové prostriedky</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125"/>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ind w:left="259"/>
              <w:rPr>
                <w:rFonts w:ascii="Times New Roman" w:hAnsi="Times New Roman"/>
                <w:bCs/>
                <w:i/>
                <w:iCs/>
                <w:sz w:val="20"/>
                <w:szCs w:val="24"/>
                <w:lang w:val="sk-SK" w:eastAsia="sk-SK"/>
              </w:rPr>
            </w:pPr>
            <w:r w:rsidR="004F79A6">
              <w:rPr>
                <w:rFonts w:ascii="Times New Roman" w:hAnsi="Times New Roman"/>
                <w:bCs/>
                <w:i/>
                <w:iCs/>
                <w:sz w:val="20"/>
                <w:szCs w:val="24"/>
                <w:lang w:val="sk-SK" w:eastAsia="sk-SK"/>
              </w:rPr>
              <w:t>EÚ zdroje</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r>
      <w:tr>
        <w:tblPrEx>
          <w:tblW w:w="10621" w:type="dxa"/>
          <w:jc w:val="center"/>
          <w:tblCellMar>
            <w:left w:w="65" w:type="dxa"/>
            <w:right w:w="70" w:type="dxa"/>
          </w:tblCellMar>
        </w:tblPrEx>
        <w:trPr>
          <w:trHeight w:val="125"/>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obce</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125"/>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vyššie územné celky</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125"/>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ostatné subjekty verejnej správy</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125"/>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rozpočet verejného zdravotného poistenia – úprava výpočtu odpočítateľnej položky</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15 000 000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15 000 000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15 000 000</w:t>
            </w:r>
          </w:p>
        </w:tc>
      </w:tr>
      <w:tr>
        <w:tblPrEx>
          <w:tblW w:w="10621" w:type="dxa"/>
          <w:jc w:val="center"/>
          <w:tblCellMar>
            <w:left w:w="65" w:type="dxa"/>
            <w:right w:w="70" w:type="dxa"/>
          </w:tblCellMar>
        </w:tblPrEx>
        <w:trPr>
          <w:trHeight w:val="125"/>
          <w:jc w:val="center"/>
        </w:trPr>
        <w:tc>
          <w:tcPr>
            <w:tcW w:w="4661"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center"/>
          </w:tcPr>
          <w:p w:rsidR="00D056F8">
            <w:pPr>
              <w:bidi w:val="0"/>
              <w:spacing w:after="0" w:line="240" w:lineRule="auto"/>
              <w:rPr>
                <w:rFonts w:ascii="Times New Roman" w:hAnsi="Times New Roman"/>
                <w:b/>
                <w:bCs/>
                <w:sz w:val="20"/>
                <w:szCs w:val="24"/>
                <w:lang w:val="sk-SK" w:eastAsia="sk-SK"/>
              </w:rPr>
            </w:pPr>
            <w:r w:rsidR="004F79A6">
              <w:rPr>
                <w:rFonts w:ascii="Times New Roman" w:hAnsi="Times New Roman"/>
                <w:b/>
                <w:bCs/>
                <w:sz w:val="20"/>
                <w:szCs w:val="24"/>
                <w:lang w:val="sk-SK" w:eastAsia="sk-SK"/>
              </w:rPr>
              <w:t>Výdavky verejnej správy celkom</w:t>
            </w:r>
          </w:p>
        </w:tc>
        <w:tc>
          <w:tcPr>
            <w:tcW w:w="140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bottom"/>
          </w:tcPr>
          <w:p w:rsidR="00D056F8">
            <w:pPr>
              <w:widowControl/>
              <w:bidi w:val="0"/>
              <w:spacing w:after="0" w:line="240" w:lineRule="auto"/>
              <w:jc w:val="right"/>
              <w:rPr>
                <w:rFonts w:ascii="Times New Roman" w:hAnsi="Times New Roman"/>
                <w:b/>
                <w:color w:val="000000"/>
                <w:sz w:val="20"/>
                <w:szCs w:val="20"/>
                <w:lang w:val="sk-SK" w:eastAsia="sk-SK"/>
              </w:rPr>
            </w:pPr>
            <w:r w:rsidR="004F79A6">
              <w:rPr>
                <w:rFonts w:ascii="Times New Roman" w:hAnsi="Times New Roman"/>
                <w:b/>
                <w:color w:val="000000"/>
                <w:sz w:val="20"/>
                <w:szCs w:val="20"/>
              </w:rPr>
              <w:t>24 926 521,51</w:t>
            </w: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bottom"/>
          </w:tcPr>
          <w:p w:rsidR="00D056F8">
            <w:pPr>
              <w:bidi w:val="0"/>
              <w:spacing w:after="0" w:line="240" w:lineRule="auto"/>
              <w:jc w:val="right"/>
              <w:rPr>
                <w:rFonts w:ascii="Times New Roman" w:hAnsi="Times New Roman"/>
                <w:b/>
                <w:color w:val="000000"/>
                <w:sz w:val="20"/>
                <w:szCs w:val="20"/>
              </w:rPr>
            </w:pPr>
            <w:r w:rsidR="004F79A6">
              <w:rPr>
                <w:rFonts w:ascii="Times New Roman" w:hAnsi="Times New Roman"/>
                <w:b/>
                <w:color w:val="000000"/>
                <w:sz w:val="20"/>
                <w:szCs w:val="20"/>
              </w:rPr>
              <w:t>55 347 613,51</w:t>
            </w: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bottom"/>
          </w:tcPr>
          <w:p w:rsidR="00D056F8">
            <w:pPr>
              <w:bidi w:val="0"/>
              <w:spacing w:after="0" w:line="240" w:lineRule="auto"/>
              <w:jc w:val="right"/>
              <w:rPr>
                <w:rFonts w:ascii="Times New Roman" w:hAnsi="Times New Roman"/>
                <w:b/>
                <w:color w:val="000000"/>
                <w:sz w:val="20"/>
                <w:szCs w:val="20"/>
              </w:rPr>
            </w:pPr>
            <w:r w:rsidR="004F79A6">
              <w:rPr>
                <w:rFonts w:ascii="Times New Roman" w:hAnsi="Times New Roman"/>
                <w:b/>
                <w:color w:val="000000"/>
                <w:sz w:val="20"/>
                <w:szCs w:val="20"/>
              </w:rPr>
              <w:t>35 481 017,51</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sz w:val="20"/>
                <w:szCs w:val="24"/>
                <w:lang w:val="sk-SK" w:eastAsia="sk-SK"/>
              </w:rPr>
            </w:pPr>
            <w:r w:rsidR="004F79A6">
              <w:rPr>
                <w:rFonts w:ascii="Times New Roman" w:hAnsi="Times New Roman"/>
                <w:sz w:val="20"/>
                <w:szCs w:val="24"/>
                <w:lang w:val="sk-SK" w:eastAsia="sk-SK"/>
              </w:rPr>
              <w:t xml:space="preserve">v tom: </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highlight w:val="yellow"/>
                <w:lang w:val="sk-SK"/>
              </w:rPr>
            </w:pPr>
            <w:r w:rsidR="004F79A6">
              <w:rPr>
                <w:rFonts w:ascii="Times New Roman" w:hAnsi="Times New Roman"/>
                <w:color w:val="000000"/>
                <w:sz w:val="20"/>
                <w:szCs w:val="24"/>
                <w:lang w:val="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sz w:val="20"/>
                <w:szCs w:val="24"/>
                <w:lang w:val="sk-SK" w:eastAsia="sk-SK"/>
              </w:rPr>
            </w:pPr>
            <w:r w:rsidR="004F79A6">
              <w:rPr>
                <w:rFonts w:ascii="Times New Roman" w:hAnsi="Times New Roman"/>
                <w:b/>
                <w:bCs/>
                <w:i/>
                <w:iCs/>
                <w:sz w:val="20"/>
                <w:szCs w:val="24"/>
                <w:lang w:val="sk-SK" w:eastAsia="sk-SK"/>
              </w:rPr>
              <w:t>- vplyv na rozpočet verejného zdravotného poistenia, v tom:</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highlight w:val="yellow"/>
                <w:lang w:val="sk-SK"/>
              </w:rPr>
            </w:pPr>
            <w:r w:rsidR="004F79A6">
              <w:rPr>
                <w:rFonts w:ascii="Times New Roman" w:hAnsi="Times New Roman"/>
                <w:color w:val="000000"/>
                <w:sz w:val="20"/>
                <w:szCs w:val="24"/>
                <w:lang w:val="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highlight w:val="yellow"/>
                <w:lang w:val="sk-SK"/>
              </w:rPr>
            </w:pP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highlight w:val="yellow"/>
                <w:lang w:val="sk-SK"/>
              </w:rPr>
            </w:pP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highlight w:val="yellow"/>
                <w:lang w:val="sk-SK"/>
              </w:rPr>
            </w:pP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pStyle w:val="ListParagraph"/>
              <w:numPr>
                <w:numId w:val="6"/>
              </w:numPr>
              <w:bidi w:val="0"/>
              <w:rPr>
                <w:rFonts w:ascii="Times New Roman" w:hAnsi="Times New Roman"/>
                <w:b/>
                <w:bCs/>
                <w:i/>
                <w:iCs/>
                <w:sz w:val="20"/>
              </w:rPr>
            </w:pPr>
            <w:r w:rsidR="004F79A6">
              <w:rPr>
                <w:rFonts w:ascii="Times New Roman" w:hAnsi="Times New Roman"/>
                <w:b/>
                <w:bCs/>
                <w:i/>
                <w:iCs/>
                <w:sz w:val="20"/>
              </w:rPr>
              <w:t>paušálna platba - urgenty</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lang w:val="sk-SK"/>
              </w:rPr>
            </w:pPr>
            <w:r w:rsidR="004F79A6">
              <w:rPr>
                <w:rFonts w:ascii="Times New Roman" w:hAnsi="Times New Roman"/>
                <w:color w:val="000000"/>
                <w:sz w:val="20"/>
                <w:szCs w:val="24"/>
                <w:lang w:val="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highlight w:val="yellow"/>
                <w:lang w:val="sk-SK"/>
              </w:rPr>
            </w:pPr>
            <w:r w:rsidR="004F79A6">
              <w:rPr>
                <w:rFonts w:ascii="Times New Roman" w:hAnsi="Times New Roman"/>
                <w:color w:val="000000"/>
                <w:sz w:val="20"/>
                <w:szCs w:val="24"/>
                <w:lang w:val="sk-SK"/>
              </w:rPr>
              <w:t>6 853 725,51</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highlight w:val="yellow"/>
                <w:lang w:val="sk-SK"/>
              </w:rPr>
            </w:pPr>
            <w:r w:rsidR="004F79A6">
              <w:rPr>
                <w:rFonts w:ascii="Times New Roman" w:hAnsi="Times New Roman"/>
                <w:color w:val="000000"/>
                <w:sz w:val="20"/>
                <w:szCs w:val="24"/>
                <w:lang w:val="sk-SK"/>
              </w:rPr>
              <w:t>14 054 817,51</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highlight w:val="yellow"/>
                <w:lang w:val="sk-SK"/>
              </w:rPr>
            </w:pPr>
            <w:r w:rsidR="004F79A6">
              <w:rPr>
                <w:rFonts w:ascii="Times New Roman" w:hAnsi="Times New Roman"/>
                <w:color w:val="000000"/>
                <w:sz w:val="20"/>
                <w:szCs w:val="24"/>
                <w:lang w:val="sk-SK"/>
              </w:rPr>
              <w:t>18 748 221,51</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pStyle w:val="ListParagraph"/>
              <w:numPr>
                <w:numId w:val="6"/>
              </w:numPr>
              <w:bidi w:val="0"/>
              <w:rPr>
                <w:rFonts w:ascii="Times New Roman" w:hAnsi="Times New Roman"/>
                <w:b/>
                <w:bCs/>
                <w:i/>
                <w:iCs/>
                <w:sz w:val="20"/>
              </w:rPr>
            </w:pPr>
            <w:r w:rsidR="004F79A6">
              <w:rPr>
                <w:rFonts w:ascii="Times New Roman" w:hAnsi="Times New Roman"/>
                <w:b/>
                <w:bCs/>
                <w:i/>
                <w:iCs/>
                <w:sz w:val="20"/>
              </w:rPr>
              <w:t>paušálna platba – ošetrovateľská starostlivosť</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lang w:val="sk-SK"/>
              </w:rPr>
            </w:pPr>
            <w:r w:rsidR="004F79A6">
              <w:rPr>
                <w:rFonts w:ascii="Times New Roman" w:hAnsi="Times New Roman"/>
                <w:color w:val="000000"/>
                <w:sz w:val="20"/>
                <w:szCs w:val="24"/>
                <w:lang w:val="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lang w:val="sk-SK"/>
              </w:rPr>
            </w:pPr>
            <w:r w:rsidR="004F79A6">
              <w:rPr>
                <w:rFonts w:ascii="Times New Roman" w:hAnsi="Times New Roman"/>
                <w:bCs/>
                <w:sz w:val="20"/>
                <w:szCs w:val="20"/>
                <w:lang w:val="sk-SK" w:eastAsia="sk-SK"/>
              </w:rPr>
              <w:t>12 632 796</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lang w:val="sk-SK"/>
              </w:rPr>
            </w:pPr>
            <w:r w:rsidR="004F79A6">
              <w:rPr>
                <w:rFonts w:ascii="Times New Roman" w:hAnsi="Times New Roman"/>
                <w:bCs/>
                <w:sz w:val="20"/>
                <w:szCs w:val="20"/>
                <w:lang w:val="sk-SK" w:eastAsia="sk-SK"/>
              </w:rPr>
              <w:t>12 632 796</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color w:val="000000"/>
                <w:sz w:val="20"/>
                <w:szCs w:val="24"/>
                <w:lang w:val="sk-SK"/>
              </w:rPr>
            </w:pPr>
            <w:r w:rsidR="004F79A6">
              <w:rPr>
                <w:rFonts w:ascii="Times New Roman" w:hAnsi="Times New Roman"/>
                <w:bCs/>
                <w:sz w:val="20"/>
                <w:szCs w:val="20"/>
                <w:lang w:val="sk-SK" w:eastAsia="sk-SK"/>
              </w:rPr>
              <w:t>12 632 796</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xml:space="preserve">z toho: </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ŠR</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ind w:left="259"/>
              <w:rPr>
                <w:rFonts w:ascii="Times New Roman" w:hAnsi="Times New Roman"/>
                <w:b/>
                <w:bCs/>
                <w:i/>
                <w:iCs/>
                <w:sz w:val="20"/>
                <w:szCs w:val="24"/>
                <w:lang w:val="sk-SK" w:eastAsia="sk-SK"/>
              </w:rPr>
            </w:pPr>
            <w:r w:rsidR="004F79A6">
              <w:rPr>
                <w:rFonts w:ascii="Times New Roman" w:hAnsi="Times New Roman"/>
                <w:bCs/>
                <w:i/>
                <w:iCs/>
                <w:sz w:val="20"/>
                <w:szCs w:val="24"/>
                <w:lang w:val="sk-SK" w:eastAsia="sk-SK"/>
              </w:rPr>
              <w:t>Rozpočtové prostriedky – vybudovanie urgentov v nemocniciach v pôsobnosti MZSR</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5 440 000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28 660 000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4 100 000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Cs/>
                <w:i/>
                <w:iCs/>
                <w:sz w:val="20"/>
                <w:szCs w:val="24"/>
                <w:lang w:val="sk-SK" w:eastAsia="sk-SK"/>
              </w:rPr>
            </w:pPr>
            <w:r w:rsidR="004F79A6">
              <w:rPr>
                <w:rFonts w:ascii="Times New Roman" w:hAnsi="Times New Roman"/>
                <w:bCs/>
                <w:i/>
                <w:iCs/>
                <w:sz w:val="20"/>
                <w:szCs w:val="24"/>
                <w:lang w:val="sk-SK" w:eastAsia="sk-SK"/>
              </w:rPr>
              <w:t xml:space="preserve">    EÚ zdroje</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Cs/>
                <w:i/>
                <w:iCs/>
                <w:sz w:val="20"/>
                <w:szCs w:val="24"/>
                <w:lang w:val="sk-SK" w:eastAsia="sk-SK"/>
              </w:rPr>
            </w:pPr>
            <w:r w:rsidR="004F79A6">
              <w:rPr>
                <w:rFonts w:ascii="Times New Roman" w:hAnsi="Times New Roman"/>
                <w:bCs/>
                <w:i/>
                <w:iCs/>
                <w:sz w:val="20"/>
                <w:szCs w:val="24"/>
                <w:lang w:val="sk-SK" w:eastAsia="sk-SK"/>
              </w:rPr>
              <w:t xml:space="preserve">    spolufinancovanie</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sz w:val="20"/>
                <w:szCs w:val="24"/>
                <w:lang w:val="sk-SK" w:eastAsia="sk-SK"/>
              </w:rPr>
            </w:pPr>
            <w:r w:rsidR="004F79A6">
              <w:rPr>
                <w:rFonts w:ascii="Times New Roman" w:hAnsi="Times New Roman"/>
                <w:sz w:val="20"/>
                <w:szCs w:val="24"/>
                <w:lang w:val="sk-SK" w:eastAsia="sk-SK"/>
              </w:rPr>
              <w:t>0</w:t>
            </w:r>
          </w:p>
        </w:tc>
      </w:tr>
      <w:tr>
        <w:tblPrEx>
          <w:tblW w:w="10621" w:type="dxa"/>
          <w:jc w:val="center"/>
          <w:tblCellMar>
            <w:left w:w="65" w:type="dxa"/>
            <w:right w:w="70" w:type="dxa"/>
          </w:tblCellMar>
        </w:tblPrEx>
        <w:trPr>
          <w:trHeight w:val="125"/>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obce</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125"/>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vyššie územné celky</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rPr>
                <w:rFonts w:ascii="Times New Roman" w:hAnsi="Times New Roman"/>
                <w:b/>
                <w:bCs/>
                <w:sz w:val="20"/>
                <w:szCs w:val="24"/>
                <w:lang w:val="sk-SK" w:eastAsia="sk-SK"/>
              </w:rPr>
            </w:pPr>
            <w:r w:rsidR="004F79A6">
              <w:rPr>
                <w:rFonts w:ascii="Times New Roman" w:hAnsi="Times New Roman"/>
                <w:b/>
                <w:bCs/>
                <w:sz w:val="20"/>
                <w:szCs w:val="24"/>
                <w:lang w:val="sk-SK" w:eastAsia="sk-SK"/>
              </w:rPr>
              <w:t xml:space="preserve">Vplyv na počet zamestnancov </w:t>
            </w:r>
          </w:p>
        </w:tc>
        <w:tc>
          <w:tcPr>
            <w:tcW w:w="140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ŠR</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obce</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vyššie územné celky</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ostatné subjekty verejnej správy</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rPr>
                <w:rFonts w:ascii="Times New Roman" w:hAnsi="Times New Roman"/>
                <w:b/>
                <w:sz w:val="20"/>
                <w:szCs w:val="24"/>
                <w:lang w:val="sk-SK" w:eastAsia="sk-SK"/>
              </w:rPr>
            </w:pPr>
            <w:r w:rsidR="004F79A6">
              <w:rPr>
                <w:rFonts w:ascii="Times New Roman" w:hAnsi="Times New Roman"/>
                <w:b/>
                <w:sz w:val="20"/>
                <w:szCs w:val="24"/>
                <w:lang w:val="sk-SK" w:eastAsia="sk-SK"/>
              </w:rPr>
              <w:t>Vplyv na mzdové výdavky</w:t>
            </w:r>
          </w:p>
        </w:tc>
        <w:tc>
          <w:tcPr>
            <w:tcW w:w="140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sz w:val="20"/>
                <w:szCs w:val="24"/>
                <w:lang w:val="sk-SK" w:eastAsia="sk-SK"/>
              </w:rPr>
            </w:pPr>
            <w:r w:rsidR="004F79A6">
              <w:rPr>
                <w:rFonts w:ascii="Times New Roman" w:hAnsi="Times New Roman"/>
                <w:b/>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sz w:val="20"/>
                <w:szCs w:val="24"/>
                <w:lang w:val="sk-SK" w:eastAsia="sk-SK"/>
              </w:rPr>
            </w:pPr>
            <w:r w:rsidR="004F79A6">
              <w:rPr>
                <w:rFonts w:ascii="Times New Roman" w:hAnsi="Times New Roman"/>
                <w:b/>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sz w:val="20"/>
                <w:szCs w:val="24"/>
                <w:lang w:val="sk-SK" w:eastAsia="sk-SK"/>
              </w:rPr>
            </w:pPr>
            <w:r w:rsidR="004F79A6">
              <w:rPr>
                <w:rFonts w:ascii="Times New Roman" w:hAnsi="Times New Roman"/>
                <w:b/>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sz w:val="20"/>
                <w:szCs w:val="24"/>
                <w:lang w:val="sk-SK" w:eastAsia="sk-SK"/>
              </w:rPr>
            </w:pPr>
            <w:r w:rsidR="004F79A6">
              <w:rPr>
                <w:rFonts w:ascii="Times New Roman" w:hAnsi="Times New Roman"/>
                <w:b/>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ŠR</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obce</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i/>
                <w:iCs/>
                <w:sz w:val="20"/>
                <w:szCs w:val="24"/>
                <w:lang w:val="sk-SK" w:eastAsia="sk-SK"/>
              </w:rPr>
            </w:pPr>
            <w:r w:rsidR="004F79A6">
              <w:rPr>
                <w:rFonts w:ascii="Times New Roman" w:hAnsi="Times New Roman"/>
                <w:b/>
                <w:bCs/>
                <w:i/>
                <w:iCs/>
                <w:sz w:val="20"/>
                <w:szCs w:val="24"/>
                <w:lang w:val="sk-SK" w:eastAsia="sk-SK"/>
              </w:rPr>
              <w:t>- vplyv na vyššie územné celky</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rPr>
                <w:rFonts w:ascii="Times New Roman" w:hAnsi="Times New Roman"/>
                <w:b/>
                <w:bCs/>
                <w:sz w:val="20"/>
                <w:szCs w:val="24"/>
                <w:lang w:val="sk-SK" w:eastAsia="sk-SK"/>
              </w:rPr>
            </w:pPr>
            <w:r w:rsidR="004F79A6">
              <w:rPr>
                <w:rFonts w:ascii="Times New Roman" w:hAnsi="Times New Roman"/>
                <w:b/>
                <w:bCs/>
                <w:i/>
                <w:iCs/>
                <w:sz w:val="20"/>
                <w:szCs w:val="24"/>
                <w:lang w:val="sk-SK" w:eastAsia="sk-SK"/>
              </w:rPr>
              <w:t>- vplyv na ostatné subjekty verejnej správy</w:t>
            </w:r>
          </w:p>
        </w:tc>
        <w:tc>
          <w:tcPr>
            <w:tcW w:w="140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bidi w:val="0"/>
              <w:spacing w:after="0" w:line="240" w:lineRule="auto"/>
              <w:jc w:val="right"/>
              <w:rPr>
                <w:rFonts w:ascii="Times New Roman" w:hAnsi="Times New Roman"/>
                <w:b/>
                <w:bCs/>
                <w:iCs/>
                <w:sz w:val="20"/>
                <w:szCs w:val="24"/>
                <w:lang w:val="sk-SK" w:eastAsia="sk-SK"/>
              </w:rPr>
            </w:pPr>
            <w:r w:rsidR="004F79A6">
              <w:rPr>
                <w:rFonts w:ascii="Times New Roman" w:hAnsi="Times New Roman"/>
                <w:b/>
                <w:bCs/>
                <w:iCs/>
                <w:sz w:val="20"/>
                <w:szCs w:val="24"/>
                <w:lang w:val="sk-SK" w:eastAsia="sk-SK"/>
              </w:rPr>
              <w:t>0</w:t>
            </w:r>
          </w:p>
        </w:tc>
      </w:tr>
      <w:tr>
        <w:tblPrEx>
          <w:tblW w:w="10621" w:type="dxa"/>
          <w:jc w:val="center"/>
          <w:tblCellMar>
            <w:left w:w="65" w:type="dxa"/>
            <w:right w:w="70" w:type="dxa"/>
          </w:tblCellMar>
        </w:tblPrEx>
        <w:trPr>
          <w:trHeight w:val="172"/>
          <w:jc w:val="center"/>
        </w:trPr>
        <w:tc>
          <w:tcPr>
            <w:tcW w:w="4661"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center"/>
          </w:tcPr>
          <w:p w:rsidR="00B45A31" w:rsidP="00B45A31">
            <w:pPr>
              <w:bidi w:val="0"/>
              <w:spacing w:after="0" w:line="240" w:lineRule="auto"/>
              <w:rPr>
                <w:rFonts w:ascii="Times New Roman" w:hAnsi="Times New Roman"/>
                <w:b/>
                <w:bCs/>
                <w:sz w:val="20"/>
                <w:szCs w:val="24"/>
                <w:lang w:val="sk-SK" w:eastAsia="sk-SK"/>
              </w:rPr>
            </w:pPr>
            <w:r>
              <w:rPr>
                <w:rFonts w:ascii="Times New Roman" w:hAnsi="Times New Roman"/>
                <w:b/>
                <w:bCs/>
                <w:sz w:val="20"/>
                <w:szCs w:val="24"/>
                <w:lang w:val="sk-SK" w:eastAsia="sk-SK"/>
              </w:rPr>
              <w:t>Financovanie zabezpečené v rozpočte</w:t>
            </w:r>
            <w:r w:rsidRPr="00B45A31">
              <w:rPr>
                <w:rFonts w:ascii="Times New Roman" w:hAnsi="Times New Roman"/>
                <w:b/>
                <w:bCs/>
                <w:sz w:val="20"/>
                <w:szCs w:val="24"/>
                <w:lang w:val="sk-SK" w:eastAsia="sk-SK"/>
              </w:rPr>
              <w:t xml:space="preserve"> z toho </w:t>
            </w:r>
          </w:p>
        </w:tc>
        <w:tc>
          <w:tcPr>
            <w:tcW w:w="140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center"/>
          </w:tcPr>
          <w:p w:rsidR="00B45A31" w:rsidP="00B45A31">
            <w:pPr>
              <w:bidi w:val="0"/>
              <w:spacing w:after="0" w:line="240" w:lineRule="auto"/>
              <w:jc w:val="right"/>
              <w:rPr>
                <w:rFonts w:ascii="Times New Roman" w:hAnsi="Times New Roman"/>
                <w:color w:val="000000"/>
                <w:sz w:val="20"/>
                <w:szCs w:val="24"/>
                <w:highlight w:val="yellow"/>
                <w:lang w:val="sk-SK"/>
              </w:rPr>
            </w:pPr>
            <w:r>
              <w:rPr>
                <w:rFonts w:ascii="Times New Roman" w:hAnsi="Times New Roman"/>
                <w:color w:val="000000"/>
                <w:sz w:val="20"/>
                <w:szCs w:val="24"/>
                <w:lang w:val="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bottom"/>
          </w:tcPr>
          <w:p w:rsidR="00B45A31" w:rsidP="00B45A31">
            <w:pPr>
              <w:widowControl/>
              <w:bidi w:val="0"/>
              <w:spacing w:after="0" w:line="240" w:lineRule="auto"/>
              <w:jc w:val="right"/>
              <w:rPr>
                <w:rFonts w:ascii="Times New Roman" w:hAnsi="Times New Roman"/>
                <w:b/>
                <w:color w:val="000000"/>
                <w:sz w:val="20"/>
                <w:szCs w:val="20"/>
                <w:lang w:val="sk-SK" w:eastAsia="sk-SK"/>
              </w:rPr>
            </w:pPr>
            <w:r>
              <w:rPr>
                <w:rFonts w:ascii="Times New Roman" w:hAnsi="Times New Roman"/>
                <w:b/>
                <w:color w:val="000000"/>
                <w:sz w:val="20"/>
                <w:szCs w:val="20"/>
              </w:rPr>
              <w:t>24 926 521,51</w:t>
            </w: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bottom"/>
          </w:tcPr>
          <w:p w:rsidR="00B45A31" w:rsidP="00B45A31">
            <w:pPr>
              <w:bidi w:val="0"/>
              <w:spacing w:after="0" w:line="240" w:lineRule="auto"/>
              <w:jc w:val="right"/>
              <w:rPr>
                <w:rFonts w:ascii="Times New Roman" w:hAnsi="Times New Roman"/>
                <w:b/>
                <w:color w:val="000000"/>
                <w:sz w:val="20"/>
                <w:szCs w:val="20"/>
              </w:rPr>
            </w:pPr>
            <w:r>
              <w:rPr>
                <w:rFonts w:ascii="Times New Roman" w:hAnsi="Times New Roman"/>
                <w:b/>
                <w:color w:val="000000"/>
                <w:sz w:val="20"/>
                <w:szCs w:val="20"/>
              </w:rPr>
              <w:t>55 347 613,51</w:t>
            </w: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bottom"/>
          </w:tcPr>
          <w:p w:rsidR="00B45A31" w:rsidP="00B45A31">
            <w:pPr>
              <w:bidi w:val="0"/>
              <w:spacing w:after="0" w:line="240" w:lineRule="auto"/>
              <w:jc w:val="right"/>
              <w:rPr>
                <w:rFonts w:ascii="Times New Roman" w:hAnsi="Times New Roman"/>
                <w:b/>
                <w:color w:val="000000"/>
                <w:sz w:val="20"/>
                <w:szCs w:val="20"/>
              </w:rPr>
            </w:pPr>
            <w:r>
              <w:rPr>
                <w:rFonts w:ascii="Times New Roman" w:hAnsi="Times New Roman"/>
                <w:b/>
                <w:color w:val="000000"/>
                <w:sz w:val="20"/>
                <w:szCs w:val="20"/>
              </w:rPr>
              <w:t>35 481 017,51</w:t>
            </w:r>
          </w:p>
        </w:tc>
      </w:tr>
      <w:tr>
        <w:tblPrEx>
          <w:tblW w:w="10621" w:type="dxa"/>
          <w:jc w:val="center"/>
          <w:tblCellMar>
            <w:left w:w="65" w:type="dxa"/>
            <w:right w:w="70" w:type="dxa"/>
          </w:tblCellMar>
        </w:tblPrEx>
        <w:trPr>
          <w:trHeight w:val="172"/>
          <w:jc w:val="center"/>
        </w:trPr>
        <w:tc>
          <w:tcPr>
            <w:tcW w:w="4661"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center"/>
          </w:tcPr>
          <w:p w:rsidR="00957DF3" w:rsidRPr="00B45A31" w:rsidP="00957DF3">
            <w:pPr>
              <w:pStyle w:val="ListParagraph"/>
              <w:numPr>
                <w:numId w:val="6"/>
              </w:numPr>
              <w:bidi w:val="0"/>
              <w:rPr>
                <w:rFonts w:ascii="Times New Roman" w:hAnsi="Times New Roman"/>
                <w:b/>
                <w:bCs/>
                <w:color w:val="00000A"/>
                <w:sz w:val="20"/>
              </w:rPr>
            </w:pPr>
            <w:r w:rsidRPr="00B45A31" w:rsidR="00B45A31">
              <w:rPr>
                <w:rFonts w:ascii="Times New Roman" w:hAnsi="Times New Roman"/>
                <w:b/>
                <w:bCs/>
                <w:color w:val="00000A"/>
                <w:sz w:val="20"/>
              </w:rPr>
              <w:t xml:space="preserve">z </w:t>
            </w:r>
            <w:r w:rsidRPr="00B45A31">
              <w:rPr>
                <w:rFonts w:ascii="Times New Roman" w:hAnsi="Times New Roman"/>
                <w:b/>
                <w:bCs/>
                <w:color w:val="00000A"/>
                <w:sz w:val="20"/>
              </w:rPr>
              <w:t>verejného zdravotného poistenia</w:t>
            </w:r>
          </w:p>
        </w:tc>
        <w:tc>
          <w:tcPr>
            <w:tcW w:w="140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center"/>
          </w:tcPr>
          <w:p w:rsidR="00957DF3" w:rsidP="00957DF3">
            <w:pPr>
              <w:bidi w:val="0"/>
              <w:spacing w:after="0" w:line="240" w:lineRule="auto"/>
              <w:jc w:val="right"/>
              <w:rPr>
                <w:rFonts w:ascii="Times New Roman" w:hAnsi="Times New Roman"/>
                <w:color w:val="000000"/>
                <w:sz w:val="20"/>
                <w:szCs w:val="24"/>
                <w:lang w:val="sk-SK"/>
              </w:rPr>
            </w:pP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bottom"/>
          </w:tcPr>
          <w:p w:rsidR="00B45A31" w:rsidP="00B45A31">
            <w:pPr>
              <w:bidi w:val="0"/>
              <w:spacing w:after="0" w:line="240" w:lineRule="auto"/>
              <w:jc w:val="right"/>
              <w:rPr>
                <w:rFonts w:ascii="Times New Roman" w:hAnsi="Times New Roman"/>
                <w:color w:val="000000"/>
                <w:sz w:val="20"/>
                <w:szCs w:val="24"/>
                <w:lang w:val="sk-SK"/>
              </w:rPr>
            </w:pPr>
            <w:r>
              <w:rPr>
                <w:rFonts w:ascii="Times New Roman" w:hAnsi="Times New Roman"/>
                <w:color w:val="000000"/>
                <w:sz w:val="20"/>
                <w:szCs w:val="24"/>
                <w:lang w:val="sk-SK"/>
              </w:rPr>
              <w:t>19 486 521,51</w:t>
            </w: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bottom"/>
          </w:tcPr>
          <w:p w:rsidR="00957DF3" w:rsidP="00957DF3">
            <w:pPr>
              <w:bidi w:val="0"/>
              <w:spacing w:after="0" w:line="240" w:lineRule="auto"/>
              <w:jc w:val="right"/>
              <w:rPr>
                <w:rFonts w:ascii="Times New Roman" w:hAnsi="Times New Roman"/>
                <w:color w:val="000000"/>
                <w:sz w:val="20"/>
                <w:szCs w:val="24"/>
                <w:lang w:val="sk-SK"/>
              </w:rPr>
            </w:pPr>
            <w:r w:rsidR="00B45A31">
              <w:rPr>
                <w:rFonts w:ascii="Times New Roman" w:hAnsi="Times New Roman"/>
                <w:color w:val="000000"/>
                <w:sz w:val="20"/>
                <w:szCs w:val="24"/>
                <w:lang w:val="sk-SK"/>
              </w:rPr>
              <w:t>26 687 613,51</w:t>
            </w:r>
          </w:p>
        </w:tc>
        <w:tc>
          <w:tcPr>
            <w:tcW w:w="1520" w:type="dxa"/>
            <w:tcBorders>
              <w:top w:val="single" w:sz="4" w:space="0" w:color="00000A"/>
              <w:left w:val="single" w:sz="4" w:space="0" w:color="00000A"/>
              <w:bottom w:val="single" w:sz="4" w:space="0" w:color="00000A"/>
              <w:right w:val="single" w:sz="4" w:space="0" w:color="00000A"/>
            </w:tcBorders>
            <w:shd w:val="clear" w:color="auto" w:fill="C0C0C0"/>
            <w:tcMar>
              <w:left w:w="65" w:type="dxa"/>
            </w:tcMar>
            <w:textDirection w:val="lrTb"/>
            <w:vAlign w:val="bottom"/>
          </w:tcPr>
          <w:p w:rsidR="00957DF3" w:rsidP="00957DF3">
            <w:pPr>
              <w:bidi w:val="0"/>
              <w:spacing w:after="0" w:line="240" w:lineRule="auto"/>
              <w:jc w:val="right"/>
              <w:rPr>
                <w:rFonts w:ascii="Times New Roman" w:hAnsi="Times New Roman"/>
                <w:color w:val="000000"/>
                <w:sz w:val="20"/>
                <w:szCs w:val="24"/>
                <w:lang w:val="sk-SK"/>
              </w:rPr>
            </w:pPr>
            <w:r w:rsidR="002E0EC6">
              <w:rPr>
                <w:rFonts w:ascii="Times New Roman" w:hAnsi="Times New Roman"/>
                <w:color w:val="000000"/>
                <w:sz w:val="20"/>
                <w:szCs w:val="24"/>
                <w:lang w:val="sk-SK"/>
              </w:rPr>
              <w:t>31 381 017,51</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rPr>
                <w:rFonts w:ascii="Times New Roman" w:hAnsi="Times New Roman"/>
                <w:b/>
                <w:sz w:val="20"/>
                <w:szCs w:val="24"/>
                <w:lang w:val="sk-SK" w:eastAsia="sk-SK"/>
              </w:rPr>
            </w:pPr>
            <w:r w:rsidR="004F79A6">
              <w:rPr>
                <w:rFonts w:ascii="Times New Roman" w:hAnsi="Times New Roman"/>
                <w:b/>
                <w:sz w:val="20"/>
                <w:szCs w:val="24"/>
                <w:lang w:val="sk-SK" w:eastAsia="sk-SK"/>
              </w:rPr>
              <w:t>Iné ako rozpočtové zdroje</w:t>
            </w:r>
          </w:p>
        </w:tc>
        <w:tc>
          <w:tcPr>
            <w:tcW w:w="140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BFBFBF"/>
            <w:tcMar>
              <w:left w:w="65" w:type="dxa"/>
            </w:tcMar>
            <w:textDirection w:val="lrTb"/>
            <w:vAlign w:val="center"/>
          </w:tcPr>
          <w:p w:rsidR="00D056F8">
            <w:pPr>
              <w:bidi w:val="0"/>
              <w:spacing w:after="0" w:line="240" w:lineRule="auto"/>
              <w:jc w:val="right"/>
              <w:rPr>
                <w:rFonts w:ascii="Times New Roman" w:hAnsi="Times New Roman"/>
                <w:b/>
                <w:bCs/>
                <w:sz w:val="20"/>
                <w:szCs w:val="24"/>
                <w:lang w:val="sk-SK" w:eastAsia="sk-SK"/>
              </w:rPr>
            </w:pPr>
            <w:r w:rsidR="004F79A6">
              <w:rPr>
                <w:rFonts w:ascii="Times New Roman" w:hAnsi="Times New Roman"/>
                <w:b/>
                <w:bCs/>
                <w:sz w:val="20"/>
                <w:szCs w:val="24"/>
                <w:lang w:val="sk-SK" w:eastAsia="sk-SK"/>
              </w:rPr>
              <w:t>0</w:t>
            </w:r>
          </w:p>
        </w:tc>
      </w:tr>
      <w:tr>
        <w:tblPrEx>
          <w:tblW w:w="10621" w:type="dxa"/>
          <w:jc w:val="center"/>
          <w:tblCellMar>
            <w:left w:w="65" w:type="dxa"/>
            <w:right w:w="70" w:type="dxa"/>
          </w:tblCellMar>
        </w:tblPrEx>
        <w:trPr>
          <w:trHeight w:val="70"/>
          <w:jc w:val="center"/>
        </w:trPr>
        <w:tc>
          <w:tcPr>
            <w:tcW w:w="4661" w:type="dxa"/>
            <w:tcBorders>
              <w:top w:val="single" w:sz="4" w:space="0" w:color="00000A"/>
              <w:left w:val="single" w:sz="4" w:space="0" w:color="00000A"/>
              <w:bottom w:val="single" w:sz="4" w:space="0" w:color="00000A"/>
              <w:right w:val="single" w:sz="4" w:space="0" w:color="00000A"/>
            </w:tcBorders>
            <w:shd w:val="clear" w:color="auto" w:fill="A6A6A6"/>
            <w:tcMar>
              <w:left w:w="65" w:type="dxa"/>
            </w:tcMar>
            <w:textDirection w:val="lrTb"/>
            <w:vAlign w:val="center"/>
          </w:tcPr>
          <w:p w:rsidR="00957DF3" w:rsidP="00957DF3">
            <w:pPr>
              <w:bidi w:val="0"/>
              <w:spacing w:after="0" w:line="240" w:lineRule="auto"/>
              <w:rPr>
                <w:rFonts w:ascii="Times New Roman" w:hAnsi="Times New Roman"/>
                <w:b/>
                <w:bCs/>
                <w:sz w:val="20"/>
                <w:szCs w:val="24"/>
                <w:lang w:val="sk-SK" w:eastAsia="sk-SK"/>
              </w:rPr>
            </w:pPr>
            <w:r>
              <w:rPr>
                <w:rFonts w:ascii="Times New Roman" w:hAnsi="Times New Roman"/>
                <w:b/>
                <w:bCs/>
                <w:sz w:val="20"/>
                <w:szCs w:val="24"/>
                <w:lang w:val="sk-SK" w:eastAsia="sk-SK"/>
              </w:rPr>
              <w:t>Rozpočtovo nekrytý vplyv</w:t>
            </w:r>
          </w:p>
        </w:tc>
        <w:tc>
          <w:tcPr>
            <w:tcW w:w="1400" w:type="dxa"/>
            <w:tcBorders>
              <w:top w:val="single" w:sz="4" w:space="0" w:color="00000A"/>
              <w:left w:val="single" w:sz="4" w:space="0" w:color="00000A"/>
              <w:bottom w:val="single" w:sz="4" w:space="0" w:color="00000A"/>
              <w:right w:val="single" w:sz="4" w:space="0" w:color="00000A"/>
            </w:tcBorders>
            <w:shd w:val="clear" w:color="auto" w:fill="A6A6A6"/>
            <w:tcMar>
              <w:left w:w="65" w:type="dxa"/>
            </w:tcMar>
            <w:textDirection w:val="lrTb"/>
            <w:vAlign w:val="center"/>
          </w:tcPr>
          <w:p w:rsidR="00957DF3" w:rsidP="00957DF3">
            <w:pPr>
              <w:bidi w:val="0"/>
              <w:spacing w:after="0" w:line="240" w:lineRule="auto"/>
              <w:jc w:val="right"/>
              <w:rPr>
                <w:rFonts w:ascii="Times New Roman" w:hAnsi="Times New Roman"/>
                <w:color w:val="000000" w:themeColor="tx1" w:themeShade="FF"/>
                <w:sz w:val="20"/>
                <w:szCs w:val="24"/>
                <w:lang w:val="sk-SK"/>
              </w:rPr>
            </w:pPr>
            <w:r>
              <w:rPr>
                <w:rFonts w:ascii="Times New Roman" w:hAnsi="Times New Roman"/>
                <w:color w:val="000000" w:themeColor="tx1" w:themeShade="FF"/>
                <w:sz w:val="20"/>
                <w:szCs w:val="24"/>
                <w:lang w:val="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A6A6A6"/>
            <w:tcMar>
              <w:left w:w="65" w:type="dxa"/>
            </w:tcMar>
            <w:textDirection w:val="lrTb"/>
            <w:vAlign w:val="center"/>
          </w:tcPr>
          <w:p w:rsidR="00957DF3" w:rsidP="00957DF3">
            <w:pPr>
              <w:bidi w:val="0"/>
              <w:spacing w:after="0" w:line="240" w:lineRule="auto"/>
              <w:jc w:val="right"/>
              <w:rPr>
                <w:rFonts w:ascii="Times New Roman" w:hAnsi="Times New Roman"/>
                <w:b/>
                <w:bCs/>
                <w:sz w:val="20"/>
                <w:szCs w:val="24"/>
                <w:lang w:val="sk-SK" w:eastAsia="sk-SK"/>
              </w:rPr>
            </w:pPr>
            <w:r>
              <w:rPr>
                <w:rFonts w:ascii="Times New Roman" w:hAnsi="Times New Roman"/>
                <w:b/>
                <w:b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A6A6A6"/>
            <w:tcMar>
              <w:left w:w="65" w:type="dxa"/>
            </w:tcMar>
            <w:textDirection w:val="lrTb"/>
            <w:vAlign w:val="center"/>
          </w:tcPr>
          <w:p w:rsidR="00957DF3" w:rsidP="00957DF3">
            <w:pPr>
              <w:bidi w:val="0"/>
              <w:spacing w:after="0" w:line="240" w:lineRule="auto"/>
              <w:jc w:val="right"/>
              <w:rPr>
                <w:rFonts w:ascii="Times New Roman" w:hAnsi="Times New Roman"/>
                <w:b/>
                <w:bCs/>
                <w:sz w:val="20"/>
                <w:szCs w:val="24"/>
                <w:lang w:val="sk-SK" w:eastAsia="sk-SK"/>
              </w:rPr>
            </w:pPr>
            <w:r>
              <w:rPr>
                <w:rFonts w:ascii="Times New Roman" w:hAnsi="Times New Roman"/>
                <w:b/>
                <w:bCs/>
                <w:sz w:val="20"/>
                <w:szCs w:val="24"/>
                <w:lang w:val="sk-SK" w:eastAsia="sk-SK"/>
              </w:rPr>
              <w:t>0</w:t>
            </w:r>
          </w:p>
        </w:tc>
        <w:tc>
          <w:tcPr>
            <w:tcW w:w="1520" w:type="dxa"/>
            <w:tcBorders>
              <w:top w:val="single" w:sz="4" w:space="0" w:color="00000A"/>
              <w:left w:val="single" w:sz="4" w:space="0" w:color="00000A"/>
              <w:bottom w:val="single" w:sz="4" w:space="0" w:color="00000A"/>
              <w:right w:val="single" w:sz="4" w:space="0" w:color="00000A"/>
            </w:tcBorders>
            <w:shd w:val="clear" w:color="auto" w:fill="A6A6A6"/>
            <w:tcMar>
              <w:left w:w="65" w:type="dxa"/>
            </w:tcMar>
            <w:textDirection w:val="lrTb"/>
            <w:vAlign w:val="center"/>
          </w:tcPr>
          <w:p w:rsidR="00957DF3" w:rsidP="00957DF3">
            <w:pPr>
              <w:bidi w:val="0"/>
              <w:spacing w:after="0" w:line="240" w:lineRule="auto"/>
              <w:jc w:val="right"/>
              <w:rPr>
                <w:rFonts w:ascii="Times New Roman" w:hAnsi="Times New Roman"/>
                <w:b/>
                <w:bCs/>
                <w:sz w:val="20"/>
                <w:szCs w:val="24"/>
                <w:lang w:val="sk-SK" w:eastAsia="sk-SK"/>
              </w:rPr>
            </w:pPr>
            <w:r>
              <w:rPr>
                <w:rFonts w:ascii="Times New Roman" w:hAnsi="Times New Roman"/>
                <w:b/>
                <w:bCs/>
                <w:sz w:val="20"/>
                <w:szCs w:val="24"/>
                <w:lang w:val="sk-SK" w:eastAsia="sk-SK"/>
              </w:rPr>
              <w:t>0</w:t>
            </w:r>
          </w:p>
        </w:tc>
      </w:tr>
    </w:tbl>
    <w:p w:rsidR="00D056F8">
      <w:pPr>
        <w:bidi w:val="0"/>
        <w:spacing w:after="0" w:line="240" w:lineRule="auto"/>
        <w:rPr>
          <w:rFonts w:ascii="Times New Roman" w:hAnsi="Times New Roman"/>
          <w:b/>
          <w:bCs/>
          <w:sz w:val="24"/>
          <w:szCs w:val="24"/>
          <w:lang w:val="sk-SK" w:eastAsia="sk-SK"/>
        </w:rPr>
      </w:pPr>
      <w:r w:rsidR="004F79A6">
        <w:br w:type="page"/>
      </w:r>
    </w:p>
    <w:p w:rsidR="00D056F8">
      <w:pPr>
        <w:bidi w:val="0"/>
        <w:spacing w:after="0" w:line="240" w:lineRule="auto"/>
        <w:jc w:val="both"/>
        <w:rPr>
          <w:rFonts w:ascii="Times New Roman" w:hAnsi="Times New Roman"/>
          <w:b/>
          <w:bCs/>
          <w:lang w:val="sk-SK" w:eastAsia="sk-SK"/>
        </w:rPr>
      </w:pPr>
      <w:r w:rsidR="004F79A6">
        <w:rPr>
          <w:rFonts w:ascii="Times New Roman" w:hAnsi="Times New Roman"/>
          <w:b/>
          <w:bCs/>
          <w:sz w:val="24"/>
          <w:szCs w:val="24"/>
          <w:lang w:val="sk-SK" w:eastAsia="sk-SK"/>
        </w:rPr>
        <w:t xml:space="preserve">2.1.1. </w:t>
      </w:r>
      <w:r w:rsidR="004F79A6">
        <w:rPr>
          <w:rFonts w:ascii="Times New Roman" w:hAnsi="Times New Roman"/>
          <w:b/>
          <w:bCs/>
          <w:lang w:val="sk-SK" w:eastAsia="sk-SK"/>
        </w:rPr>
        <w:t>Financovanie návrhu - Návrh na riešenie úbytku príjmov alebo zvýšených výdavkov podľa § 33 ods. 1 zákona č. 523/2004 Z. z. o rozpočtových pravidlách verejnej správy:</w:t>
      </w:r>
    </w:p>
    <w:p w:rsidR="00D056F8">
      <w:pPr>
        <w:bidi w:val="0"/>
        <w:spacing w:after="0" w:line="240" w:lineRule="auto"/>
        <w:jc w:val="both"/>
        <w:rPr>
          <w:rFonts w:ascii="Times New Roman" w:hAnsi="Times New Roman"/>
          <w:b/>
          <w:bCs/>
          <w:lang w:val="sk-SK" w:eastAsia="sk-SK"/>
        </w:rPr>
      </w:pPr>
    </w:p>
    <w:p w:rsidR="00D056F8">
      <w:pPr>
        <w:widowControl/>
        <w:pBdr>
          <w:top w:val="single" w:sz="4" w:space="1" w:color="000001"/>
          <w:left w:val="single" w:sz="4" w:space="0" w:color="000001"/>
          <w:bottom w:val="single" w:sz="4" w:space="1" w:color="000001"/>
          <w:right w:val="single" w:sz="4" w:space="4" w:color="000001"/>
        </w:pBdr>
        <w:bidi w:val="0"/>
        <w:spacing w:after="0" w:line="240" w:lineRule="auto"/>
        <w:jc w:val="both"/>
        <w:rPr>
          <w:rFonts w:ascii="Times New Roman" w:hAnsi="Times New Roman"/>
          <w:b/>
          <w:bCs/>
          <w:lang w:val="sk-SK"/>
        </w:rPr>
      </w:pPr>
      <w:r w:rsidR="004F79A6">
        <w:rPr>
          <w:rFonts w:ascii="Times New Roman" w:hAnsi="Times New Roman"/>
          <w:b/>
          <w:bCs/>
          <w:lang w:val="sk-SK"/>
        </w:rPr>
        <w:t>Financovanie výdavkov zdravotných poisťovní (paušálna platba pre urgenty a platby za ošetrovateľskú starostlivosť) je v plnej miere zabezpečené v rozpočte verejného zdravotného poistenia.</w:t>
      </w:r>
    </w:p>
    <w:p w:rsidR="00D056F8">
      <w:pPr>
        <w:widowControl/>
        <w:pBdr>
          <w:top w:val="single" w:sz="4" w:space="1" w:color="000001"/>
          <w:left w:val="single" w:sz="4" w:space="0" w:color="000001"/>
          <w:bottom w:val="single" w:sz="4" w:space="1" w:color="000001"/>
          <w:right w:val="single" w:sz="4" w:space="4" w:color="000001"/>
        </w:pBdr>
        <w:bidi w:val="0"/>
        <w:spacing w:after="0" w:line="240" w:lineRule="auto"/>
        <w:jc w:val="both"/>
        <w:rPr>
          <w:rFonts w:ascii="Times New Roman" w:hAnsi="Times New Roman"/>
          <w:b/>
          <w:bCs/>
          <w:lang w:val="sk-SK"/>
        </w:rPr>
      </w:pPr>
    </w:p>
    <w:p w:rsidR="00D056F8">
      <w:pPr>
        <w:widowControl/>
        <w:pBdr>
          <w:top w:val="single" w:sz="4" w:space="1" w:color="000001"/>
          <w:left w:val="single" w:sz="4" w:space="0" w:color="000001"/>
          <w:bottom w:val="single" w:sz="4" w:space="1" w:color="000001"/>
          <w:right w:val="single" w:sz="4" w:space="4" w:color="000001"/>
        </w:pBdr>
        <w:bidi w:val="0"/>
        <w:spacing w:after="0" w:line="240" w:lineRule="auto"/>
        <w:jc w:val="both"/>
        <w:rPr>
          <w:rFonts w:ascii="Times New Roman" w:hAnsi="Times New Roman"/>
          <w:b/>
          <w:bCs/>
          <w:lang w:val="sk-SK"/>
        </w:rPr>
      </w:pPr>
      <w:r w:rsidR="004F79A6">
        <w:rPr>
          <w:rFonts w:ascii="Times New Roman" w:hAnsi="Times New Roman"/>
          <w:b/>
          <w:bCs/>
          <w:lang w:val="sk-SK"/>
        </w:rPr>
        <w:t>Financovanie obhliadok mŕtvych je plne zabezpečené v rozpočte ÚDZS.</w:t>
      </w:r>
    </w:p>
    <w:p w:rsidR="00D056F8">
      <w:pPr>
        <w:widowControl/>
        <w:pBdr>
          <w:top w:val="single" w:sz="4" w:space="1" w:color="000001"/>
          <w:left w:val="single" w:sz="4" w:space="0" w:color="000001"/>
          <w:bottom w:val="single" w:sz="4" w:space="1" w:color="000001"/>
          <w:right w:val="single" w:sz="4" w:space="4" w:color="000001"/>
        </w:pBdr>
        <w:bidi w:val="0"/>
        <w:spacing w:after="0" w:line="240" w:lineRule="auto"/>
        <w:jc w:val="both"/>
        <w:rPr>
          <w:rFonts w:ascii="Times New Roman" w:hAnsi="Times New Roman"/>
          <w:b/>
          <w:bCs/>
          <w:lang w:val="sk-SK"/>
        </w:rPr>
      </w:pPr>
    </w:p>
    <w:p w:rsidR="00D056F8">
      <w:pPr>
        <w:widowControl/>
        <w:pBdr>
          <w:top w:val="single" w:sz="4" w:space="1" w:color="000001"/>
          <w:left w:val="single" w:sz="4" w:space="0" w:color="000001"/>
          <w:bottom w:val="single" w:sz="4" w:space="1" w:color="000001"/>
          <w:right w:val="single" w:sz="4" w:space="4" w:color="000001"/>
        </w:pBdr>
        <w:bidi w:val="0"/>
        <w:spacing w:after="0" w:line="240" w:lineRule="auto"/>
        <w:jc w:val="both"/>
        <w:rPr>
          <w:rFonts w:ascii="Times New Roman" w:hAnsi="Times New Roman"/>
          <w:b/>
          <w:bCs/>
          <w:lang w:val="sk-SK" w:eastAsia="sk-SK"/>
        </w:rPr>
      </w:pPr>
      <w:r w:rsidR="004F79A6">
        <w:rPr>
          <w:rFonts w:ascii="Times New Roman" w:hAnsi="Times New Roman"/>
          <w:b/>
          <w:bCs/>
          <w:lang w:val="sk-SK"/>
        </w:rPr>
        <w:t>Financovanie zvýšených nárokov v súvislosti s vybudovaním urgentných príjmov v zdravotníckych zariadeniach v pôsobnosti MZ SR má byť kryté z kapitoly rozpočtu MZ SR (kapitálové výdavky) a zo zdrojov EÚ v príslušných programoch.</w:t>
      </w:r>
    </w:p>
    <w:p w:rsidR="00D056F8">
      <w:pPr>
        <w:bidi w:val="0"/>
        <w:spacing w:after="0" w:line="240" w:lineRule="auto"/>
        <w:rPr>
          <w:rFonts w:ascii="Times New Roman" w:hAnsi="Times New Roman"/>
          <w:b/>
          <w:bCs/>
          <w:lang w:val="sk-SK" w:eastAsia="sk-SK"/>
        </w:rPr>
      </w:pPr>
    </w:p>
    <w:p w:rsidR="00D056F8">
      <w:pPr>
        <w:widowControl/>
        <w:bidi w:val="0"/>
        <w:spacing w:after="0" w:line="240" w:lineRule="auto"/>
        <w:jc w:val="both"/>
        <w:rPr>
          <w:rFonts w:ascii="Times New Roman" w:hAnsi="Times New Roman"/>
          <w:color w:val="000000"/>
          <w:lang w:val="sk-SK"/>
        </w:rPr>
      </w:pPr>
      <w:r w:rsidR="00957DF3">
        <w:rPr>
          <w:rFonts w:ascii="Times New Roman" w:hAnsi="Times New Roman"/>
          <w:color w:val="000000"/>
          <w:lang w:val="sk-SK"/>
        </w:rPr>
        <w:t>Nej</w:t>
      </w:r>
      <w:r w:rsidR="004F79A6">
        <w:rPr>
          <w:rFonts w:ascii="Times New Roman" w:hAnsi="Times New Roman"/>
          <w:color w:val="000000"/>
          <w:lang w:val="sk-SK"/>
        </w:rPr>
        <w:t xml:space="preserve">edná sa o nárok na dodatočné zdroje </w:t>
      </w:r>
      <w:r w:rsidR="00957DF3">
        <w:rPr>
          <w:rFonts w:ascii="Times New Roman" w:hAnsi="Times New Roman"/>
          <w:color w:val="000000"/>
          <w:lang w:val="sk-SK"/>
        </w:rPr>
        <w:t xml:space="preserve">verejného zdravotného poistenia, zavádza sa síce </w:t>
      </w:r>
      <w:r w:rsidR="004F79A6">
        <w:rPr>
          <w:rFonts w:ascii="Times New Roman" w:hAnsi="Times New Roman"/>
          <w:color w:val="000000"/>
          <w:lang w:val="sk-SK"/>
        </w:rPr>
        <w:t xml:space="preserve">paušálna platba pre urgentné príjmy, časť financovania urgentnej medicíny doposiaľ bolo zabezpečované zo zdrojov verejného zdravotného poistenia, avšak zavedenie paušálnej platby </w:t>
      </w:r>
      <w:r w:rsidR="00957DF3">
        <w:rPr>
          <w:rFonts w:ascii="Times New Roman" w:hAnsi="Times New Roman"/>
          <w:color w:val="000000"/>
          <w:lang w:val="sk-SK"/>
        </w:rPr>
        <w:t>ne</w:t>
      </w:r>
      <w:r w:rsidR="004F79A6">
        <w:rPr>
          <w:rFonts w:ascii="Times New Roman" w:hAnsi="Times New Roman"/>
          <w:color w:val="000000"/>
          <w:lang w:val="sk-SK"/>
        </w:rPr>
        <w:t>zvyšuje výdavky</w:t>
      </w:r>
      <w:r w:rsidR="00957DF3">
        <w:rPr>
          <w:rFonts w:ascii="Times New Roman" w:hAnsi="Times New Roman"/>
          <w:color w:val="000000"/>
          <w:lang w:val="sk-SK"/>
        </w:rPr>
        <w:t xml:space="preserve"> zdravotných poisťovní</w:t>
      </w:r>
      <w:r w:rsidR="004F79A6">
        <w:rPr>
          <w:rFonts w:ascii="Times New Roman" w:hAnsi="Times New Roman"/>
          <w:color w:val="000000"/>
          <w:lang w:val="sk-SK"/>
        </w:rPr>
        <w:t>.</w:t>
      </w:r>
    </w:p>
    <w:p w:rsidR="00D056F8">
      <w:pPr>
        <w:widowControl/>
        <w:bidi w:val="0"/>
        <w:spacing w:after="0" w:line="240" w:lineRule="auto"/>
        <w:jc w:val="both"/>
        <w:rPr>
          <w:rFonts w:ascii="Times New Roman" w:hAnsi="Times New Roman"/>
          <w:color w:val="000000"/>
          <w:lang w:val="sk-SK"/>
        </w:rPr>
      </w:pPr>
      <w:r w:rsidR="00957DF3">
        <w:rPr>
          <w:rFonts w:ascii="Times New Roman" w:hAnsi="Times New Roman"/>
          <w:color w:val="000000"/>
          <w:lang w:val="sk-SK"/>
        </w:rPr>
        <w:t>Zavádza sa p</w:t>
      </w:r>
      <w:r w:rsidR="004F79A6">
        <w:rPr>
          <w:rFonts w:ascii="Times New Roman" w:hAnsi="Times New Roman"/>
          <w:color w:val="000000"/>
          <w:lang w:val="sk-SK"/>
        </w:rPr>
        <w:t>aušálna platba pre zariadenia sociálnej pomoci</w:t>
      </w:r>
      <w:r w:rsidR="00957DF3">
        <w:rPr>
          <w:rFonts w:ascii="Times New Roman" w:hAnsi="Times New Roman"/>
          <w:color w:val="000000"/>
          <w:lang w:val="sk-SK"/>
        </w:rPr>
        <w:t>, ktorá</w:t>
      </w:r>
      <w:r w:rsidR="004F79A6">
        <w:rPr>
          <w:rFonts w:ascii="Times New Roman" w:hAnsi="Times New Roman"/>
          <w:color w:val="000000"/>
          <w:lang w:val="sk-SK"/>
        </w:rPr>
        <w:t xml:space="preserve"> nebola doposiaľ uhrádzaná zo zdrojov verejného zdravotného poistenia</w:t>
      </w:r>
      <w:r w:rsidR="00957DF3">
        <w:rPr>
          <w:rFonts w:ascii="Times New Roman" w:hAnsi="Times New Roman"/>
          <w:color w:val="000000"/>
          <w:lang w:val="sk-SK"/>
        </w:rPr>
        <w:t>, máme za to, že bude vykrytá úsporami na liekoch</w:t>
      </w:r>
      <w:r w:rsidR="004F79A6">
        <w:rPr>
          <w:rFonts w:ascii="Times New Roman" w:hAnsi="Times New Roman"/>
          <w:color w:val="000000"/>
          <w:lang w:val="sk-SK"/>
        </w:rPr>
        <w:t>. Paušáln</w:t>
      </w:r>
      <w:r w:rsidR="00957DF3">
        <w:rPr>
          <w:rFonts w:ascii="Times New Roman" w:hAnsi="Times New Roman"/>
          <w:color w:val="000000"/>
          <w:lang w:val="sk-SK"/>
        </w:rPr>
        <w:t>e</w:t>
      </w:r>
      <w:r w:rsidR="004F79A6">
        <w:rPr>
          <w:rFonts w:ascii="Times New Roman" w:hAnsi="Times New Roman"/>
          <w:color w:val="000000"/>
          <w:lang w:val="sk-SK"/>
        </w:rPr>
        <w:t xml:space="preserve"> platb</w:t>
      </w:r>
      <w:r w:rsidR="00957DF3">
        <w:rPr>
          <w:rFonts w:ascii="Times New Roman" w:hAnsi="Times New Roman"/>
          <w:color w:val="000000"/>
          <w:lang w:val="sk-SK"/>
        </w:rPr>
        <w:t>y zabezpečia</w:t>
      </w:r>
      <w:r w:rsidR="004F79A6">
        <w:rPr>
          <w:rFonts w:ascii="Times New Roman" w:hAnsi="Times New Roman"/>
          <w:color w:val="000000"/>
          <w:lang w:val="sk-SK"/>
        </w:rPr>
        <w:t xml:space="preserve"> vyššiu transparentnosť a prehľadnosť finančných tokov. </w:t>
      </w:r>
    </w:p>
    <w:p w:rsidR="00D056F8">
      <w:pPr>
        <w:bidi w:val="0"/>
        <w:spacing w:after="0" w:line="240" w:lineRule="auto"/>
        <w:rPr>
          <w:rFonts w:ascii="Times New Roman" w:hAnsi="Times New Roman"/>
          <w:lang w:val="sk-SK" w:eastAsia="sk-SK"/>
        </w:rPr>
      </w:pPr>
    </w:p>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2.2. Popis a charakteristika návrhu</w:t>
      </w:r>
    </w:p>
    <w:p w:rsidR="00D056F8">
      <w:pPr>
        <w:bidi w:val="0"/>
        <w:spacing w:after="0" w:line="240" w:lineRule="auto"/>
        <w:rPr>
          <w:rFonts w:ascii="Times New Roman" w:hAnsi="Times New Roman"/>
          <w:b/>
          <w:bCs/>
          <w:lang w:val="sk-SK" w:eastAsia="sk-SK"/>
        </w:rPr>
      </w:pPr>
    </w:p>
    <w:p w:rsidR="00D056F8">
      <w:pPr>
        <w:bidi w:val="0"/>
        <w:spacing w:after="0" w:line="240" w:lineRule="auto"/>
        <w:jc w:val="both"/>
        <w:rPr>
          <w:rFonts w:ascii="Times New Roman" w:hAnsi="Times New Roman"/>
          <w:b/>
          <w:bCs/>
          <w:lang w:val="sk-SK" w:eastAsia="sk-SK"/>
        </w:rPr>
      </w:pPr>
      <w:r w:rsidR="004F79A6">
        <w:rPr>
          <w:rFonts w:ascii="Times New Roman" w:hAnsi="Times New Roman"/>
          <w:b/>
          <w:bCs/>
          <w:lang w:val="sk-SK" w:eastAsia="sk-SK"/>
        </w:rPr>
        <w:t>2.2.1. Popis návrhu:</w:t>
      </w:r>
    </w:p>
    <w:p w:rsidR="00D056F8">
      <w:pPr>
        <w:bidi w:val="0"/>
        <w:spacing w:after="0" w:line="240" w:lineRule="auto"/>
        <w:jc w:val="both"/>
        <w:rPr>
          <w:rFonts w:ascii="Times New Roman" w:hAnsi="Times New Roman"/>
          <w:b/>
          <w:bCs/>
          <w:lang w:val="sk-SK" w:eastAsia="sk-SK"/>
        </w:rPr>
      </w:pPr>
    </w:p>
    <w:p w:rsidR="00D056F8">
      <w:pPr>
        <w:pStyle w:val="ListParagraph"/>
        <w:numPr>
          <w:numId w:val="3"/>
        </w:numPr>
        <w:bidi w:val="0"/>
        <w:spacing w:after="200"/>
        <w:contextualSpacing/>
        <w:jc w:val="both"/>
        <w:rPr>
          <w:rFonts w:ascii="Times New Roman" w:hAnsi="Times New Roman"/>
          <w:b/>
          <w:color w:val="FF0000"/>
          <w:sz w:val="22"/>
          <w:szCs w:val="22"/>
          <w:u w:val="single"/>
        </w:rPr>
      </w:pPr>
      <w:r w:rsidR="004F79A6">
        <w:rPr>
          <w:rFonts w:ascii="Times New Roman" w:hAnsi="Times New Roman"/>
          <w:b/>
          <w:sz w:val="22"/>
          <w:szCs w:val="22"/>
          <w:u w:val="single"/>
        </w:rPr>
        <w:t>Urgentné príjmy</w:t>
      </w:r>
    </w:p>
    <w:p w:rsidR="00D056F8">
      <w:pPr>
        <w:bidi w:val="0"/>
        <w:spacing w:after="0" w:line="240" w:lineRule="auto"/>
        <w:jc w:val="both"/>
        <w:rPr>
          <w:rFonts w:ascii="Times New Roman" w:hAnsi="Times New Roman"/>
          <w:u w:val="single"/>
          <w:lang w:val="sk-SK"/>
        </w:rPr>
      </w:pPr>
      <w:r w:rsidR="004F79A6">
        <w:rPr>
          <w:rFonts w:ascii="Times New Roman" w:hAnsi="Times New Roman"/>
          <w:u w:val="single"/>
          <w:lang w:val="sk-SK"/>
        </w:rPr>
        <w:t>K navrhovaným úpravám v zákone č. 576/2004 Z. z.:</w:t>
      </w:r>
    </w:p>
    <w:p w:rsidR="00D056F8">
      <w:pPr>
        <w:bidi w:val="0"/>
        <w:spacing w:after="0" w:line="240" w:lineRule="auto"/>
        <w:jc w:val="both"/>
        <w:rPr>
          <w:rFonts w:ascii="Times New Roman" w:hAnsi="Times New Roman"/>
          <w:lang w:val="sk-SK"/>
        </w:rPr>
      </w:pPr>
      <w:r w:rsidR="004F79A6">
        <w:rPr>
          <w:rFonts w:ascii="Times New Roman" w:hAnsi="Times New Roman"/>
          <w:lang w:val="sk-SK"/>
        </w:rPr>
        <w:t>Navrhuje sa právna úprava, ktorá precizuje pojem urgentná zdravotná starostlivosť.  Ustanovenie sa upravuje z dôvodu presného vymedzenia poskytovania urgentnej starostlivosti osobe pri náhlej zmene jej zdravotného stavu, ktorá bezprostredne ohrozuje jej život alebo niektorú zo základných životných funkcií alebo osobe, ktorá pociťuje náhlu zmenu jej zdravotného stavu. Takéto vymedzenie v doterajšej právnej úprave chýbalo a je dôležité z hľadiska nároku na úhradu zdravotných poisťovní poskytovateľovi za poskytnutú zdravotnú starostlivosť.</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V navrhovanom znení sa upravujú podmienky udelenia štatútu Centra vysoko špecializovanej zdravotnej starostlivosti - Traumacentra poskytovateľom, ktorí sú ustanovení do pevnej siete poskytovateľov poskytujúcich ústavnú pohotovostnú službu na urgentnom príjme 2. typu. </w:t>
      </w:r>
    </w:p>
    <w:p w:rsidR="00D056F8">
      <w:pPr>
        <w:bidi w:val="0"/>
        <w:spacing w:after="0" w:line="240" w:lineRule="auto"/>
        <w:jc w:val="both"/>
        <w:rPr>
          <w:rFonts w:ascii="Times New Roman" w:hAnsi="Times New Roman"/>
          <w:lang w:val="sk-SK"/>
        </w:rPr>
      </w:pPr>
      <w:r w:rsidR="004F79A6">
        <w:rPr>
          <w:rFonts w:ascii="Times New Roman" w:hAnsi="Times New Roman"/>
          <w:lang w:val="sk-SK"/>
        </w:rPr>
        <w:t>Zároveň sa ustanovuje potreba vydania všeobecne záväzného právneho predpisu, ktorý ustanoví podrobnosti o prevádzkovaní Centra vysoko špecializovanej zdravotnej starostlivosti - Traumacentra.</w:t>
      </w:r>
    </w:p>
    <w:p w:rsidR="00D056F8">
      <w:pPr>
        <w:bidi w:val="0"/>
        <w:spacing w:after="0" w:line="240" w:lineRule="auto"/>
        <w:jc w:val="both"/>
        <w:rPr>
          <w:rFonts w:ascii="Times New Roman" w:hAnsi="Times New Roman"/>
          <w:lang w:val="sk-SK"/>
        </w:rPr>
      </w:pPr>
      <w:r w:rsidR="004F79A6">
        <w:rPr>
          <w:rFonts w:ascii="Times New Roman" w:hAnsi="Times New Roman"/>
          <w:lang w:val="sk-SK"/>
        </w:rPr>
        <w:t>Návrhom zákona sa rozširuje ústavná pohotovostná služba, ktorá bude poskytovaná poskytovateľom ústavnej starostlivosti aj na urgentnom príjme 1. typu a 2. typu a podmienky ukončenia poskytovania ústavnej pohotovostnej služby na urgentnom príjme 1. typu a 2. typu poskytovateľom ústavnej starostlivosti. Táto úprava je potrebná nakoľko bol vytvorený urgentný príjem 1. typu a 2. typu v rámci ústavnej pohotovostnej služby a z dôvodu potreby jeho začlenenia do pevnej siete poskytovateľov. Zároveň sa však týmto ustanovením ponecháva doterajšia ústavná pohotovostná služba, ktorá bola a aj následne bude poskytovaná ako špecializovaná iná ambulantná starostlivosť v ambulancii vnútorného lekárstva a chirurgickej ambulancii.</w:t>
      </w:r>
    </w:p>
    <w:p w:rsidR="00D056F8">
      <w:pPr>
        <w:bidi w:val="0"/>
        <w:spacing w:after="0" w:line="240" w:lineRule="auto"/>
        <w:rPr>
          <w:rFonts w:ascii="Times New Roman" w:hAnsi="Times New Roman"/>
          <w:lang w:val="sk-SK"/>
        </w:rPr>
      </w:pPr>
    </w:p>
    <w:p w:rsidR="00D056F8">
      <w:pPr>
        <w:bidi w:val="0"/>
        <w:spacing w:after="0" w:line="240" w:lineRule="auto"/>
        <w:jc w:val="both"/>
        <w:rPr>
          <w:rFonts w:ascii="Times New Roman" w:hAnsi="Times New Roman"/>
          <w:u w:val="single"/>
          <w:lang w:val="sk-SK"/>
        </w:rPr>
      </w:pPr>
      <w:r w:rsidR="004F79A6">
        <w:rPr>
          <w:rFonts w:ascii="Times New Roman" w:hAnsi="Times New Roman"/>
          <w:u w:val="single"/>
          <w:lang w:val="sk-SK"/>
        </w:rPr>
        <w:t>K navrhovaným úpravám v zákone č. 578/2004 Z. z.:</w:t>
      </w:r>
    </w:p>
    <w:p w:rsidR="00D056F8">
      <w:pPr>
        <w:widowControl/>
        <w:bidi w:val="0"/>
        <w:spacing w:after="0" w:line="240" w:lineRule="auto"/>
        <w:jc w:val="both"/>
        <w:rPr>
          <w:rFonts w:ascii="Times New Roman" w:hAnsi="Times New Roman"/>
          <w:color w:val="000000"/>
          <w:lang w:val="sk-SK"/>
        </w:rPr>
      </w:pPr>
      <w:r w:rsidR="004F79A6">
        <w:rPr>
          <w:rFonts w:ascii="Times New Roman" w:hAnsi="Times New Roman"/>
          <w:color w:val="000000"/>
          <w:lang w:val="sk-SK"/>
        </w:rPr>
        <w:t>Definuje sa pevná sieť poskytovateľov zdravotnej starostlivosti.</w:t>
      </w:r>
    </w:p>
    <w:p w:rsidR="00D056F8">
      <w:pPr>
        <w:bidi w:val="0"/>
        <w:spacing w:after="0" w:line="240" w:lineRule="auto"/>
        <w:jc w:val="both"/>
        <w:rPr>
          <w:rFonts w:ascii="Times New Roman" w:hAnsi="Times New Roman"/>
          <w:lang w:val="sk-SK"/>
        </w:rPr>
      </w:pPr>
      <w:r w:rsidR="004F79A6">
        <w:rPr>
          <w:rFonts w:ascii="Times New Roman" w:hAnsi="Times New Roman"/>
          <w:lang w:val="sk-SK"/>
        </w:rPr>
        <w:t>Navrhovanou zmenou sa určuje pevná sieť poskytovateľov zdravotnej starostlivosti poskytujúcich ústavnú pohotovostnú službu z dôvodu optimalizácie dostupnosti a efektivity ústavnej pohotovostnej služby.</w:t>
      </w:r>
    </w:p>
    <w:p w:rsidR="00D056F8" w:rsidP="00957DF3">
      <w:pPr>
        <w:widowControl/>
        <w:bidi w:val="0"/>
        <w:spacing w:after="0" w:line="240" w:lineRule="auto"/>
        <w:ind w:firstLine="720"/>
        <w:jc w:val="right"/>
        <w:rPr>
          <w:rFonts w:ascii="Times New Roman" w:hAnsi="Times New Roman"/>
          <w:color w:val="000000"/>
          <w:lang w:val="sk-SK"/>
        </w:rPr>
      </w:pPr>
    </w:p>
    <w:p w:rsidR="00D056F8">
      <w:pPr>
        <w:bidi w:val="0"/>
        <w:spacing w:after="0" w:line="240" w:lineRule="auto"/>
        <w:jc w:val="both"/>
        <w:rPr>
          <w:rFonts w:ascii="Times New Roman" w:hAnsi="Times New Roman"/>
          <w:u w:val="single"/>
          <w:lang w:val="sk-SK"/>
        </w:rPr>
      </w:pPr>
      <w:r w:rsidR="004F79A6">
        <w:rPr>
          <w:rFonts w:ascii="Times New Roman" w:hAnsi="Times New Roman"/>
          <w:u w:val="single"/>
          <w:lang w:val="sk-SK"/>
        </w:rPr>
        <w:t>K navrhovaným úpravám v zákone č. 581/2004 Z. z.:</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Ustanovuje sa povinnosť pre zdravotnú poisťovňu uhradiť poskytovateľovi, ktorý je súčasťou pevnej siete poskytovateľov ústavnej starostlivosti a spĺňa podmienky uvedené v § 7b paušálnu úhradu a úhradu podľa § 8 ods. 9. </w:t>
      </w:r>
    </w:p>
    <w:p w:rsidR="00D056F8">
      <w:pPr>
        <w:bidi w:val="0"/>
        <w:spacing w:after="0" w:line="240" w:lineRule="auto"/>
        <w:jc w:val="both"/>
        <w:rPr>
          <w:rFonts w:ascii="Times New Roman" w:hAnsi="Times New Roman"/>
          <w:lang w:val="sk-SK"/>
        </w:rPr>
      </w:pPr>
      <w:r w:rsidR="004F79A6">
        <w:rPr>
          <w:rFonts w:ascii="Times New Roman" w:hAnsi="Times New Roman"/>
          <w:lang w:val="sk-SK"/>
        </w:rPr>
        <w:t>Ustanovuje sa povinnosť zdravotnej poisťovni uzatvoriť zmluvy o poskytovaní zdravotnej starostlivosti s každým poskytovateľom, ktorý je súčasťou pevnej siete poskytovateľov ústavnej starostlivosti a spĺňa podmienky (má povolenie na poskytovanie ústavnej zdravotnej starostlivosti, poskytuje urgentnú zdravotnú starostlivosť na urgentnom príjme 1. typu alebo 2. typu, spĺňa minimálne požiadavky na personálne zabezpečenie a materiálno-technické vybavenie), aby bola uhradená paušálna úhrada ako aj úhrada za zdravotné výkony, ktoré vykoná počas poskytovania zdravotnej starostlivosti na urgentnom príjme 1. typu alebo 2. typu.</w:t>
      </w:r>
    </w:p>
    <w:p w:rsidR="00D056F8">
      <w:pPr>
        <w:bidi w:val="0"/>
        <w:spacing w:after="0" w:line="240" w:lineRule="auto"/>
        <w:jc w:val="both"/>
        <w:rPr>
          <w:rFonts w:ascii="Times New Roman" w:hAnsi="Times New Roman"/>
          <w:lang w:val="sk-SK"/>
        </w:rPr>
      </w:pPr>
      <w:r w:rsidR="004F79A6">
        <w:rPr>
          <w:rFonts w:ascii="Times New Roman" w:hAnsi="Times New Roman"/>
          <w:lang w:val="sk-SK"/>
        </w:rPr>
        <w:t>Ide o splnomocňovacie ustanovenie na vydanie všeobecne záväzného právneho predpisu, ktorým sa ustanoví paušálna úhrada a úhrada za poskytnutú zdravotnú starostlivosť na urgentných príjmoch 1. typu a 2. typu.</w:t>
      </w:r>
    </w:p>
    <w:p w:rsidR="00D056F8">
      <w:pPr>
        <w:bidi w:val="0"/>
        <w:spacing w:after="0" w:line="240" w:lineRule="auto"/>
        <w:rPr>
          <w:rFonts w:ascii="Times New Roman" w:hAnsi="Times New Roman"/>
          <w:lang w:val="sk-SK"/>
        </w:rPr>
      </w:pPr>
    </w:p>
    <w:p w:rsidR="00D056F8">
      <w:pPr>
        <w:bidi w:val="0"/>
        <w:spacing w:after="0" w:line="240" w:lineRule="auto"/>
        <w:jc w:val="both"/>
        <w:rPr>
          <w:rFonts w:ascii="Times New Roman" w:hAnsi="Times New Roman"/>
          <w:b/>
          <w:bCs/>
          <w:lang w:val="sk-SK" w:eastAsia="sk-SK"/>
        </w:rPr>
      </w:pPr>
      <w:r w:rsidR="004F79A6">
        <w:rPr>
          <w:rFonts w:ascii="Times New Roman" w:hAnsi="Times New Roman"/>
          <w:b/>
          <w:bCs/>
          <w:lang w:val="sk-SK" w:eastAsia="sk-SK"/>
        </w:rPr>
        <w:t>K cenovej regulácii</w:t>
      </w:r>
    </w:p>
    <w:p w:rsidR="00D056F8">
      <w:pPr>
        <w:widowControl/>
        <w:bidi w:val="0"/>
        <w:spacing w:after="0" w:line="240" w:lineRule="auto"/>
        <w:jc w:val="both"/>
        <w:rPr>
          <w:rFonts w:ascii="Times New Roman" w:hAnsi="Times New Roman"/>
          <w:lang w:val="sk-SK"/>
        </w:rPr>
      </w:pPr>
      <w:r w:rsidR="004F79A6">
        <w:rPr>
          <w:rFonts w:ascii="Times New Roman" w:hAnsi="Times New Roman"/>
          <w:lang w:val="sk-SK"/>
        </w:rPr>
        <w:t>Účelom navrhovaného zavedenia regulácie ceny v oblasti urgentných príjmov je zabezpečiť primerané finančné krytie ekonomicky oprávnených nákladov pre prevádzkovateľov urgentných príjmov z dôvodu nutnosti bezproblémovej funkčnosti novo vybudovanej siete urgentných príjmov a zabezpečenie absorbčnej kapacity (kapacitnej priepustnosti) a dostupnosti akútnej starostlivosti v regiónoch.</w:t>
      </w:r>
    </w:p>
    <w:p w:rsidR="00D056F8">
      <w:pPr>
        <w:bidi w:val="0"/>
        <w:spacing w:after="0" w:line="240" w:lineRule="auto"/>
        <w:jc w:val="both"/>
        <w:rPr>
          <w:rFonts w:ascii="Times New Roman" w:hAnsi="Times New Roman"/>
          <w:b/>
          <w:bCs/>
          <w:lang w:val="sk-SK" w:eastAsia="sk-SK"/>
        </w:rPr>
      </w:pPr>
    </w:p>
    <w:p w:rsidR="00D056F8">
      <w:pPr>
        <w:pStyle w:val="ListParagraph"/>
        <w:numPr>
          <w:numId w:val="3"/>
        </w:numPr>
        <w:bidi w:val="0"/>
        <w:spacing w:after="200"/>
        <w:contextualSpacing/>
        <w:jc w:val="both"/>
        <w:rPr>
          <w:rFonts w:ascii="Times New Roman" w:hAnsi="Times New Roman"/>
          <w:b/>
          <w:sz w:val="22"/>
          <w:szCs w:val="22"/>
          <w:u w:val="single"/>
        </w:rPr>
      </w:pPr>
      <w:r w:rsidR="004F79A6">
        <w:rPr>
          <w:rFonts w:ascii="Times New Roman" w:hAnsi="Times New Roman"/>
          <w:b/>
          <w:sz w:val="22"/>
          <w:szCs w:val="22"/>
          <w:u w:val="single"/>
        </w:rPr>
        <w:t>Obhliadky mŕtvych</w:t>
      </w:r>
    </w:p>
    <w:p w:rsidR="00D056F8">
      <w:pPr>
        <w:bidi w:val="0"/>
        <w:spacing w:after="0" w:line="240" w:lineRule="auto"/>
        <w:jc w:val="both"/>
        <w:rPr>
          <w:rFonts w:ascii="Times New Roman" w:hAnsi="Times New Roman"/>
          <w:bCs/>
          <w:lang w:val="sk-SK"/>
        </w:rPr>
      </w:pPr>
      <w:r w:rsidR="004F79A6">
        <w:rPr>
          <w:rFonts w:ascii="Times New Roman" w:hAnsi="Times New Roman"/>
          <w:lang w:val="sk-SK"/>
        </w:rPr>
        <w:t xml:space="preserve">Cieľom návrhu zákona je precizovať a zefektívniť </w:t>
      </w:r>
      <w:r w:rsidR="004F79A6">
        <w:rPr>
          <w:rFonts w:ascii="Times New Roman" w:hAnsi="Times New Roman"/>
          <w:bCs/>
          <w:lang w:val="sk-SK"/>
        </w:rPr>
        <w:t>organizáciu a financovanie vykonávania prehliadok mŕtvych tiel. Za činnosti v súvislosti s vykonávaním prehliadok mŕtvych tiel a nariaďovania a vykonávania pitiev zodpovedá Úrad pre dohľad nad zdravotnou starostlivosťou. Preto sa upravuje pôsobnosť Úradu pre dohľad nad zdravotnou starostlivosťou, ustanovenia v súvislosti s povinnosťami organizátora, poskytovateľa zdravotnej starostlivosti alebo lekára pri vykonávaní prehliadok mŕtvych tiel, ale aj inštitút ukladania pokút za porušenie povinností v súvislosti s vykonávaním prehliadok mŕtvych tiel a nariaďovaním pitiev.</w:t>
      </w:r>
    </w:p>
    <w:p w:rsidR="00D056F8">
      <w:pPr>
        <w:bidi w:val="0"/>
        <w:spacing w:after="0" w:line="240" w:lineRule="auto"/>
        <w:jc w:val="both"/>
        <w:rPr>
          <w:rFonts w:ascii="Times New Roman" w:hAnsi="Times New Roman"/>
          <w:lang w:val="sk-SK"/>
        </w:rPr>
      </w:pPr>
      <w:r w:rsidR="004F79A6">
        <w:rPr>
          <w:rFonts w:ascii="Times New Roman" w:eastAsia="Noto Sans CJK SC Regular" w:hAnsi="Times New Roman"/>
          <w:lang w:val="sk-SK" w:eastAsia="zh-CN" w:bidi="hi-IN"/>
        </w:rPr>
        <w:t>Navrhuje sa z</w:t>
      </w:r>
      <w:r w:rsidR="004F79A6">
        <w:rPr>
          <w:rFonts w:ascii="Times New Roman" w:hAnsi="Times New Roman"/>
          <w:lang w:val="sk-SK"/>
        </w:rPr>
        <w:t xml:space="preserve">abezpečenie vykonávania prehliadok mŕtvych tiel, v prípade ak ide o úmrtie osoby v zdravotníckom zariadení ústavnej zdravotnej starostlivosti a zabezpečenie vykonávania prehliadok mŕtvych tiel, v prípade ak ide o úmrtie osoby mimo zdravotníckeho zariadenia. V zdravotníckom zariadení ústavnej zdravotnej starostlivosti vykonanie prehliadky mŕtveho tela zabezpečí poskytovateľ zdravotnej starostlivosti, ktorý ho prevádzkuje. Je povinný zabezpečiť, aby prehliadku mŕtveho tela vykonal prehliadajúci lekár, ktorý nebol ošetrujúcim lekárom osoby a ani lekárom v rámci konzília zomretej osoby pri poskytovaní zdravotnej starostlivosti pri poslednej hospitalizácii. V prípade úmrtia mimo zdravotníckeho zariadenia ústavnej zdravotnej starostlivosti </w:t>
      </w:r>
      <w:r w:rsidR="004F79A6">
        <w:rPr>
          <w:rFonts w:ascii="Times New Roman" w:hAnsi="Times New Roman"/>
          <w:bCs/>
          <w:lang w:val="sk-SK"/>
        </w:rPr>
        <w:t xml:space="preserve">sa navrhuje, že ten kto sa </w:t>
      </w:r>
      <w:r w:rsidR="004F79A6">
        <w:rPr>
          <w:rFonts w:ascii="Times New Roman" w:hAnsi="Times New Roman"/>
          <w:iCs/>
          <w:lang w:val="sk-SK"/>
        </w:rPr>
        <w:t xml:space="preserve"> dozvie o úmrtí osoby mimo zdravotníckeho zariadenia takúto skutočnosť ohlási operačnému stredisku záchrannej zdravotnej služby alebo policajnému zboru, ktorý zabezpečia prehliadku mŕtveho tela</w:t>
      </w:r>
      <w:r w:rsidR="004F79A6">
        <w:rPr>
          <w:rFonts w:ascii="Times New Roman" w:hAnsi="Times New Roman"/>
          <w:lang w:val="sk-SK"/>
        </w:rPr>
        <w:t>. Vykonávanie prehliadky mŕtveho tela sa považuje za činnosť vo verejnom záujme</w:t>
      </w:r>
      <w:r w:rsidR="004F79A6">
        <w:rPr>
          <w:rFonts w:ascii="Times New Roman" w:hAnsi="Times New Roman"/>
          <w:vertAlign w:val="superscript"/>
          <w:lang w:val="sk-SK"/>
        </w:rPr>
        <w:t xml:space="preserve"> </w:t>
      </w:r>
      <w:r w:rsidR="004F79A6">
        <w:rPr>
          <w:rFonts w:ascii="Times New Roman" w:hAnsi="Times New Roman"/>
          <w:lang w:val="sk-SK"/>
        </w:rPr>
        <w:t>v rámci výkonu zdravotníckeho povolania, pričom takáto úprava je nevyhnutá z dôvodu, že v aplikačnej praxi sa povinnosť vykonávania prehliadok mŕtvych tiel bagatelizovala a stávalo sa, že mŕtve telo osoby muselo mimo úmrtia v zdravotníckom zariadení na prehliadajúceho lekára čakať aj viac ako 5 hodín, čo bolo vo vzťahu k rodinným príslušníkom, občanom Slovenskej a samotnému mŕtvemu telu neľudské, neetické a nemorálne</w:t>
      </w:r>
      <w:r w:rsidR="004F79A6">
        <w:rPr>
          <w:rFonts w:ascii="Times New Roman" w:hAnsi="Times New Roman"/>
          <w:iCs/>
          <w:lang w:val="sk-SK"/>
        </w:rPr>
        <w:t xml:space="preserve">. </w:t>
      </w:r>
      <w:r w:rsidR="004F79A6">
        <w:rPr>
          <w:rFonts w:ascii="Times New Roman" w:hAnsi="Times New Roman"/>
          <w:lang w:val="sk-SK"/>
        </w:rPr>
        <w:t>K odstráneniu takejto diskrepancii je nevyhnuté ustanoviť, že činnosť prehliadajúceho lekára, ktorý vykonáva prehliadku mŕtveho tela, je činnosťou vo verejnom záujme najmä z dôvodu ochrany verejného zdravia osôb.</w:t>
      </w:r>
    </w:p>
    <w:p w:rsidR="00D056F8">
      <w:pPr>
        <w:bidi w:val="0"/>
        <w:spacing w:after="0" w:line="240" w:lineRule="auto"/>
        <w:ind w:left="360"/>
        <w:jc w:val="both"/>
        <w:rPr>
          <w:rFonts w:ascii="Times New Roman" w:hAnsi="Times New Roman"/>
          <w:lang w:val="sk-SK"/>
        </w:rPr>
      </w:pPr>
    </w:p>
    <w:p w:rsidR="00D056F8">
      <w:pPr>
        <w:pStyle w:val="ListParagraph"/>
        <w:numPr>
          <w:numId w:val="3"/>
        </w:numPr>
        <w:bidi w:val="0"/>
        <w:spacing w:after="200"/>
        <w:contextualSpacing/>
        <w:jc w:val="both"/>
        <w:rPr>
          <w:rFonts w:ascii="Times New Roman" w:hAnsi="Times New Roman"/>
          <w:b/>
          <w:sz w:val="22"/>
          <w:szCs w:val="22"/>
          <w:u w:val="single"/>
        </w:rPr>
      </w:pPr>
      <w:r w:rsidR="004F79A6">
        <w:rPr>
          <w:rFonts w:ascii="Times New Roman" w:hAnsi="Times New Roman"/>
          <w:b/>
          <w:sz w:val="22"/>
          <w:szCs w:val="22"/>
          <w:u w:val="single"/>
        </w:rPr>
        <w:t>eHealth</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Navrhuje sa prístup jednotlivých zdravotníckych pracovníkov k záznamom v elektronickej zdravotnej knižke podľa potreby a praxe s výsledkom možnosti čo najefektívnejšieho fungovania elektronického zdravotníctva. </w:t>
      </w:r>
    </w:p>
    <w:p w:rsidR="00D056F8">
      <w:pPr>
        <w:bidi w:val="0"/>
        <w:spacing w:after="0" w:line="240" w:lineRule="auto"/>
        <w:ind w:left="360"/>
        <w:jc w:val="both"/>
        <w:rPr>
          <w:rFonts w:ascii="Times New Roman" w:hAnsi="Times New Roman"/>
          <w:lang w:val="sk-SK"/>
        </w:rPr>
      </w:pPr>
    </w:p>
    <w:p w:rsidR="002E0EC6">
      <w:pPr>
        <w:bidi w:val="0"/>
        <w:spacing w:after="0" w:line="240" w:lineRule="auto"/>
        <w:ind w:left="360"/>
        <w:jc w:val="both"/>
        <w:rPr>
          <w:rFonts w:ascii="Times New Roman" w:hAnsi="Times New Roman"/>
          <w:lang w:val="sk-SK"/>
        </w:rPr>
      </w:pPr>
    </w:p>
    <w:p w:rsidR="002E0EC6">
      <w:pPr>
        <w:bidi w:val="0"/>
        <w:spacing w:after="0" w:line="240" w:lineRule="auto"/>
        <w:ind w:left="360"/>
        <w:jc w:val="both"/>
        <w:rPr>
          <w:rFonts w:ascii="Times New Roman" w:hAnsi="Times New Roman"/>
          <w:lang w:val="sk-SK"/>
        </w:rPr>
      </w:pPr>
    </w:p>
    <w:p w:rsidR="00D056F8" w:rsidRPr="002E0EC6" w:rsidP="002E0EC6">
      <w:pPr>
        <w:pStyle w:val="ListParagraph"/>
        <w:numPr>
          <w:numId w:val="3"/>
        </w:numPr>
        <w:bidi w:val="0"/>
        <w:spacing w:after="200"/>
        <w:contextualSpacing/>
        <w:jc w:val="both"/>
        <w:rPr>
          <w:rFonts w:ascii="Times New Roman" w:hAnsi="Times New Roman"/>
          <w:b/>
          <w:sz w:val="22"/>
          <w:szCs w:val="22"/>
          <w:u w:val="single"/>
        </w:rPr>
      </w:pPr>
      <w:r w:rsidR="004F79A6">
        <w:rPr>
          <w:rFonts w:ascii="Times New Roman" w:hAnsi="Times New Roman"/>
          <w:b/>
          <w:sz w:val="22"/>
          <w:szCs w:val="22"/>
          <w:u w:val="single"/>
        </w:rPr>
        <w:t>Ošetrovateľs</w:t>
      </w:r>
      <w:r w:rsidRPr="002E0EC6" w:rsidR="004F79A6">
        <w:rPr>
          <w:rFonts w:ascii="Times New Roman" w:hAnsi="Times New Roman"/>
          <w:b/>
          <w:sz w:val="22"/>
          <w:szCs w:val="22"/>
          <w:u w:val="single"/>
        </w:rPr>
        <w:t>ká starostlivosť v zariadeniach sociálnej pomoci</w:t>
      </w:r>
    </w:p>
    <w:p w:rsidR="00D056F8">
      <w:pPr>
        <w:bidi w:val="0"/>
        <w:spacing w:after="0" w:line="240" w:lineRule="auto"/>
        <w:jc w:val="both"/>
        <w:rPr>
          <w:rFonts w:ascii="Times New Roman" w:hAnsi="Times New Roman"/>
          <w:lang w:val="sk-SK"/>
        </w:rPr>
      </w:pPr>
      <w:r w:rsidR="004F79A6">
        <w:rPr>
          <w:rFonts w:ascii="Times New Roman" w:hAnsi="Times New Roman"/>
          <w:lang w:val="sk-SK"/>
        </w:rPr>
        <w:t>Navrhovaná úprava má za cieľ skvalitnenie poskytovania ošetrovateľskej starostlivosti v zariadeniach sociálnej pomoci do kreovania komplexného návrhu zákona o dlhodobej starostlivosti s plánovanou účinnosťou od 1. januára 2019. Cieľom ošetrovateľskej starostlivosti o odkázané osoby má byť stabilizácia ich zdravotného stavu, resp. maximálna snaha o preventívne pôsobenie tak, aby nedošlo k tzv. destabilizácii pacienta s potrebou následnej hospitalizácie. Napríklad vznik dekubitov je ukazovateľom nedostatočných preventívnych opatrení.</w:t>
      </w:r>
    </w:p>
    <w:p w:rsidR="00D056F8">
      <w:pPr>
        <w:bidi w:val="0"/>
        <w:spacing w:after="0" w:line="240" w:lineRule="auto"/>
        <w:jc w:val="both"/>
        <w:rPr>
          <w:rFonts w:ascii="Times New Roman" w:hAnsi="Times New Roman"/>
          <w:lang w:val="sk-SK"/>
        </w:rPr>
      </w:pPr>
      <w:r w:rsidR="004F79A6">
        <w:rPr>
          <w:rFonts w:ascii="Times New Roman" w:hAnsi="Times New Roman"/>
          <w:lang w:val="sk-SK"/>
        </w:rPr>
        <w:t>Na základe záverov zo stretnutí pracovnej skupiny zriadenej na úpravu problematiky dlhodobej starostlivosti sa navrhuje ustanovenie paušálnej platby za ošetrovateľskú starostlivosť v zariadeniach sociálnej pomoci za podmienok ustanovených v zákone č. 576/2004 Z. z. o zdravotnej starostlivosti, službách súvisiacich s poskytovaním zdravotnej starostlivosti a o zmene a doplnení niektorých zákonov v znení neskorších predpisov, zákone č. 577/2004 Z. z. o rozsahu zdravotnej starostlivosti uhrádzanej na základe verejného zdravotného poistenia a o úhradách za služby súvisiace s poskytovaním zdravotnej starostlivosti v znení neskorších predpisov a v zákone č. 581/2004 Z. z. o zdravotných poisťovniach, dohľade nad zdravotnou starostlivosťou a o zmene a doplnení niektorých zákonov v znení neskorších predpisov.</w:t>
      </w:r>
    </w:p>
    <w:p w:rsidR="00D056F8">
      <w:pPr>
        <w:bidi w:val="0"/>
        <w:spacing w:after="0" w:line="240" w:lineRule="auto"/>
        <w:ind w:firstLine="708"/>
        <w:jc w:val="both"/>
        <w:rPr>
          <w:rFonts w:ascii="Times New Roman" w:hAnsi="Times New Roman"/>
          <w:lang w:val="sk-SK"/>
        </w:rPr>
      </w:pPr>
    </w:p>
    <w:p w:rsidR="00D056F8">
      <w:pPr>
        <w:pStyle w:val="ListParagraph"/>
        <w:numPr>
          <w:numId w:val="3"/>
        </w:numPr>
        <w:bidi w:val="0"/>
        <w:spacing w:after="200"/>
        <w:contextualSpacing/>
        <w:jc w:val="both"/>
        <w:rPr>
          <w:rFonts w:ascii="Times New Roman" w:hAnsi="Times New Roman"/>
          <w:b/>
          <w:sz w:val="22"/>
          <w:szCs w:val="22"/>
          <w:u w:val="single"/>
        </w:rPr>
      </w:pPr>
      <w:r w:rsidR="004F79A6">
        <w:rPr>
          <w:rFonts w:ascii="Times New Roman" w:hAnsi="Times New Roman"/>
          <w:b/>
          <w:sz w:val="22"/>
          <w:szCs w:val="22"/>
          <w:u w:val="single"/>
        </w:rPr>
        <w:t>Odvodová odpočítateľná položka, prerozdeľovací systém</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Navrhuje sa riešiť situácie, kedy do slovenského systému zdravotného zabezpečenia špekulatívne vstupujú osoby z iných krajín na základe výkonu (často fiktívnej) ekonomickej činnosti z ktorej im plynie nízka mzda (často len pár desiatok eur). Na základe výkonu tejto činnosti ako jedinej deklarovanej ekonomickej aktivity vstupujú do systému zdravotného zabezpečenia SR a následne oni a ich nezaopatrení rodinní príslušníci z nášho systému čerpajú zdravotnú starostlivosť. Navrhuje sa, aby osoba, ktorá získa nárok pre vstup do systému SR mala mesačný príjem minimálne na úrovni minimálnej mzdy. Pre osoby, ktoré majú udelený azyl, majú nárok na zdravotné poistenie a nemajú ešte pridelené rodné číslo sa nahrádza povinnosť uviesť rodné číslo povinnosťou predložiť rozhodnutie o udelení azylu. Pre uplatnenie odpočítateľnej položky bude potrebné, aby úhrn mesačných príjmov počas existencie zamestnania bol nižší, ako je úhrn hraničných mesačných príjmov v tom istom období pre uplatnenie odpočítateľnej položky (a to aj v prípade, ak celkový ročný príjem zo zamestnania je nižší ako suma 6840 eur). Zavádza sa povinnosť pre zdravotné poisťovne k počtu poistencov štátu, za ktorých sa má uhradiť preddavok štátu, doložiť aj ich zoznam (aby bola možná následná bezproblémová kontrola správnosti vykazovania). Tiež sa upravujú procesy v mesačnom a ročnom prerozdelení poistného tak, aby boli transparentnejšie a jednoduchšie kontrolovateľné. </w:t>
      </w:r>
    </w:p>
    <w:p w:rsidR="00D056F8">
      <w:pPr>
        <w:bidi w:val="0"/>
        <w:spacing w:after="0" w:line="240" w:lineRule="auto"/>
        <w:rPr>
          <w:rFonts w:ascii="Times New Roman" w:hAnsi="Times New Roman"/>
          <w:lang w:val="sk-SK" w:eastAsia="sk-SK"/>
        </w:rPr>
      </w:pPr>
    </w:p>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w:t>
      </w:r>
    </w:p>
    <w:p w:rsidR="00D056F8">
      <w:pPr>
        <w:bidi w:val="0"/>
        <w:spacing w:after="0" w:line="240" w:lineRule="auto"/>
        <w:rPr>
          <w:rFonts w:ascii="Times New Roman" w:hAnsi="Times New Roman"/>
          <w:lang w:val="sk-SK" w:eastAsia="sk-SK"/>
        </w:rPr>
      </w:pPr>
    </w:p>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2.2.2. Charakteristika návrhu:</w:t>
      </w:r>
    </w:p>
    <w:p w:rsidR="00D056F8">
      <w:pPr>
        <w:bidi w:val="0"/>
        <w:spacing w:after="0" w:line="240" w:lineRule="auto"/>
        <w:rPr>
          <w:rFonts w:ascii="Times New Roman" w:hAnsi="Times New Roman"/>
          <w:lang w:val="sk-SK" w:eastAsia="sk-SK"/>
        </w:rPr>
      </w:pPr>
    </w:p>
    <w:p w:rsidR="00D056F8">
      <w:pPr>
        <w:bidi w:val="0"/>
        <w:spacing w:after="0" w:line="240" w:lineRule="auto"/>
        <w:rPr>
          <w:rFonts w:ascii="Times New Roman" w:hAnsi="Times New Roman"/>
          <w:lang w:val="sk-SK" w:eastAsia="sk-SK"/>
        </w:rPr>
      </w:pPr>
      <w:r w:rsidR="004F79A6">
        <w:rPr>
          <w:rFonts w:ascii="Times New Roman" w:hAnsi="Times New Roman"/>
          <w:b/>
          <w:bdr w:val="single" w:sz="4" w:space="0" w:color="00000A"/>
          <w:lang w:val="sk-SK" w:eastAsia="sk-SK"/>
        </w:rPr>
        <w:t xml:space="preserve">     </w:t>
      </w:r>
      <w:r w:rsidR="004F79A6">
        <w:rPr>
          <w:rFonts w:ascii="Times New Roman" w:hAnsi="Times New Roman"/>
          <w:b/>
          <w:lang w:val="sk-SK" w:eastAsia="sk-SK"/>
        </w:rPr>
        <w:t xml:space="preserve">  </w:t>
      </w:r>
      <w:r w:rsidR="004F79A6">
        <w:rPr>
          <w:rFonts w:ascii="Times New Roman" w:hAnsi="Times New Roman"/>
          <w:lang w:val="sk-SK" w:eastAsia="sk-SK"/>
        </w:rPr>
        <w:t>zmena sadzby</w:t>
      </w:r>
    </w:p>
    <w:p w:rsidR="00D056F8">
      <w:pPr>
        <w:bidi w:val="0"/>
        <w:spacing w:after="0" w:line="240" w:lineRule="auto"/>
        <w:rPr>
          <w:rFonts w:ascii="Times New Roman" w:hAnsi="Times New Roman"/>
          <w:lang w:val="sk-SK" w:eastAsia="sk-SK"/>
        </w:rPr>
      </w:pPr>
      <w:r w:rsidR="004F79A6">
        <w:rPr>
          <w:rFonts w:ascii="Times New Roman" w:hAnsi="Times New Roman"/>
          <w:bdr w:val="single" w:sz="4" w:space="0" w:color="00000A"/>
          <w:lang w:val="sk-SK" w:eastAsia="sk-SK"/>
        </w:rPr>
        <w:t xml:space="preserve"> </w:t>
      </w:r>
      <w:r w:rsidR="004F79A6">
        <w:rPr>
          <w:rFonts w:ascii="Times New Roman" w:hAnsi="Times New Roman"/>
          <w:b/>
          <w:bdr w:val="single" w:sz="4" w:space="0" w:color="00000A"/>
          <w:lang w:val="sk-SK" w:eastAsia="sk-SK"/>
        </w:rPr>
        <w:t>X</w:t>
      </w:r>
      <w:r w:rsidR="004F79A6">
        <w:rPr>
          <w:rFonts w:ascii="Times New Roman" w:hAnsi="Times New Roman"/>
          <w:bdr w:val="single" w:sz="4" w:space="0" w:color="00000A"/>
          <w:lang w:val="sk-SK" w:eastAsia="sk-SK"/>
        </w:rPr>
        <w:t xml:space="preserve"> </w:t>
      </w:r>
      <w:r w:rsidR="004F79A6">
        <w:rPr>
          <w:rFonts w:ascii="Times New Roman" w:hAnsi="Times New Roman"/>
          <w:lang w:val="sk-SK" w:eastAsia="sk-SK"/>
        </w:rPr>
        <w:t xml:space="preserve">  zmena v nároku</w:t>
      </w:r>
    </w:p>
    <w:p w:rsidR="00D056F8">
      <w:pPr>
        <w:bidi w:val="0"/>
        <w:spacing w:after="0" w:line="240" w:lineRule="auto"/>
        <w:rPr>
          <w:rFonts w:ascii="Times New Roman" w:hAnsi="Times New Roman"/>
          <w:lang w:val="sk-SK" w:eastAsia="sk-SK"/>
        </w:rPr>
      </w:pPr>
      <w:r w:rsidR="004F79A6">
        <w:rPr>
          <w:rFonts w:ascii="Times New Roman" w:hAnsi="Times New Roman"/>
          <w:bdr w:val="single" w:sz="4" w:space="0" w:color="00000A"/>
          <w:lang w:val="sk-SK" w:eastAsia="sk-SK"/>
        </w:rPr>
        <w:t xml:space="preserve">     </w:t>
      </w:r>
      <w:r w:rsidR="004F79A6">
        <w:rPr>
          <w:rFonts w:ascii="Times New Roman" w:hAnsi="Times New Roman"/>
          <w:lang w:val="sk-SK" w:eastAsia="sk-SK"/>
        </w:rPr>
        <w:t xml:space="preserve">  nová služba alebo nariadenie (alebo ich zrušenie)</w:t>
      </w:r>
    </w:p>
    <w:p w:rsidR="00D056F8">
      <w:pPr>
        <w:bidi w:val="0"/>
        <w:spacing w:after="0" w:line="240" w:lineRule="auto"/>
        <w:rPr>
          <w:rFonts w:ascii="Times New Roman" w:hAnsi="Times New Roman"/>
          <w:lang w:val="sk-SK" w:eastAsia="sk-SK"/>
        </w:rPr>
      </w:pPr>
      <w:r w:rsidR="004F79A6">
        <w:rPr>
          <w:rFonts w:ascii="Times New Roman" w:hAnsi="Times New Roman"/>
          <w:bdr w:val="single" w:sz="4" w:space="0" w:color="00000A"/>
          <w:lang w:val="sk-SK" w:eastAsia="sk-SK"/>
        </w:rPr>
        <w:t xml:space="preserve">     </w:t>
      </w:r>
      <w:r w:rsidR="004F79A6">
        <w:rPr>
          <w:rFonts w:ascii="Times New Roman" w:hAnsi="Times New Roman"/>
          <w:lang w:val="sk-SK" w:eastAsia="sk-SK"/>
        </w:rPr>
        <w:t xml:space="preserve">  kombinovaný návrh</w:t>
      </w:r>
    </w:p>
    <w:p w:rsidR="00D056F8">
      <w:pPr>
        <w:bidi w:val="0"/>
        <w:spacing w:after="0" w:line="240" w:lineRule="auto"/>
        <w:rPr>
          <w:rFonts w:ascii="Times New Roman" w:hAnsi="Times New Roman"/>
          <w:lang w:val="sk-SK" w:eastAsia="sk-SK"/>
        </w:rPr>
      </w:pPr>
      <w:r w:rsidR="004F79A6">
        <w:rPr>
          <w:rFonts w:ascii="Times New Roman" w:hAnsi="Times New Roman"/>
          <w:bdr w:val="single" w:sz="4" w:space="0" w:color="00000A"/>
          <w:lang w:val="sk-SK" w:eastAsia="sk-SK"/>
        </w:rPr>
        <w:t xml:space="preserve">     </w:t>
      </w:r>
      <w:r w:rsidR="004F79A6">
        <w:rPr>
          <w:rFonts w:ascii="Times New Roman" w:hAnsi="Times New Roman"/>
          <w:lang w:val="sk-SK" w:eastAsia="sk-SK"/>
        </w:rPr>
        <w:t xml:space="preserve">  iné </w:t>
      </w:r>
    </w:p>
    <w:p w:rsidR="00D056F8">
      <w:pPr>
        <w:bidi w:val="0"/>
        <w:spacing w:after="0" w:line="240" w:lineRule="auto"/>
        <w:rPr>
          <w:rFonts w:ascii="Times New Roman" w:hAnsi="Times New Roman"/>
          <w:lang w:val="sk-SK" w:eastAsia="sk-SK"/>
        </w:rPr>
      </w:pPr>
    </w:p>
    <w:p w:rsidR="00D056F8">
      <w:pPr>
        <w:bidi w:val="0"/>
        <w:spacing w:after="0" w:line="240" w:lineRule="auto"/>
        <w:rPr>
          <w:rFonts w:ascii="Times New Roman" w:hAnsi="Times New Roman"/>
          <w:lang w:val="sk-SK" w:eastAsia="sk-SK"/>
        </w:rPr>
      </w:pPr>
      <w:r w:rsidR="004F79A6">
        <w:rPr>
          <w:rFonts w:ascii="Times New Roman" w:hAnsi="Times New Roman"/>
          <w:b/>
          <w:bCs/>
          <w:lang w:val="sk-SK" w:eastAsia="sk-SK"/>
        </w:rPr>
        <w:t>2.2.3. Predpoklady vývoja objemu aktivít:</w:t>
      </w:r>
    </w:p>
    <w:p w:rsidR="00D056F8">
      <w:pPr>
        <w:bidi w:val="0"/>
        <w:spacing w:after="0" w:line="240" w:lineRule="auto"/>
        <w:rPr>
          <w:rFonts w:ascii="Times New Roman" w:hAnsi="Times New Roman"/>
          <w:lang w:val="sk-SK" w:eastAsia="sk-SK"/>
        </w:rPr>
      </w:pPr>
    </w:p>
    <w:p w:rsidR="00D056F8">
      <w:pPr>
        <w:bidi w:val="0"/>
        <w:spacing w:after="0" w:line="240" w:lineRule="auto"/>
        <w:ind w:firstLine="708"/>
        <w:jc w:val="both"/>
        <w:rPr>
          <w:rFonts w:ascii="Times New Roman" w:hAnsi="Times New Roman"/>
          <w:lang w:val="sk-SK" w:eastAsia="sk-SK"/>
        </w:rPr>
      </w:pPr>
      <w:r w:rsidR="004F79A6">
        <w:rPr>
          <w:rFonts w:ascii="Times New Roman" w:hAnsi="Times New Roman"/>
          <w:lang w:val="sk-SK" w:eastAsia="sk-SK"/>
        </w:rPr>
        <w:t>Jasne popíšte, v prípade potreby použite nižšie uvedenú tabuľku. Uveďte aj odhady základov daní a/alebo poplatkov, ak sa ich táto zmena týka.</w:t>
      </w:r>
    </w:p>
    <w:p w:rsidR="00D056F8">
      <w:pPr>
        <w:bidi w:val="0"/>
        <w:spacing w:after="0" w:line="240" w:lineRule="auto"/>
        <w:jc w:val="right"/>
        <w:rPr>
          <w:rFonts w:ascii="Times New Roman" w:hAnsi="Times New Roman"/>
          <w:lang w:val="sk-SK" w:eastAsia="sk-SK"/>
        </w:rPr>
      </w:pPr>
      <w:r w:rsidR="004F79A6">
        <w:rPr>
          <w:rFonts w:ascii="Times New Roman" w:hAnsi="Times New Roman"/>
          <w:lang w:val="sk-SK" w:eastAsia="sk-SK"/>
        </w:rPr>
        <w:t xml:space="preserve">Tabuľka č. 2 </w:t>
      </w:r>
    </w:p>
    <w:tbl>
      <w:tblPr>
        <w:tblStyle w:val="TableNormal"/>
        <w:tblW w:w="9065"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
      <w:tblGrid>
        <w:gridCol w:w="4529"/>
        <w:gridCol w:w="1134"/>
        <w:gridCol w:w="1134"/>
        <w:gridCol w:w="1134"/>
        <w:gridCol w:w="1134"/>
      </w:tblGrid>
      <w:tr>
        <w:tblPrEx>
          <w:tblW w:w="9065" w:type="dxa"/>
          <w:tblInd w:w="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PrEx>
        <w:trPr>
          <w:cantSplit/>
          <w:trHeight w:val="70"/>
        </w:trPr>
        <w:tc>
          <w:tcPr>
            <w:tcW w:w="4529" w:type="dxa"/>
            <w:vMerge w:val="restart"/>
            <w:tcBorders>
              <w:top w:val="single" w:sz="4" w:space="0" w:color="00000A"/>
              <w:left w:val="single" w:sz="4" w:space="0" w:color="00000A"/>
              <w:bottom w:val="single" w:sz="4" w:space="0" w:color="00000A"/>
              <w:right w:val="single" w:sz="4" w:space="0" w:color="00000A"/>
            </w:tcBorders>
            <w:shd w:val="clear" w:color="auto" w:fill="BFBFBF"/>
            <w:tcMar>
              <w:left w:w="103" w:type="dxa"/>
            </w:tcMar>
            <w:textDirection w:val="lrTb"/>
            <w:vAlign w:val="center"/>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Objem aktivít</w:t>
            </w:r>
          </w:p>
        </w:tc>
        <w:tc>
          <w:tcPr>
            <w:tcW w:w="4536" w:type="dxa"/>
            <w:gridSpan w:val="4"/>
            <w:tcBorders>
              <w:top w:val="single" w:sz="4" w:space="0" w:color="00000A"/>
              <w:left w:val="single" w:sz="4" w:space="0" w:color="00000A"/>
              <w:bottom w:val="single" w:sz="4" w:space="0" w:color="00000A"/>
              <w:right w:val="single" w:sz="4" w:space="0" w:color="00000A"/>
            </w:tcBorders>
            <w:shd w:val="clear" w:color="auto" w:fill="BFBFBF"/>
            <w:tcMar>
              <w:left w:w="103" w:type="dxa"/>
            </w:tcMar>
            <w:textDirection w:val="lrTb"/>
            <w:vAlign w:val="center"/>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Odhadované objemy</w:t>
            </w:r>
          </w:p>
        </w:tc>
      </w:tr>
      <w:tr>
        <w:tblPrEx>
          <w:tblW w:w="9065" w:type="dxa"/>
          <w:tblInd w:w="73" w:type="dxa"/>
          <w:tblCellMar>
            <w:left w:w="103" w:type="dxa"/>
          </w:tblCellMar>
        </w:tblPrEx>
        <w:trPr>
          <w:cantSplit/>
          <w:trHeight w:val="70"/>
        </w:trPr>
        <w:tc>
          <w:tcPr>
            <w:tcW w:w="4529" w:type="dxa"/>
            <w:vMerge/>
            <w:tcBorders>
              <w:top w:val="single" w:sz="4" w:space="0" w:color="00000A"/>
              <w:left w:val="single" w:sz="4" w:space="0" w:color="00000A"/>
              <w:bottom w:val="single" w:sz="4" w:space="0" w:color="00000A"/>
              <w:right w:val="single" w:sz="4" w:space="0" w:color="00000A"/>
            </w:tcBorders>
            <w:shd w:val="clear" w:color="auto" w:fill="BFBFBF"/>
            <w:tcMar>
              <w:left w:w="103" w:type="dxa"/>
            </w:tcMar>
            <w:textDirection w:val="lrTb"/>
            <w:vAlign w:val="top"/>
          </w:tcPr>
          <w:p w:rsidR="00D056F8">
            <w:pPr>
              <w:bidi w:val="0"/>
              <w:spacing w:after="0" w:line="240" w:lineRule="auto"/>
              <w:jc w:val="center"/>
              <w:rPr>
                <w:rFonts w:ascii="Times New Roman" w:hAnsi="Times New Roman"/>
                <w:b/>
                <w:bCs/>
                <w:lang w:val="sk-SK" w:eastAsia="sk-SK"/>
              </w:rPr>
            </w:pP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textDirection w:val="lrTb"/>
            <w:vAlign w:val="center"/>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2017</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textDirection w:val="lrTb"/>
            <w:vAlign w:val="center"/>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2018</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textDirection w:val="lrTb"/>
            <w:vAlign w:val="center"/>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2019</w:t>
            </w:r>
          </w:p>
        </w:tc>
        <w:tc>
          <w:tcPr>
            <w:tcW w:w="113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textDirection w:val="lrTb"/>
            <w:vAlign w:val="center"/>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2020</w:t>
            </w:r>
          </w:p>
        </w:tc>
      </w:tr>
      <w:tr>
        <w:tblPrEx>
          <w:tblW w:w="9065" w:type="dxa"/>
          <w:tblInd w:w="73" w:type="dxa"/>
          <w:tblCellMar>
            <w:left w:w="103" w:type="dxa"/>
          </w:tblCellMar>
        </w:tblPrEx>
        <w:trPr>
          <w:trHeight w:val="70"/>
        </w:trPr>
        <w:tc>
          <w:tcPr>
            <w:tcW w:w="4529"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Indikátor ABC</w:t>
            </w: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r>
      <w:tr>
        <w:tblPrEx>
          <w:tblW w:w="9065" w:type="dxa"/>
          <w:tblInd w:w="73" w:type="dxa"/>
          <w:tblCellMar>
            <w:left w:w="103" w:type="dxa"/>
          </w:tblCellMar>
        </w:tblPrEx>
        <w:trPr>
          <w:trHeight w:val="70"/>
        </w:trPr>
        <w:tc>
          <w:tcPr>
            <w:tcW w:w="4529"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Indikátor KLM</w:t>
            </w: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r>
      <w:tr>
        <w:tblPrEx>
          <w:tblW w:w="9065" w:type="dxa"/>
          <w:tblInd w:w="73" w:type="dxa"/>
          <w:tblCellMar>
            <w:left w:w="103" w:type="dxa"/>
          </w:tblCellMar>
        </w:tblPrEx>
        <w:trPr>
          <w:trHeight w:val="70"/>
        </w:trPr>
        <w:tc>
          <w:tcPr>
            <w:tcW w:w="4529"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Indikátor XYZ</w:t>
            </w: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c>
          <w:tcPr>
            <w:tcW w:w="1134" w:type="dxa"/>
            <w:tcBorders>
              <w:top w:val="single" w:sz="4" w:space="0" w:color="00000A"/>
              <w:left w:val="single" w:sz="4" w:space="0" w:color="00000A"/>
              <w:bottom w:val="single" w:sz="4" w:space="0" w:color="00000A"/>
              <w:right w:val="single" w:sz="4" w:space="0" w:color="00000A"/>
            </w:tcBorders>
            <w:tcMar>
              <w:left w:w="103" w:type="dxa"/>
            </w:tcMar>
            <w:textDirection w:val="lrTb"/>
            <w:vAlign w:val="top"/>
          </w:tcPr>
          <w:p w:rsidR="00D056F8">
            <w:pPr>
              <w:bidi w:val="0"/>
              <w:spacing w:after="0" w:line="240" w:lineRule="auto"/>
              <w:jc w:val="right"/>
              <w:rPr>
                <w:rFonts w:ascii="Times New Roman" w:hAnsi="Times New Roman"/>
                <w:color w:val="000000"/>
                <w:lang w:val="sk-SK" w:eastAsia="sk-SK"/>
              </w:rPr>
            </w:pPr>
          </w:p>
        </w:tc>
      </w:tr>
    </w:tbl>
    <w:p w:rsidR="00D056F8">
      <w:pPr>
        <w:bidi w:val="0"/>
        <w:spacing w:after="0" w:line="240" w:lineRule="auto"/>
        <w:rPr>
          <w:rFonts w:ascii="Times New Roman" w:hAnsi="Times New Roman"/>
          <w:lang w:val="sk-SK" w:eastAsia="sk-SK"/>
        </w:rPr>
      </w:pPr>
    </w:p>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Predloženým návrhom zmeny zákona nedochádza k zmene vývoja objemu aktivít.</w:t>
      </w:r>
    </w:p>
    <w:p w:rsidR="00D056F8">
      <w:pPr>
        <w:bidi w:val="0"/>
        <w:spacing w:after="0" w:line="240" w:lineRule="auto"/>
        <w:rPr>
          <w:rFonts w:ascii="Times New Roman" w:hAnsi="Times New Roman"/>
          <w:lang w:val="sk-SK" w:eastAsia="sk-SK"/>
        </w:rPr>
      </w:pPr>
    </w:p>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2.2.4. Výpočty vplyvov na verejné financie</w:t>
      </w:r>
    </w:p>
    <w:p w:rsidR="00D056F8">
      <w:pPr>
        <w:bidi w:val="0"/>
        <w:spacing w:after="0" w:line="240" w:lineRule="auto"/>
        <w:rPr>
          <w:rFonts w:ascii="Times New Roman" w:hAnsi="Times New Roman"/>
          <w:lang w:val="sk-SK" w:eastAsia="sk-SK"/>
        </w:rPr>
      </w:pPr>
    </w:p>
    <w:p w:rsidR="00D056F8">
      <w:pPr>
        <w:pStyle w:val="ListParagraph"/>
        <w:numPr>
          <w:numId w:val="4"/>
        </w:numPr>
        <w:bidi w:val="0"/>
        <w:spacing w:after="200"/>
        <w:contextualSpacing/>
        <w:jc w:val="both"/>
        <w:rPr>
          <w:rFonts w:ascii="Times New Roman" w:hAnsi="Times New Roman"/>
          <w:b/>
          <w:color w:val="FF0000"/>
          <w:sz w:val="22"/>
          <w:szCs w:val="22"/>
          <w:u w:val="single"/>
        </w:rPr>
      </w:pPr>
      <w:r w:rsidR="004F79A6">
        <w:rPr>
          <w:rFonts w:ascii="Times New Roman" w:hAnsi="Times New Roman"/>
          <w:b/>
          <w:sz w:val="22"/>
          <w:szCs w:val="22"/>
          <w:u w:val="single"/>
        </w:rPr>
        <w:t>Urgentné príjmy</w:t>
      </w:r>
    </w:p>
    <w:p w:rsidR="00D056F8">
      <w:pPr>
        <w:pStyle w:val="ListParagraph"/>
        <w:bidi w:val="0"/>
        <w:spacing w:after="200"/>
        <w:ind w:left="720"/>
        <w:contextualSpacing/>
        <w:jc w:val="both"/>
        <w:rPr>
          <w:rFonts w:ascii="Times New Roman" w:hAnsi="Times New Roman"/>
          <w:color w:val="FF0000"/>
          <w:sz w:val="22"/>
          <w:szCs w:val="22"/>
        </w:rPr>
      </w:pPr>
    </w:p>
    <w:p w:rsidR="00D056F8">
      <w:pPr>
        <w:widowControl/>
        <w:bidi w:val="0"/>
        <w:spacing w:after="0" w:line="240" w:lineRule="auto"/>
        <w:ind w:firstLine="708"/>
        <w:jc w:val="both"/>
        <w:rPr>
          <w:rFonts w:ascii="Times New Roman" w:hAnsi="Times New Roman"/>
          <w:color w:val="000000"/>
          <w:lang w:val="sk-SK"/>
        </w:rPr>
      </w:pPr>
      <w:r w:rsidR="004F79A6">
        <w:rPr>
          <w:rFonts w:ascii="Times New Roman" w:hAnsi="Times New Roman"/>
          <w:color w:val="000000"/>
          <w:lang w:val="sk-SK"/>
        </w:rPr>
        <w:t>Výpočet výšky celkovej sumy, ktorá sa bude uhrádzať vo forme paušálnej úhrady a úhrady za poskytovanú zdravotnú starostlivosť na urgentných príjmoch 1. typu a 2. typu mesačne, je nasledovný:</w:t>
      </w:r>
    </w:p>
    <w:p w:rsidR="00D056F8">
      <w:pPr>
        <w:widowControl/>
        <w:bidi w:val="0"/>
        <w:spacing w:after="0" w:line="240" w:lineRule="auto"/>
        <w:jc w:val="both"/>
        <w:rPr>
          <w:rStyle w:val="PlaceholderText"/>
          <w:color w:val="000000"/>
          <w:lang w:val="sk-SK"/>
        </w:rPr>
      </w:pPr>
    </w:p>
    <w:p w:rsidR="00D056F8">
      <w:pPr>
        <w:widowControl/>
        <w:bidi w:val="0"/>
        <w:spacing w:after="0" w:line="240" w:lineRule="auto"/>
        <w:jc w:val="both"/>
        <w:rPr>
          <w:rStyle w:val="PlaceholderText"/>
          <w:color w:val="000000"/>
          <w:lang w:val="sk-SK"/>
        </w:rPr>
      </w:pPr>
      <w:r w:rsidR="004F79A6">
        <w:rPr>
          <w:rStyle w:val="PlaceholderText"/>
          <w:color w:val="000000"/>
          <w:lang w:val="sk-SK"/>
        </w:rPr>
        <w:t>Východiská:</w:t>
      </w:r>
    </w:p>
    <w:p w:rsidR="00D056F8">
      <w:pPr>
        <w:widowControl/>
        <w:bidi w:val="0"/>
        <w:spacing w:after="0" w:line="240" w:lineRule="auto"/>
        <w:ind w:firstLine="708"/>
        <w:jc w:val="both"/>
        <w:rPr>
          <w:rFonts w:ascii="Times New Roman" w:hAnsi="Times New Roman"/>
          <w:color w:val="000000"/>
          <w:lang w:val="sk-SK"/>
        </w:rPr>
      </w:pPr>
    </w:p>
    <w:p w:rsidR="00D056F8">
      <w:pPr>
        <w:tabs>
          <w:tab w:val="left" w:pos="1080"/>
        </w:tabs>
        <w:bidi w:val="0"/>
        <w:spacing w:after="0" w:line="240" w:lineRule="auto"/>
        <w:jc w:val="both"/>
        <w:rPr>
          <w:rFonts w:ascii="Times New Roman" w:hAnsi="Times New Roman"/>
          <w:lang w:val="sk-SK"/>
        </w:rPr>
      </w:pPr>
      <w:r w:rsidR="004F79A6">
        <w:rPr>
          <w:rFonts w:ascii="Times New Roman" w:hAnsi="Times New Roman"/>
          <w:lang w:val="sk-SK"/>
        </w:rPr>
        <w:t xml:space="preserve">Model vychádza zo súčasného oceňovania a výšky úhrad zdravotných výkonov na ústavnej pohotovostnej službe definovaných v Katalógu zdravotných výkonov. </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Model nezohľadňuje návrh legislatívy v oblasti ambulantnej pohotovostnej služby a jej dopad, nakoľko to v súčasnej dobe nevieme predikovať, najmä pokiaľ ide o presuny návštevnosti v spádoch, presuny výkonov do iných segmentov – záchranná zdravotná služba, urgentné príjmy atď.).  </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Navrhuje sa nové personálne zabezpečenie a materiálno-technické vybavenie odlišne pre ústavnú pohotovostnú službu, pre urgentný príjem 1. typu a pre urgentný príjem 2. typu. </w:t>
      </w:r>
    </w:p>
    <w:p w:rsidR="00D056F8">
      <w:pPr>
        <w:bidi w:val="0"/>
        <w:spacing w:after="0" w:line="240" w:lineRule="auto"/>
        <w:jc w:val="both"/>
        <w:rPr>
          <w:rFonts w:ascii="Times New Roman" w:hAnsi="Times New Roman"/>
          <w:lang w:val="sk-SK"/>
        </w:rPr>
      </w:pPr>
      <w:r w:rsidR="004F79A6">
        <w:rPr>
          <w:rFonts w:ascii="Times New Roman" w:hAnsi="Times New Roman"/>
          <w:lang w:val="sk-SK"/>
        </w:rPr>
        <w:t>Ceny zdravotníckej techniky podľa novo definovaného materiálno-technického vybavenia stanoveného všeobecne záväzným právnym predpisom vychádzali z cien zverejňovaných vo verejných obstarávaniach jednotlivých poskytovateľov zdravotnej starostlivosti pre urgentné príjmy.</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Navrhuje sa pevná sieť poskytovateľov ústavnej zdravotnej starostlivosti poskytujúcich ústavnú pohotovostnú službu na urgentnom príjme 2. typu v počte 9 takto:</w:t>
      </w:r>
    </w:p>
    <w:tbl>
      <w:tblPr>
        <w:tblStyle w:val="TableNormal"/>
        <w:tblW w:w="9503"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tblPr>
      <w:tblGrid>
        <w:gridCol w:w="1988"/>
        <w:gridCol w:w="4821"/>
        <w:gridCol w:w="1278"/>
        <w:gridCol w:w="1416"/>
      </w:tblGrid>
      <w:tr>
        <w:tblPrEx>
          <w:tblW w:w="9503"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tblPrEx>
        <w:trPr>
          <w:trHeight w:val="520"/>
        </w:trPr>
        <w:tc>
          <w:tcPr>
            <w:tcW w:w="198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Mesto</w:t>
            </w:r>
          </w:p>
        </w:tc>
        <w:tc>
          <w:tcPr>
            <w:tcW w:w="48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Poskytovateľ zdravotnej starostlivosti (zdravotnícke zariadenie)</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Typ nemocnice</w:t>
            </w:r>
          </w:p>
        </w:tc>
        <w:tc>
          <w:tcPr>
            <w:tcW w:w="141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Typ urgentného príjmu</w:t>
            </w:r>
          </w:p>
        </w:tc>
      </w:tr>
      <w:tr>
        <w:tblPrEx>
          <w:tblW w:w="9503" w:type="dxa"/>
          <w:tblInd w:w="-15" w:type="dxa"/>
          <w:tblCellMar>
            <w:left w:w="65" w:type="dxa"/>
            <w:right w:w="70" w:type="dxa"/>
          </w:tblCellMar>
          <w:tblLook w:val="04A0"/>
        </w:tblPrEx>
        <w:trPr>
          <w:trHeight w:val="780"/>
        </w:trPr>
        <w:tc>
          <w:tcPr>
            <w:tcW w:w="198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Bratislava</w:t>
            </w:r>
          </w:p>
        </w:tc>
        <w:tc>
          <w:tcPr>
            <w:tcW w:w="48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 xml:space="preserve">Univerzitná nemocnica Bratislava </w:t>
            </w:r>
          </w:p>
          <w:p w:rsidR="00D056F8" w:rsidP="004E7B36">
            <w:pPr>
              <w:bidi w:val="0"/>
              <w:spacing w:after="0" w:line="240" w:lineRule="auto"/>
              <w:jc w:val="center"/>
            </w:pPr>
            <w:bookmarkStart w:id="0" w:name="__DdeLink__21651_938437906"/>
            <w:r w:rsidR="008F3F94">
              <w:rPr>
                <w:rFonts w:ascii="Times New Roman" w:hAnsi="Times New Roman"/>
                <w:sz w:val="24"/>
                <w:szCs w:val="24"/>
              </w:rPr>
              <w:t xml:space="preserve">Nemocnica </w:t>
            </w:r>
            <w:bookmarkEnd w:id="0"/>
            <w:r w:rsidR="008F3F94">
              <w:rPr>
                <w:rFonts w:ascii="Times New Roman" w:hAnsi="Times New Roman"/>
                <w:sz w:val="24"/>
                <w:szCs w:val="24"/>
              </w:rPr>
              <w:t xml:space="preserve">akademika Ladislava Dérera </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2.</w:t>
            </w:r>
          </w:p>
        </w:tc>
      </w:tr>
      <w:tr>
        <w:tblPrEx>
          <w:tblW w:w="9503" w:type="dxa"/>
          <w:tblInd w:w="-15" w:type="dxa"/>
          <w:tblCellMar>
            <w:left w:w="65" w:type="dxa"/>
            <w:right w:w="70" w:type="dxa"/>
          </w:tblCellMar>
          <w:tblLook w:val="04A0"/>
        </w:tblPrEx>
        <w:trPr>
          <w:trHeight w:val="520"/>
        </w:trPr>
        <w:tc>
          <w:tcPr>
            <w:tcW w:w="198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Bratislava</w:t>
            </w:r>
          </w:p>
        </w:tc>
        <w:tc>
          <w:tcPr>
            <w:tcW w:w="48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Detská fakultná nemocnica s poliklinikou Bratislava</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2.</w:t>
            </w:r>
          </w:p>
        </w:tc>
      </w:tr>
      <w:tr>
        <w:tblPrEx>
          <w:tblW w:w="9503" w:type="dxa"/>
          <w:tblInd w:w="-15" w:type="dxa"/>
          <w:tblCellMar>
            <w:left w:w="65" w:type="dxa"/>
            <w:right w:w="70" w:type="dxa"/>
          </w:tblCellMar>
          <w:tblLook w:val="04A0"/>
        </w:tblPrEx>
        <w:trPr>
          <w:trHeight w:val="290"/>
        </w:trPr>
        <w:tc>
          <w:tcPr>
            <w:tcW w:w="198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Marin</w:t>
            </w:r>
          </w:p>
        </w:tc>
        <w:tc>
          <w:tcPr>
            <w:tcW w:w="48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Univerzitná nemocnica Martin</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2.</w:t>
            </w:r>
          </w:p>
        </w:tc>
      </w:tr>
      <w:tr>
        <w:tblPrEx>
          <w:tblW w:w="9503" w:type="dxa"/>
          <w:tblInd w:w="-15" w:type="dxa"/>
          <w:tblCellMar>
            <w:left w:w="65" w:type="dxa"/>
            <w:right w:w="70" w:type="dxa"/>
          </w:tblCellMar>
          <w:tblLook w:val="04A0"/>
        </w:tblPrEx>
        <w:trPr>
          <w:trHeight w:val="290"/>
        </w:trPr>
        <w:tc>
          <w:tcPr>
            <w:tcW w:w="198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Košice</w:t>
            </w:r>
          </w:p>
        </w:tc>
        <w:tc>
          <w:tcPr>
            <w:tcW w:w="48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Univerzitná nemocnica L. Pasteura Košice</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2.</w:t>
            </w:r>
          </w:p>
        </w:tc>
      </w:tr>
      <w:tr>
        <w:tblPrEx>
          <w:tblW w:w="9503" w:type="dxa"/>
          <w:tblInd w:w="-15" w:type="dxa"/>
          <w:tblCellMar>
            <w:left w:w="65" w:type="dxa"/>
            <w:right w:w="70" w:type="dxa"/>
          </w:tblCellMar>
          <w:tblLook w:val="04A0"/>
        </w:tblPrEx>
        <w:trPr>
          <w:trHeight w:val="290"/>
        </w:trPr>
        <w:tc>
          <w:tcPr>
            <w:tcW w:w="198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Košice</w:t>
            </w:r>
          </w:p>
        </w:tc>
        <w:tc>
          <w:tcPr>
            <w:tcW w:w="48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Detská fakultná nemocnica Košice</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2.</w:t>
            </w:r>
          </w:p>
        </w:tc>
      </w:tr>
      <w:tr>
        <w:tblPrEx>
          <w:tblW w:w="9503" w:type="dxa"/>
          <w:tblInd w:w="-15" w:type="dxa"/>
          <w:tblCellMar>
            <w:left w:w="65" w:type="dxa"/>
            <w:right w:w="70" w:type="dxa"/>
          </w:tblCellMar>
          <w:tblLook w:val="04A0"/>
        </w:tblPrEx>
        <w:trPr>
          <w:trHeight w:val="520"/>
        </w:trPr>
        <w:tc>
          <w:tcPr>
            <w:tcW w:w="198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Banská Bystrica</w:t>
            </w:r>
          </w:p>
        </w:tc>
        <w:tc>
          <w:tcPr>
            <w:tcW w:w="48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Fakultná nemocnica s poliklinikou F. D. Roosevelta Banská Bystrica</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2.</w:t>
            </w:r>
          </w:p>
        </w:tc>
      </w:tr>
      <w:tr>
        <w:tblPrEx>
          <w:tblW w:w="9503" w:type="dxa"/>
          <w:tblInd w:w="-15" w:type="dxa"/>
          <w:tblCellMar>
            <w:left w:w="65" w:type="dxa"/>
            <w:right w:w="70" w:type="dxa"/>
          </w:tblCellMar>
          <w:tblLook w:val="04A0"/>
        </w:tblPrEx>
        <w:trPr>
          <w:trHeight w:val="520"/>
        </w:trPr>
        <w:tc>
          <w:tcPr>
            <w:tcW w:w="198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Banská Bystrica</w:t>
            </w:r>
          </w:p>
        </w:tc>
        <w:tc>
          <w:tcPr>
            <w:tcW w:w="48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Detská fakultná nemocnica s poliklinikou Banská Bystrica</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2.</w:t>
            </w:r>
          </w:p>
        </w:tc>
      </w:tr>
      <w:tr>
        <w:tblPrEx>
          <w:tblW w:w="9503" w:type="dxa"/>
          <w:tblInd w:w="-15" w:type="dxa"/>
          <w:tblCellMar>
            <w:left w:w="65" w:type="dxa"/>
            <w:right w:w="70" w:type="dxa"/>
          </w:tblCellMar>
          <w:tblLook w:val="04A0"/>
        </w:tblPrEx>
        <w:trPr>
          <w:trHeight w:val="290"/>
        </w:trPr>
        <w:tc>
          <w:tcPr>
            <w:tcW w:w="198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Nitra</w:t>
            </w:r>
          </w:p>
        </w:tc>
        <w:tc>
          <w:tcPr>
            <w:tcW w:w="48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Fakultná nemocnica Nitra</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2.</w:t>
            </w:r>
          </w:p>
        </w:tc>
      </w:tr>
      <w:tr>
        <w:tblPrEx>
          <w:tblW w:w="9503" w:type="dxa"/>
          <w:tblInd w:w="-15" w:type="dxa"/>
          <w:tblCellMar>
            <w:left w:w="65" w:type="dxa"/>
            <w:right w:w="70" w:type="dxa"/>
          </w:tblCellMar>
          <w:tblLook w:val="04A0"/>
        </w:tblPrEx>
        <w:trPr>
          <w:trHeight w:val="290"/>
        </w:trPr>
        <w:tc>
          <w:tcPr>
            <w:tcW w:w="198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Poprad</w:t>
            </w:r>
          </w:p>
        </w:tc>
        <w:tc>
          <w:tcPr>
            <w:tcW w:w="4820"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Poprad, a.s.</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2.</w:t>
            </w:r>
          </w:p>
        </w:tc>
      </w:tr>
    </w:tbl>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Navrhuje sa pevná sieť poskytovateľov ústavnej zdravotnej starostlivosti poskytujúcich ústavnú pohotovostnú službu na urgentnom príjme 1. typu v počte 32 takto:</w:t>
      </w:r>
    </w:p>
    <w:tbl>
      <w:tblPr>
        <w:tblStyle w:val="TableNormal"/>
        <w:tblW w:w="9498" w:type="dxa"/>
        <w:tblInd w:w="-20"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4A0"/>
      </w:tblPr>
      <w:tblGrid>
        <w:gridCol w:w="1958"/>
        <w:gridCol w:w="4846"/>
        <w:gridCol w:w="1276"/>
        <w:gridCol w:w="1418"/>
      </w:tblGrid>
      <w:tr>
        <w:tblPrEx>
          <w:tblW w:w="9498" w:type="dxa"/>
          <w:tblInd w:w="-20" w:type="dxa"/>
          <w:tblBorders>
            <w:top w:val="single" w:sz="8" w:space="0" w:color="00000A"/>
            <w:left w:val="single" w:sz="8"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4A0"/>
        </w:tblPrEx>
        <w:trPr>
          <w:trHeight w:val="520"/>
        </w:trPr>
        <w:tc>
          <w:tcPr>
            <w:tcW w:w="1958" w:type="dxa"/>
            <w:tcBorders>
              <w:top w:val="single" w:sz="8"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Mesto</w:t>
            </w:r>
          </w:p>
        </w:tc>
        <w:tc>
          <w:tcPr>
            <w:tcW w:w="4845" w:type="dxa"/>
            <w:tcBorders>
              <w:top w:val="single" w:sz="8"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Poskytovateľ zdravotnej starostlivosti (zdravotnícke zariadenie)</w:t>
            </w:r>
          </w:p>
        </w:tc>
        <w:tc>
          <w:tcPr>
            <w:tcW w:w="1276" w:type="dxa"/>
            <w:tcBorders>
              <w:top w:val="single" w:sz="8"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Typ nemocnice</w:t>
            </w:r>
          </w:p>
        </w:tc>
        <w:tc>
          <w:tcPr>
            <w:tcW w:w="1418" w:type="dxa"/>
            <w:tcBorders>
              <w:top w:val="single" w:sz="8"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Typ urgentného príjmu</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Košice</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Košice-Šaca a.s. 1. súkromná nemocnica</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Piešťany</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Alexandra Wintera, n.o.</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Trnava</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Fakultná nemocnica Trnava</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Nové Zámky</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Fakultná nemocnica s poliklinikou Nové Zámky</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Prešov</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Fakultná nemocnica s poliklinikou J. A. Reimana Prešov</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Žilina</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Fakultná nemocnica s poliklinikou Žilina</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Trenčín</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Fakultná nemocnica Trenčín</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Skalica</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Fakultná nemocnica s poliklinikou Skalica, a.s.</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Dolný Kubín</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Dolnooravská nemocnica s poliklinikou MUDr. L. N. Jégého Dolný Kubín</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Trstená</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Hornooravská nemocnica s poliklinikou Trstená</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Topolčany</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Svet zdravia Nemocnica Topolčany, a.s.</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Zvolen</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Zvolen a. s.</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Brezno</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s poliklinikou Brezno, n.o.</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Galanta</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s poliklinikou Sv. Lukáša Galanta, a.s.</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Michalovce</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s poliklinikou Štefana Kukuru Michalovce, a.s.</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Dunajská Streda</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s poliklinikou Dunajská Streda, a.s.</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Spišská Nová Ves</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s poliklinikou Spišská Nová Ves, a.s.</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Rožňava</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s poliklinikou sv. Barbory Rožňava, a.s.</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Trebišov</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s poliklinikou Trebišov, a.s.</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Čadca</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Kysucká nemocnica s poliklinikou Čadca</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Liptovský Mikuláš</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 xml:space="preserve">Liptovská nemocnica s poliklinikou MUDr. Ivana Stodolu Liptovský Mikuláš </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Stará Ľubovňa</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Ľubovnianska nemocnica, n.o.</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Humenné</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A. Leňa Humenné, a.s.</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Považská Bystrica</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s poliklinikou Považská Bystrica</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Bojnice</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s poliklinikou Prievidza so sídlom v Bojniciach</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Rimavská Sobota</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Svet zdravia, a.s., Všeobecná nemocnica Rimavská Sobota</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Žiar nad Hronom</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Svet zdravia, a.s. Všeobecná nemocnica v Žiari nad Hronom</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Levice</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Nemocnice s poliklinikami, n.o., miesto prevádzky ZZ Levice</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Bardejov</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Nemocnica s poliklinikou Sv. Jakuba, n.o., Bardejov</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29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Vranov nad Topľou</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Vranovská nemocnica, a.s.</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52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Komárno</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FORLIFE n.o., Všeobecná nemocnica Komárno</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rPr>
                <w:rFonts w:ascii="Times New Roman" w:hAnsi="Times New Roman"/>
                <w:color w:val="000000"/>
                <w:lang w:val="sk-SK" w:eastAsia="sk-SK"/>
              </w:rP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30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Lučenec</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Všeobecná nemocnica s poliklinikou Lučenec, n.o.</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300"/>
        </w:trPr>
        <w:tc>
          <w:tcPr>
            <w:tcW w:w="1958" w:type="dxa"/>
            <w:tcBorders>
              <w:top w:val="single" w:sz="4" w:space="0" w:color="00000A"/>
              <w:left w:val="single" w:sz="8" w:space="0" w:color="00000A"/>
              <w:bottom w:val="single" w:sz="4" w:space="0" w:color="00000A"/>
              <w:right w:val="single" w:sz="4" w:space="0" w:color="00000A"/>
            </w:tcBorders>
            <w:tcMar>
              <w:left w:w="50" w:type="dxa"/>
            </w:tcMar>
            <w:textDirection w:val="lrTb"/>
            <w:vAlign w:val="center"/>
          </w:tcPr>
          <w:p w:rsidR="00D056F8">
            <w:pPr>
              <w:widowControl/>
              <w:bidi w:val="0"/>
              <w:spacing w:after="0" w:line="240" w:lineRule="auto"/>
              <w:jc w:val="center"/>
            </w:pPr>
            <w:bookmarkStart w:id="1" w:name="__DdeLink__20446_938437906"/>
            <w:bookmarkEnd w:id="1"/>
            <w:r w:rsidR="004F79A6">
              <w:rPr>
                <w:rFonts w:ascii="Times New Roman" w:hAnsi="Times New Roman"/>
                <w:color w:val="000000"/>
                <w:lang w:val="sk-SK" w:eastAsia="sk-SK"/>
              </w:rPr>
              <w:t>Bratislava</w:t>
            </w:r>
          </w:p>
        </w:tc>
        <w:tc>
          <w:tcPr>
            <w:tcW w:w="484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Univerzitná nemocnica Bratislava</w:t>
            </w:r>
          </w:p>
        </w:tc>
        <w:tc>
          <w:tcPr>
            <w:tcW w:w="1276"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všeobecná</w:t>
            </w:r>
          </w:p>
        </w:tc>
        <w:tc>
          <w:tcPr>
            <w:tcW w:w="1418" w:type="dxa"/>
            <w:tcBorders>
              <w:top w:val="single" w:sz="4" w:space="0" w:color="00000A"/>
              <w:left w:val="single" w:sz="8" w:space="0" w:color="00000A"/>
              <w:bottom w:val="single" w:sz="4" w:space="0" w:color="00000A"/>
              <w:right w:val="single" w:sz="8" w:space="0" w:color="00000A"/>
            </w:tcBorders>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1.</w:t>
            </w:r>
          </w:p>
        </w:tc>
      </w:tr>
      <w:tr>
        <w:tblPrEx>
          <w:tblW w:w="9498" w:type="dxa"/>
          <w:tblInd w:w="-20" w:type="dxa"/>
          <w:tblCellMar>
            <w:left w:w="50" w:type="dxa"/>
            <w:right w:w="70" w:type="dxa"/>
          </w:tblCellMar>
          <w:tblLook w:val="04A0"/>
        </w:tblPrEx>
        <w:trPr>
          <w:trHeight w:val="300"/>
        </w:trPr>
        <w:tc>
          <w:tcPr>
            <w:tcW w:w="1958" w:type="dxa"/>
            <w:tcBorders>
              <w:top w:val="single" w:sz="8" w:space="0" w:color="00000A"/>
              <w:left w:val="single" w:sz="8" w:space="0" w:color="00000A"/>
              <w:bottom w:val="single" w:sz="8" w:space="0" w:color="00000A"/>
              <w:right w:val="single" w:sz="4" w:space="0" w:color="00000A"/>
            </w:tcBorders>
            <w:tcMar>
              <w:left w:w="50" w:type="dxa"/>
            </w:tcMar>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Bratislava</w:t>
            </w:r>
          </w:p>
        </w:tc>
        <w:tc>
          <w:tcPr>
            <w:tcW w:w="4845" w:type="dxa"/>
            <w:tcBorders>
              <w:top w:val="single" w:sz="8" w:space="0" w:color="00000A"/>
              <w:left w:val="single" w:sz="4" w:space="0" w:color="00000A"/>
              <w:bottom w:val="single" w:sz="8" w:space="0" w:color="00000A"/>
              <w:right w:val="single" w:sz="4" w:space="0" w:color="00000A"/>
            </w:tcBorders>
            <w:tcMar>
              <w:left w:w="65" w:type="dxa"/>
            </w:tcMar>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Univerzitná nemocnica Bratislava</w:t>
            </w:r>
          </w:p>
        </w:tc>
        <w:tc>
          <w:tcPr>
            <w:tcW w:w="1276" w:type="dxa"/>
            <w:tcBorders>
              <w:top w:val="single" w:sz="8" w:space="0" w:color="00000A"/>
              <w:left w:val="single" w:sz="4" w:space="0" w:color="00000A"/>
              <w:bottom w:val="single" w:sz="8" w:space="0" w:color="00000A"/>
              <w:right w:val="single" w:sz="4" w:space="0" w:color="00000A"/>
            </w:tcBorders>
            <w:tcMar>
              <w:left w:w="65" w:type="dxa"/>
            </w:tcMar>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všeobecná</w:t>
            </w:r>
          </w:p>
        </w:tc>
        <w:tc>
          <w:tcPr>
            <w:tcW w:w="1418" w:type="dxa"/>
            <w:tcBorders>
              <w:top w:val="single" w:sz="8" w:space="0" w:color="00000A"/>
              <w:left w:val="single" w:sz="8" w:space="0" w:color="00000A"/>
              <w:bottom w:val="single" w:sz="8" w:space="0" w:color="00000A"/>
              <w:right w:val="single" w:sz="8" w:space="0" w:color="00000A"/>
            </w:tcBorders>
            <w:textDirection w:val="lrTb"/>
            <w:vAlign w:val="center"/>
          </w:tcPr>
          <w:p w:rsidR="00D056F8">
            <w:pPr>
              <w:widowControl/>
              <w:bidi w:val="0"/>
              <w:spacing w:after="0" w:line="240" w:lineRule="auto"/>
              <w:jc w:val="center"/>
            </w:pPr>
            <w:r w:rsidR="004F79A6">
              <w:rPr>
                <w:rFonts w:ascii="Times New Roman" w:hAnsi="Times New Roman"/>
                <w:color w:val="000000"/>
                <w:lang w:val="sk-SK" w:eastAsia="sk-SK"/>
              </w:rPr>
              <w:t>1.</w:t>
            </w:r>
          </w:p>
        </w:tc>
      </w:tr>
    </w:tbl>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Navrhuje sa zachovať aj súčasná ústavná pohotovostná služba podľa počtu ústavných zdravotníckych zariadení - nemocníc.</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b/>
          <w:lang w:val="sk-SK"/>
        </w:rPr>
      </w:pPr>
      <w:r w:rsidR="004F79A6">
        <w:rPr>
          <w:rFonts w:ascii="Times New Roman" w:hAnsi="Times New Roman"/>
          <w:b/>
          <w:lang w:val="sk-SK"/>
        </w:rPr>
        <w:t xml:space="preserve">Stanovenie výšky ekonomicky oprávnených nákladov </w:t>
      </w:r>
    </w:p>
    <w:p w:rsidR="00D056F8">
      <w:pPr>
        <w:bidi w:val="0"/>
        <w:spacing w:after="0" w:line="240" w:lineRule="auto"/>
        <w:ind w:firstLine="709"/>
        <w:jc w:val="both"/>
        <w:rPr>
          <w:rFonts w:ascii="Times New Roman" w:hAnsi="Times New Roman"/>
          <w:lang w:val="sk-SK"/>
        </w:rPr>
      </w:pPr>
      <w:r w:rsidR="004F79A6">
        <w:rPr>
          <w:rFonts w:ascii="Times New Roman" w:hAnsi="Times New Roman"/>
          <w:lang w:val="sk-SK"/>
        </w:rPr>
        <w:t>Stanovenie výšky ekonomicky oprávnených nákladov vychádza z Výkazov NCZI E 1-04 a E 2-01 o ekonomike organizácií v zdravotníctve a z údajov získaných od súčasných poskytovateľov ústavnej pohotovostnej služba (ostatné náklady) a zahŕňa náklady na nové ohodnotenie práce zdravotníckych pracovníkov lekára a zahŕňa náklady na materiálno-technické vybavenie urgentných príjmov podľa jednotlivých typov. Vyžiadali sme si od zástupcov poskytovateľov urgentných príjmov podrobnú kalkuláciu nákladov podľa účtovnej osnovy, na základe ktorých sme si simulovali náklady a výnosy jednotlivých zložiek. Údaje o nákladovosti jednotlivých zložiek ústavnej pohotovostnej služby budú po zavedení nových zložiek do praxe prehodnocované a v prípade potreby dôjde k úprave financovania.</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b/>
          <w:lang w:val="sk-SK"/>
        </w:rPr>
      </w:pPr>
      <w:r w:rsidR="004F79A6">
        <w:rPr>
          <w:rFonts w:ascii="Times New Roman" w:hAnsi="Times New Roman"/>
          <w:b/>
          <w:lang w:val="sk-SK"/>
        </w:rPr>
        <w:t>Financovanie súčasných urgentných príjmov a ústavnej pohotovostnej služby zo zdravotných poisťovní – štruktúra:</w:t>
      </w:r>
    </w:p>
    <w:p w:rsidR="00D056F8">
      <w:pPr>
        <w:pStyle w:val="ListParagraph"/>
        <w:numPr>
          <w:numId w:val="1"/>
        </w:numPr>
        <w:bidi w:val="0"/>
        <w:spacing w:after="200"/>
        <w:contextualSpacing/>
        <w:jc w:val="both"/>
        <w:rPr>
          <w:rFonts w:ascii="Times New Roman" w:hAnsi="Times New Roman"/>
          <w:sz w:val="22"/>
          <w:szCs w:val="22"/>
        </w:rPr>
      </w:pPr>
      <w:r w:rsidR="004F79A6">
        <w:rPr>
          <w:rFonts w:ascii="Times New Roman" w:hAnsi="Times New Roman"/>
          <w:sz w:val="22"/>
          <w:szCs w:val="22"/>
        </w:rPr>
        <w:t>úhrada za výkony podľa zoznamu zdravotných výkonov – 78%</w:t>
      </w:r>
    </w:p>
    <w:p w:rsidR="00D056F8">
      <w:pPr>
        <w:pStyle w:val="ListParagraph"/>
        <w:numPr>
          <w:numId w:val="1"/>
        </w:numPr>
        <w:bidi w:val="0"/>
        <w:spacing w:after="200"/>
        <w:contextualSpacing/>
        <w:jc w:val="both"/>
        <w:rPr>
          <w:rFonts w:ascii="Times New Roman" w:hAnsi="Times New Roman"/>
          <w:sz w:val="22"/>
          <w:szCs w:val="22"/>
        </w:rPr>
      </w:pPr>
      <w:r w:rsidR="004F79A6">
        <w:rPr>
          <w:rFonts w:ascii="Times New Roman" w:hAnsi="Times New Roman"/>
          <w:sz w:val="22"/>
          <w:szCs w:val="22"/>
        </w:rPr>
        <w:t>úhrada za expektačné lôžka pre dospelých – 14,4%</w:t>
      </w:r>
    </w:p>
    <w:p w:rsidR="00D056F8">
      <w:pPr>
        <w:pStyle w:val="ListParagraph"/>
        <w:numPr>
          <w:numId w:val="1"/>
        </w:numPr>
        <w:bidi w:val="0"/>
        <w:spacing w:after="200"/>
        <w:contextualSpacing/>
        <w:jc w:val="both"/>
        <w:rPr>
          <w:rFonts w:ascii="Times New Roman" w:hAnsi="Times New Roman"/>
          <w:sz w:val="22"/>
          <w:szCs w:val="22"/>
        </w:rPr>
      </w:pPr>
      <w:r w:rsidR="004F79A6">
        <w:rPr>
          <w:rFonts w:ascii="Times New Roman" w:hAnsi="Times New Roman"/>
          <w:sz w:val="22"/>
          <w:szCs w:val="22"/>
        </w:rPr>
        <w:t>úhrada za expektačné pediatrické lôžka – 1,7%</w:t>
      </w:r>
    </w:p>
    <w:p w:rsidR="00D056F8">
      <w:pPr>
        <w:pStyle w:val="ListParagraph"/>
        <w:numPr>
          <w:numId w:val="1"/>
        </w:numPr>
        <w:bidi w:val="0"/>
        <w:spacing w:after="200"/>
        <w:contextualSpacing/>
        <w:jc w:val="both"/>
        <w:rPr>
          <w:rFonts w:ascii="Times New Roman" w:hAnsi="Times New Roman"/>
          <w:sz w:val="22"/>
          <w:szCs w:val="22"/>
        </w:rPr>
      </w:pPr>
      <w:r w:rsidR="004F79A6">
        <w:rPr>
          <w:rFonts w:ascii="Times New Roman" w:hAnsi="Times New Roman"/>
          <w:sz w:val="22"/>
          <w:szCs w:val="22"/>
        </w:rPr>
        <w:t>úhrada za pripočítateľné položky, úhrada za lieky „A“ – 1,8%</w:t>
      </w:r>
    </w:p>
    <w:p w:rsidR="00D056F8">
      <w:pPr>
        <w:pStyle w:val="ListParagraph"/>
        <w:numPr>
          <w:numId w:val="1"/>
        </w:numPr>
        <w:bidi w:val="0"/>
        <w:spacing w:after="200"/>
        <w:contextualSpacing/>
        <w:jc w:val="both"/>
        <w:rPr>
          <w:rFonts w:ascii="Times New Roman" w:hAnsi="Times New Roman"/>
          <w:sz w:val="22"/>
          <w:szCs w:val="22"/>
        </w:rPr>
      </w:pPr>
      <w:r w:rsidR="004F79A6">
        <w:rPr>
          <w:rFonts w:ascii="Times New Roman" w:hAnsi="Times New Roman"/>
          <w:sz w:val="22"/>
          <w:szCs w:val="22"/>
        </w:rPr>
        <w:t>úhrada za výkony SVLZ – 3%</w:t>
      </w:r>
    </w:p>
    <w:p w:rsidR="00D056F8">
      <w:pPr>
        <w:bidi w:val="0"/>
        <w:spacing w:after="0" w:line="240" w:lineRule="auto"/>
        <w:contextualSpacing/>
        <w:jc w:val="both"/>
        <w:rPr>
          <w:rFonts w:ascii="Times New Roman" w:hAnsi="Times New Roman"/>
          <w:lang w:val="sk-SK"/>
        </w:rPr>
      </w:pPr>
    </w:p>
    <w:p w:rsidR="00D056F8">
      <w:pPr>
        <w:bidi w:val="0"/>
        <w:spacing w:after="0" w:line="240" w:lineRule="auto"/>
        <w:jc w:val="both"/>
        <w:rPr>
          <w:rFonts w:ascii="Times New Roman" w:hAnsi="Times New Roman"/>
          <w:b/>
          <w:lang w:val="sk-SK"/>
        </w:rPr>
      </w:pPr>
      <w:r w:rsidR="004F79A6">
        <w:rPr>
          <w:rFonts w:ascii="Times New Roman" w:hAnsi="Times New Roman"/>
          <w:b/>
          <w:lang w:val="sk-SK"/>
        </w:rPr>
        <w:t>Financovanie od obyvateľstva:</w:t>
      </w:r>
    </w:p>
    <w:p w:rsidR="00D056F8">
      <w:pPr>
        <w:pStyle w:val="ListParagraph"/>
        <w:numPr>
          <w:numId w:val="1"/>
        </w:numPr>
        <w:bidi w:val="0"/>
        <w:spacing w:after="200"/>
        <w:contextualSpacing/>
        <w:jc w:val="both"/>
        <w:rPr>
          <w:rFonts w:ascii="Times New Roman" w:hAnsi="Times New Roman"/>
          <w:sz w:val="22"/>
          <w:szCs w:val="22"/>
        </w:rPr>
      </w:pPr>
      <w:r w:rsidR="004F79A6">
        <w:rPr>
          <w:rFonts w:ascii="Times New Roman" w:hAnsi="Times New Roman"/>
          <w:sz w:val="22"/>
          <w:szCs w:val="22"/>
        </w:rPr>
        <w:t>poplatky -  1,99 eur/návšteva – predstavujú 4,3% z celkových výnosov ústavnej pohotovostnej služby</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Súčasný systém financovania ústavnej pohotovostnej služby je orientovaný na výkonovú zložku úhrady, nemá žiadnu paušálnu zložku úhrady, ktorá by slúžila na vykrytie nákladov poskytovateľa, ktoré nie sú zabezpečené cez výkonovú zložku úhrady a systém požaduje prevádzkovanie urgentných príjmov aj v dobe napr. nízkej návštevnosti. V súčasnosti celý „segment“ urgentných príjmov bol stratový od 12% do 47%.</w:t>
      </w:r>
    </w:p>
    <w:p w:rsidR="00D056F8">
      <w:pPr>
        <w:bidi w:val="0"/>
        <w:spacing w:after="0" w:line="240" w:lineRule="auto"/>
        <w:jc w:val="both"/>
        <w:rPr>
          <w:rFonts w:ascii="Times New Roman" w:hAnsi="Times New Roman"/>
          <w:b/>
          <w:lang w:val="sk-SK"/>
        </w:rPr>
      </w:pPr>
    </w:p>
    <w:p w:rsidR="00D056F8">
      <w:pPr>
        <w:bidi w:val="0"/>
        <w:spacing w:after="0" w:line="240" w:lineRule="auto"/>
        <w:jc w:val="both"/>
        <w:rPr>
          <w:rFonts w:ascii="Times New Roman" w:hAnsi="Times New Roman"/>
          <w:b/>
          <w:lang w:val="sk-SK"/>
        </w:rPr>
      </w:pPr>
      <w:r w:rsidR="004F79A6">
        <w:rPr>
          <w:rFonts w:ascii="Times New Roman" w:hAnsi="Times New Roman"/>
          <w:b/>
          <w:lang w:val="sk-SK"/>
        </w:rPr>
        <w:t>Financovanie podľa novej právnej úpravy:</w:t>
      </w:r>
    </w:p>
    <w:p w:rsidR="00D056F8">
      <w:pPr>
        <w:bidi w:val="0"/>
        <w:spacing w:after="0" w:line="240" w:lineRule="auto"/>
        <w:jc w:val="both"/>
        <w:rPr>
          <w:rFonts w:ascii="Times New Roman" w:hAnsi="Times New Roman"/>
          <w:lang w:val="sk-SK"/>
        </w:rPr>
      </w:pPr>
      <w:r w:rsidR="004F79A6">
        <w:rPr>
          <w:rFonts w:ascii="Times New Roman" w:hAnsi="Times New Roman"/>
          <w:u w:val="single"/>
          <w:lang w:val="sk-SK"/>
        </w:rPr>
        <w:t xml:space="preserve">Zdravotné poisťovne podľa navrhovanej úpravy musia uzatvoriť zmluvu iba s </w:t>
      </w:r>
      <w:r w:rsidR="004F79A6">
        <w:rPr>
          <w:rFonts w:ascii="Times New Roman" w:hAnsi="Times New Roman"/>
          <w:lang w:val="sk-SK"/>
        </w:rPr>
        <w:t>poskytovateľom, ktorý je súčasťou pevnej siete poskytovateľov ústavnej starostlivosti a spĺňa podmienky, t. j.</w:t>
      </w:r>
    </w:p>
    <w:p w:rsidR="00D056F8">
      <w:pPr>
        <w:pStyle w:val="ListParagraph"/>
        <w:numPr>
          <w:numId w:val="2"/>
        </w:numPr>
        <w:bidi w:val="0"/>
        <w:jc w:val="both"/>
        <w:rPr>
          <w:rFonts w:ascii="Times New Roman" w:hAnsi="Times New Roman"/>
          <w:sz w:val="22"/>
          <w:szCs w:val="22"/>
          <w:u w:val="single"/>
        </w:rPr>
      </w:pPr>
      <w:r w:rsidR="004F79A6">
        <w:rPr>
          <w:rFonts w:ascii="Times New Roman" w:hAnsi="Times New Roman"/>
          <w:sz w:val="22"/>
          <w:szCs w:val="22"/>
        </w:rPr>
        <w:t xml:space="preserve">má povolenie na poskytovanie ústavnej zdravotnej starostlivosti, </w:t>
      </w:r>
    </w:p>
    <w:p w:rsidR="00D056F8">
      <w:pPr>
        <w:pStyle w:val="ListParagraph"/>
        <w:numPr>
          <w:numId w:val="2"/>
        </w:numPr>
        <w:bidi w:val="0"/>
        <w:jc w:val="both"/>
        <w:rPr>
          <w:rFonts w:ascii="Times New Roman" w:hAnsi="Times New Roman"/>
          <w:sz w:val="22"/>
          <w:szCs w:val="22"/>
          <w:u w:val="single"/>
        </w:rPr>
      </w:pPr>
      <w:r w:rsidR="004F79A6">
        <w:rPr>
          <w:rFonts w:ascii="Times New Roman" w:hAnsi="Times New Roman"/>
          <w:sz w:val="22"/>
          <w:szCs w:val="22"/>
        </w:rPr>
        <w:t xml:space="preserve">poskytuje urgentnú zdravotnú starostlivosť na urgentnom príjme 1. typu alebo 2. typu, </w:t>
      </w:r>
    </w:p>
    <w:p w:rsidR="00D056F8">
      <w:pPr>
        <w:pStyle w:val="ListParagraph"/>
        <w:numPr>
          <w:numId w:val="2"/>
        </w:numPr>
        <w:bidi w:val="0"/>
        <w:jc w:val="both"/>
        <w:rPr>
          <w:rFonts w:ascii="Times New Roman" w:hAnsi="Times New Roman"/>
          <w:sz w:val="22"/>
          <w:szCs w:val="22"/>
          <w:u w:val="single"/>
        </w:rPr>
      </w:pPr>
      <w:r w:rsidR="004F79A6">
        <w:rPr>
          <w:rFonts w:ascii="Times New Roman" w:hAnsi="Times New Roman"/>
          <w:sz w:val="22"/>
          <w:szCs w:val="22"/>
        </w:rPr>
        <w:t>spĺňa minimálne požiadavky na personálne zabezpečenie a materiálno-technické vybavenie.</w:t>
      </w:r>
    </w:p>
    <w:p w:rsidR="00D056F8">
      <w:pPr>
        <w:bidi w:val="0"/>
        <w:spacing w:after="0" w:line="240" w:lineRule="auto"/>
        <w:jc w:val="both"/>
        <w:rPr>
          <w:rFonts w:ascii="Times New Roman" w:hAnsi="Times New Roman"/>
          <w:b/>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K naplneniu pevnej siete urgentných príjmov 1. typu a 2. typu predpokladáme, že dôjde postupne najneskôr do roku 2021.</w:t>
      </w:r>
    </w:p>
    <w:p w:rsidR="00D056F8">
      <w:pPr>
        <w:widowControl/>
        <w:bidi w:val="0"/>
        <w:spacing w:after="0" w:line="240" w:lineRule="auto"/>
        <w:jc w:val="both"/>
        <w:rPr>
          <w:rFonts w:ascii="Times New Roman" w:hAnsi="Times New Roman"/>
          <w:lang w:val="sk-SK" w:eastAsia="sk-SK"/>
        </w:rPr>
      </w:pPr>
      <w:r w:rsidR="004F79A6">
        <w:rPr>
          <w:rFonts w:ascii="Times New Roman" w:hAnsi="Times New Roman"/>
          <w:lang w:val="sk-SK"/>
        </w:rPr>
        <w:t>Za rok 2016 zdravotné poisťovne uhradili za výkony na ústavnej pohotovostnej službe sumu          21 904 082,49</w:t>
      </w:r>
      <w:r w:rsidR="004F79A6">
        <w:rPr>
          <w:rFonts w:ascii="Times New Roman" w:hAnsi="Times New Roman"/>
          <w:lang w:val="sk-SK" w:eastAsia="sk-SK"/>
        </w:rPr>
        <w:t xml:space="preserve"> </w:t>
      </w:r>
      <w:r w:rsidR="004F79A6">
        <w:rPr>
          <w:rFonts w:ascii="Times New Roman" w:hAnsi="Times New Roman"/>
          <w:lang w:val="sk-SK"/>
        </w:rPr>
        <w:t>eura, čo slúži ako predpoklad aj na ďalšie roky.</w:t>
      </w:r>
    </w:p>
    <w:p w:rsidR="00D056F8">
      <w:pPr>
        <w:bidi w:val="0"/>
        <w:spacing w:after="0" w:line="240" w:lineRule="auto"/>
        <w:jc w:val="both"/>
        <w:rPr>
          <w:rFonts w:ascii="Times New Roman" w:hAnsi="Times New Roman"/>
          <w:lang w:val="sk-SK"/>
        </w:rPr>
      </w:pPr>
      <w:r w:rsidR="004F79A6">
        <w:rPr>
          <w:rFonts w:ascii="Times New Roman" w:hAnsi="Times New Roman"/>
          <w:lang w:val="sk-SK"/>
        </w:rPr>
        <w:t>Pri stanovení financovania pevnej siete urgentných príjmov 1. typu a 2. typu sme vychádzali zo zákonných požiadaviek pre stanovenie mzdových nárokov zdravotníckych pracovníkov a z minimálneho materiálno-technického vybavenia, čo znamená, že v roku 2021 bude potrebná celková suma 42 mil. eur na celý segment. Stanovená suma v sebe zahŕňa doterajšiu sumu 21 mil. eur platenú zdravotnými poisťovňami, a sumu dofinancovania. Ide o kvalifikovaný odhad, ktorý však môže byť nižší vzhľadom na postupné profilovanie urgentných príjmov 1. typu a 2. typu, odosielaním polytraum záchrannými zložkami na tieto vybudované urgentné príjmy a následným znižovaním výkonov na ostatných ústavných pohotovostných službách.</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Predpokladáme, že v roku 2018 sa podarí vybudovať 3 urgentné príjmy 2. typu (BA – detská, BA – dospelý, PP – dospelý), v roku 2019  predpokladáme, že sa počet urgentných príjmov 2. typu zvýši  na počet 6 (BB – dospelý aj detský, KE), predpokladáme, že urgentných príjmov 1. typu bude celkovo 17, v roku 2020 predpokladáme, že počet urgentných príjmov 2. typu zvýši na počet 8 (NR), predpokladáme, že urgentných príjmov 1. typu bude celkovo 24 a až v roku 2021 bude celkový počet urgentných príjmov 2. typu 9 (MT) a urgentných príjmov 1. typu bude 32. Počty ústavných pohotovostných služieb zatiaľ ponechávame v maximálnych číslach, pretože nevieme predpokladať ako sa zmení distribúcia pacientov pre urgentné typy 1. typu a 2. typu.</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Pri výpočte mzdových nákladov sme vychádzali z minimálnych mzdových nárokov, ktoré vyplývajú jednotlivým zdravotníckym pracovníkom zo zákona č. 578/2004 Z. z. o poskytovateľoch zdravotnej starostlivosti a zo Zákonníka práce. </w:t>
      </w:r>
    </w:p>
    <w:p w:rsidR="00D056F8">
      <w:pPr>
        <w:bidi w:val="0"/>
        <w:spacing w:after="0" w:line="240" w:lineRule="auto"/>
        <w:jc w:val="both"/>
        <w:rPr>
          <w:rFonts w:ascii="Times New Roman" w:hAnsi="Times New Roman"/>
          <w:b/>
          <w:lang w:val="sk-SK"/>
        </w:rPr>
      </w:pPr>
      <w:r w:rsidR="004F79A6">
        <w:rPr>
          <w:rFonts w:ascii="Times New Roman" w:hAnsi="Times New Roman"/>
          <w:lang w:val="sk-SK"/>
        </w:rPr>
        <w:t>Navrhované financovanie bude na základe vyhodnocovania systému v praxi následne dolaďované.</w:t>
      </w:r>
    </w:p>
    <w:p w:rsidR="00D056F8">
      <w:pPr>
        <w:bidi w:val="0"/>
        <w:spacing w:after="0" w:line="240" w:lineRule="auto"/>
        <w:jc w:val="both"/>
        <w:rPr>
          <w:rFonts w:ascii="Times New Roman" w:hAnsi="Times New Roman"/>
          <w:b/>
          <w:u w:val="single"/>
          <w:lang w:val="sk-SK"/>
        </w:rPr>
      </w:pPr>
    </w:p>
    <w:p w:rsidR="00D056F8">
      <w:pPr>
        <w:bidi w:val="0"/>
        <w:spacing w:after="0" w:line="240" w:lineRule="auto"/>
        <w:jc w:val="both"/>
        <w:rPr>
          <w:rFonts w:ascii="Times New Roman" w:hAnsi="Times New Roman"/>
          <w:b/>
          <w:u w:val="single"/>
          <w:lang w:val="sk-SK"/>
        </w:rPr>
      </w:pPr>
      <w:r w:rsidR="004F79A6">
        <w:rPr>
          <w:rFonts w:ascii="Times New Roman" w:hAnsi="Times New Roman"/>
          <w:b/>
          <w:u w:val="single"/>
          <w:lang w:val="sk-SK"/>
        </w:rPr>
        <w:t xml:space="preserve">Návrh na financovanie novej ústavnej pohotovostnej služby </w:t>
      </w:r>
    </w:p>
    <w:p w:rsidR="00D056F8">
      <w:pPr>
        <w:pStyle w:val="ListParagraph"/>
        <w:numPr>
          <w:numId w:val="2"/>
        </w:numPr>
        <w:bidi w:val="0"/>
        <w:jc w:val="both"/>
        <w:rPr>
          <w:rFonts w:ascii="Times New Roman" w:hAnsi="Times New Roman"/>
          <w:b/>
          <w:sz w:val="22"/>
          <w:szCs w:val="22"/>
        </w:rPr>
      </w:pPr>
      <w:r w:rsidR="004F79A6">
        <w:rPr>
          <w:rFonts w:ascii="Times New Roman" w:hAnsi="Times New Roman"/>
          <w:b/>
          <w:sz w:val="22"/>
          <w:szCs w:val="22"/>
        </w:rPr>
        <w:t>navrhujeme ponechať súčasné financovanie zamerané na výkonovú zložku – nenavrhujeme regulovať túto zložku</w:t>
      </w:r>
    </w:p>
    <w:tbl>
      <w:tblPr>
        <w:tblStyle w:val="TableNormal"/>
        <w:tblW w:w="3969" w:type="dxa"/>
        <w:tblCellMar>
          <w:left w:w="70" w:type="dxa"/>
          <w:right w:w="70" w:type="dxa"/>
        </w:tblCellMar>
        <w:tblLook w:val="04A0"/>
      </w:tblPr>
      <w:tblGrid>
        <w:gridCol w:w="3969"/>
      </w:tblGrid>
      <w:tr>
        <w:tblPrEx>
          <w:tblW w:w="3969" w:type="dxa"/>
          <w:tblCellMar>
            <w:left w:w="70" w:type="dxa"/>
            <w:right w:w="70" w:type="dxa"/>
          </w:tblCellMar>
          <w:tblLook w:val="04A0"/>
        </w:tblPrEx>
        <w:trPr>
          <w:trHeight w:val="290"/>
        </w:trPr>
        <w:tc>
          <w:tcPr>
            <w:tcW w:w="396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b/>
                <w:bCs/>
                <w:color w:val="000000"/>
                <w:lang w:val="sk-SK" w:eastAsia="sk-SK"/>
              </w:rPr>
            </w:pPr>
          </w:p>
          <w:p w:rsidR="00D056F8">
            <w:pPr>
              <w:widowControl/>
              <w:bidi w:val="0"/>
              <w:spacing w:after="0" w:line="240" w:lineRule="auto"/>
              <w:rPr>
                <w:rFonts w:ascii="Times New Roman" w:hAnsi="Times New Roman"/>
                <w:b/>
                <w:bCs/>
                <w:color w:val="000000"/>
                <w:lang w:val="sk-SK" w:eastAsia="sk-SK"/>
              </w:rPr>
            </w:pPr>
            <w:r w:rsidR="004F79A6">
              <w:rPr>
                <w:rFonts w:ascii="Times New Roman" w:hAnsi="Times New Roman"/>
                <w:b/>
                <w:bCs/>
                <w:color w:val="000000"/>
                <w:lang w:val="sk-SK" w:eastAsia="sk-SK"/>
              </w:rPr>
              <w:t>Východiská pre mzdové nároky:</w:t>
            </w:r>
          </w:p>
        </w:tc>
      </w:tr>
      <w:tr>
        <w:tblPrEx>
          <w:tblW w:w="3969" w:type="dxa"/>
          <w:tblCellMar>
            <w:left w:w="70" w:type="dxa"/>
            <w:right w:w="70" w:type="dxa"/>
          </w:tblCellMar>
          <w:tblLook w:val="04A0"/>
        </w:tblPrEx>
        <w:trPr>
          <w:trHeight w:val="290"/>
        </w:trPr>
        <w:tc>
          <w:tcPr>
            <w:tcW w:w="396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b/>
                <w:bCs/>
                <w:color w:val="000000"/>
                <w:lang w:val="sk-SK" w:eastAsia="sk-SK"/>
              </w:rPr>
            </w:pPr>
            <w:r w:rsidR="004F79A6">
              <w:rPr>
                <w:rFonts w:ascii="Times New Roman" w:hAnsi="Times New Roman"/>
                <w:b/>
                <w:bCs/>
                <w:color w:val="000000"/>
                <w:lang w:val="sk-SK" w:eastAsia="sk-SK"/>
              </w:rPr>
              <w:t>v dennej a nočnej smene:</w:t>
            </w:r>
          </w:p>
        </w:tc>
      </w:tr>
      <w:tr>
        <w:tblPrEx>
          <w:tblW w:w="3969" w:type="dxa"/>
          <w:tblCellMar>
            <w:left w:w="70" w:type="dxa"/>
            <w:right w:w="70" w:type="dxa"/>
          </w:tblCellMar>
          <w:tblLook w:val="04A0"/>
        </w:tblPrEx>
        <w:trPr>
          <w:trHeight w:val="290"/>
        </w:trPr>
        <w:tc>
          <w:tcPr>
            <w:tcW w:w="396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1 sestra</w:t>
            </w:r>
          </w:p>
        </w:tc>
      </w:tr>
      <w:tr>
        <w:tblPrEx>
          <w:tblW w:w="3969" w:type="dxa"/>
          <w:tblCellMar>
            <w:left w:w="70" w:type="dxa"/>
            <w:right w:w="70" w:type="dxa"/>
          </w:tblCellMar>
          <w:tblLook w:val="04A0"/>
        </w:tblPrEx>
        <w:trPr>
          <w:trHeight w:val="290"/>
        </w:trPr>
        <w:tc>
          <w:tcPr>
            <w:tcW w:w="396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1 lekár dostupný v rámci ÚZZ</w:t>
            </w:r>
          </w:p>
        </w:tc>
      </w:tr>
    </w:tbl>
    <w:p w:rsidR="00D056F8">
      <w:pPr>
        <w:bidi w:val="0"/>
        <w:spacing w:after="0" w:line="240" w:lineRule="auto"/>
        <w:jc w:val="both"/>
        <w:rPr>
          <w:rFonts w:ascii="Times New Roman" w:hAnsi="Times New Roman"/>
          <w:b/>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mzdové náklady ročné pre rok 2018 predstavujú sumu: 185 574,06 eur</w:t>
      </w:r>
    </w:p>
    <w:p w:rsidR="00D056F8">
      <w:pPr>
        <w:bidi w:val="0"/>
        <w:spacing w:after="0" w:line="240" w:lineRule="auto"/>
        <w:jc w:val="both"/>
        <w:rPr>
          <w:rFonts w:ascii="Times New Roman" w:hAnsi="Times New Roman"/>
          <w:lang w:val="sk-SK"/>
        </w:rPr>
      </w:pPr>
      <w:r w:rsidR="004F79A6">
        <w:rPr>
          <w:rFonts w:ascii="Times New Roman" w:hAnsi="Times New Roman"/>
          <w:lang w:val="sk-SK"/>
        </w:rPr>
        <w:t>mzdové náklady ročné pre rok 2019 predstavujú sumu: 192 288,91 eur</w:t>
      </w:r>
    </w:p>
    <w:p w:rsidR="00D056F8">
      <w:pPr>
        <w:bidi w:val="0"/>
        <w:spacing w:after="0" w:line="240" w:lineRule="auto"/>
        <w:jc w:val="both"/>
        <w:rPr>
          <w:rFonts w:ascii="Times New Roman" w:hAnsi="Times New Roman"/>
          <w:lang w:val="sk-SK"/>
        </w:rPr>
      </w:pPr>
      <w:r w:rsidR="004F79A6">
        <w:rPr>
          <w:rFonts w:ascii="Times New Roman" w:hAnsi="Times New Roman"/>
          <w:lang w:val="sk-SK"/>
        </w:rPr>
        <w:t>mzdové náklady ročné pre rok 2020 predstavujú sumu: 201 038,57 eur</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Predpokladané celkové náklady ročné pre 1 ústavnú pohotovostnú službu budú predstavovať </w:t>
      </w:r>
    </w:p>
    <w:p w:rsidR="00D056F8">
      <w:pPr>
        <w:bidi w:val="0"/>
        <w:spacing w:after="0" w:line="240" w:lineRule="auto"/>
        <w:jc w:val="both"/>
        <w:rPr>
          <w:rFonts w:ascii="Times New Roman" w:hAnsi="Times New Roman"/>
          <w:lang w:val="sk-SK"/>
        </w:rPr>
      </w:pPr>
      <w:r w:rsidR="004F79A6">
        <w:rPr>
          <w:rFonts w:ascii="Times New Roman" w:hAnsi="Times New Roman"/>
          <w:lang w:val="sk-SK"/>
        </w:rPr>
        <w:t>pre rok 2018 sumu 308 905,3 eur</w:t>
      </w:r>
    </w:p>
    <w:p w:rsidR="00D056F8">
      <w:pPr>
        <w:bidi w:val="0"/>
        <w:spacing w:after="0" w:line="240" w:lineRule="auto"/>
        <w:jc w:val="both"/>
        <w:rPr>
          <w:rFonts w:ascii="Times New Roman" w:hAnsi="Times New Roman"/>
          <w:color w:val="000000"/>
          <w:lang w:val="sk-SK" w:eastAsia="sk-SK"/>
        </w:rPr>
      </w:pPr>
      <w:r w:rsidR="004F79A6">
        <w:rPr>
          <w:rFonts w:ascii="Times New Roman" w:hAnsi="Times New Roman"/>
          <w:lang w:val="sk-SK"/>
        </w:rPr>
        <w:t xml:space="preserve">pre rok 2019 sumu </w:t>
      </w:r>
      <w:r w:rsidR="004F79A6">
        <w:rPr>
          <w:rFonts w:ascii="Times New Roman" w:hAnsi="Times New Roman"/>
          <w:color w:val="000000"/>
          <w:lang w:val="sk-SK" w:eastAsia="sk-SK"/>
        </w:rPr>
        <w:t>315 536,2 eur</w:t>
      </w:r>
    </w:p>
    <w:p w:rsidR="00D056F8">
      <w:pPr>
        <w:bidi w:val="0"/>
        <w:spacing w:after="0" w:line="240" w:lineRule="auto"/>
        <w:jc w:val="both"/>
        <w:rPr>
          <w:rFonts w:ascii="Times New Roman" w:hAnsi="Times New Roman"/>
          <w:lang w:val="sk-SK"/>
        </w:rPr>
      </w:pPr>
      <w:r w:rsidR="004F79A6">
        <w:rPr>
          <w:rFonts w:ascii="Times New Roman" w:hAnsi="Times New Roman"/>
          <w:color w:val="000000"/>
          <w:lang w:val="sk-SK" w:eastAsia="sk-SK"/>
        </w:rPr>
        <w:t>pre rok 2020 sumu 327 357,7 eur</w:t>
      </w:r>
    </w:p>
    <w:tbl>
      <w:tblPr>
        <w:tblStyle w:val="TableNormal"/>
        <w:tblW w:w="2880" w:type="dxa"/>
        <w:tblCellMar>
          <w:left w:w="70" w:type="dxa"/>
          <w:right w:w="70" w:type="dxa"/>
        </w:tblCellMar>
        <w:tblLook w:val="04A0"/>
      </w:tblPr>
      <w:tblGrid>
        <w:gridCol w:w="2880"/>
      </w:tblGrid>
      <w:tr>
        <w:tblPrEx>
          <w:tblW w:w="2880" w:type="dxa"/>
          <w:tblCellMar>
            <w:left w:w="70" w:type="dxa"/>
            <w:right w:w="70" w:type="dxa"/>
          </w:tblCellMar>
          <w:tblLook w:val="04A0"/>
        </w:tblPrEx>
        <w:trPr>
          <w:trHeight w:hRule="exact" w:val="23"/>
        </w:trPr>
        <w:tc>
          <w:tcPr>
            <w:tcW w:w="288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jc w:val="right"/>
              <w:rPr>
                <w:rFonts w:ascii="Times New Roman" w:hAnsi="Times New Roman"/>
                <w:color w:val="000000"/>
                <w:lang w:val="sk-SK" w:eastAsia="sk-SK"/>
              </w:rPr>
            </w:pPr>
          </w:p>
        </w:tc>
      </w:tr>
    </w:tbl>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Predpokladané celkové výnosy ročné pre 1 ústavnú pohotovostnú službu od zdravotných poisťovní budú predstavovať: </w:t>
      </w:r>
    </w:p>
    <w:p w:rsidR="00D056F8">
      <w:pPr>
        <w:bidi w:val="0"/>
        <w:spacing w:after="0" w:line="240" w:lineRule="auto"/>
        <w:jc w:val="both"/>
        <w:rPr>
          <w:rFonts w:ascii="Times New Roman" w:hAnsi="Times New Roman"/>
          <w:lang w:val="sk-SK"/>
        </w:rPr>
      </w:pPr>
      <w:r w:rsidR="004F79A6">
        <w:rPr>
          <w:rFonts w:ascii="Times New Roman" w:hAnsi="Times New Roman"/>
          <w:lang w:val="sk-SK"/>
        </w:rPr>
        <w:t>pre rok 2018  sumu 245 620,2 eur</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 rok 2019  sumu </w:t>
      </w:r>
      <w:r w:rsidR="004F79A6">
        <w:rPr>
          <w:rFonts w:ascii="Times New Roman" w:hAnsi="Times New Roman"/>
          <w:color w:val="000000"/>
          <w:lang w:val="sk-SK" w:eastAsia="sk-SK"/>
        </w:rPr>
        <w:t xml:space="preserve">251 912 </w:t>
      </w:r>
      <w:r w:rsidR="004F79A6">
        <w:rPr>
          <w:rFonts w:ascii="Times New Roman" w:hAnsi="Times New Roman"/>
          <w:lang w:val="sk-SK"/>
        </w:rPr>
        <w:t>eur</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 rok 2020  sumu </w:t>
      </w:r>
      <w:r w:rsidR="004F79A6">
        <w:rPr>
          <w:rFonts w:ascii="Times New Roman" w:hAnsi="Times New Roman"/>
          <w:color w:val="000000"/>
          <w:lang w:val="sk-SK" w:eastAsia="sk-SK"/>
        </w:rPr>
        <w:t>258 548</w:t>
      </w:r>
      <w:r w:rsidR="004F79A6">
        <w:rPr>
          <w:rFonts w:ascii="Times New Roman" w:hAnsi="Times New Roman"/>
          <w:lang w:val="sk-SK"/>
        </w:rPr>
        <w:t xml:space="preserve"> eur</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Zvyšnú sumu si ústavná pohotovostná služba vykryje cez ostatné výnosy, napríklad od platieb od obyvateľstva.</w:t>
      </w:r>
    </w:p>
    <w:p w:rsidR="00D056F8">
      <w:pPr>
        <w:bidi w:val="0"/>
        <w:spacing w:after="0" w:line="240" w:lineRule="auto"/>
        <w:jc w:val="both"/>
        <w:rPr>
          <w:rFonts w:ascii="Times New Roman" w:hAnsi="Times New Roman"/>
          <w:b/>
          <w:lang w:val="sk-SK"/>
        </w:rPr>
      </w:pPr>
    </w:p>
    <w:p w:rsidR="00D056F8">
      <w:pPr>
        <w:bidi w:val="0"/>
        <w:spacing w:after="0" w:line="240" w:lineRule="auto"/>
        <w:jc w:val="both"/>
        <w:rPr>
          <w:rFonts w:ascii="Times New Roman" w:hAnsi="Times New Roman"/>
          <w:b/>
          <w:lang w:val="sk-SK"/>
        </w:rPr>
      </w:pPr>
      <w:r w:rsidR="004F79A6">
        <w:rPr>
          <w:rFonts w:ascii="Times New Roman" w:hAnsi="Times New Roman"/>
          <w:b/>
          <w:lang w:val="sk-SK"/>
        </w:rPr>
        <w:t>Predpokladáme, že rozvojom urgentných príjmov 1. typu a 2. typu postupne počet ústavných pohotovostných služieb bude klesať.</w:t>
      </w:r>
    </w:p>
    <w:p w:rsidR="00D056F8">
      <w:pPr>
        <w:bidi w:val="0"/>
        <w:spacing w:after="0" w:line="240" w:lineRule="auto"/>
        <w:jc w:val="both"/>
        <w:rPr>
          <w:rFonts w:ascii="Times New Roman" w:hAnsi="Times New Roman"/>
          <w:b/>
          <w:lang w:val="sk-SK"/>
        </w:rPr>
      </w:pPr>
    </w:p>
    <w:p w:rsidR="00D056F8">
      <w:pPr>
        <w:bidi w:val="0"/>
        <w:spacing w:after="0" w:line="240" w:lineRule="auto"/>
        <w:jc w:val="both"/>
        <w:rPr>
          <w:rFonts w:ascii="Times New Roman" w:hAnsi="Times New Roman"/>
          <w:b/>
          <w:u w:val="single"/>
          <w:lang w:val="sk-SK"/>
        </w:rPr>
      </w:pPr>
    </w:p>
    <w:p w:rsidR="00D056F8">
      <w:pPr>
        <w:bidi w:val="0"/>
        <w:spacing w:after="0" w:line="240" w:lineRule="auto"/>
        <w:jc w:val="both"/>
        <w:rPr>
          <w:rFonts w:ascii="Times New Roman" w:hAnsi="Times New Roman"/>
          <w:b/>
          <w:u w:val="single"/>
          <w:lang w:val="sk-SK"/>
        </w:rPr>
      </w:pPr>
      <w:r w:rsidR="004F79A6">
        <w:rPr>
          <w:rFonts w:ascii="Times New Roman" w:hAnsi="Times New Roman"/>
          <w:b/>
          <w:u w:val="single"/>
          <w:lang w:val="sk-SK"/>
        </w:rPr>
        <w:t xml:space="preserve">Návrh na financovanie urgentného príjmu 1. typu </w:t>
      </w:r>
    </w:p>
    <w:p w:rsidR="00D056F8">
      <w:pPr>
        <w:pStyle w:val="ListParagraph"/>
        <w:numPr>
          <w:numId w:val="2"/>
        </w:numPr>
        <w:bidi w:val="0"/>
        <w:jc w:val="both"/>
        <w:rPr>
          <w:rFonts w:ascii="Times New Roman" w:hAnsi="Times New Roman"/>
          <w:b/>
          <w:sz w:val="22"/>
          <w:szCs w:val="22"/>
        </w:rPr>
      </w:pPr>
      <w:r w:rsidR="004F79A6">
        <w:rPr>
          <w:rFonts w:ascii="Times New Roman" w:hAnsi="Times New Roman"/>
          <w:b/>
          <w:sz w:val="22"/>
          <w:szCs w:val="22"/>
        </w:rPr>
        <w:t>navrhujeme zaviesť paušálnu úhradu, ku ktorej by sa pripočítavala úhrada za expektačné lôžka, úhrada za „A“ lieky a úhrada za špeciálny zdravotnícky materiál</w:t>
      </w:r>
    </w:p>
    <w:p w:rsidR="00D056F8">
      <w:pPr>
        <w:pStyle w:val="ListParagraph"/>
        <w:bidi w:val="0"/>
        <w:ind w:left="720"/>
        <w:rPr>
          <w:rFonts w:ascii="Times New Roman" w:hAnsi="Times New Roman"/>
          <w:sz w:val="22"/>
          <w:szCs w:val="22"/>
        </w:rPr>
      </w:pPr>
    </w:p>
    <w:p w:rsidR="00D056F8">
      <w:pPr>
        <w:bidi w:val="0"/>
        <w:spacing w:after="0" w:line="240" w:lineRule="auto"/>
        <w:rPr>
          <w:rFonts w:ascii="Times New Roman" w:hAnsi="Times New Roman"/>
          <w:lang w:val="sk-SK"/>
        </w:rPr>
      </w:pPr>
      <w:r w:rsidR="004F79A6">
        <w:rPr>
          <w:rFonts w:ascii="Times New Roman" w:hAnsi="Times New Roman"/>
          <w:lang w:val="sk-SK"/>
        </w:rPr>
        <w:t>Východiská:</w:t>
      </w:r>
    </w:p>
    <w:tbl>
      <w:tblPr>
        <w:tblStyle w:val="TableNormal"/>
        <w:tblW w:w="3840" w:type="dxa"/>
        <w:tblCellMar>
          <w:left w:w="70" w:type="dxa"/>
          <w:right w:w="70" w:type="dxa"/>
        </w:tblCellMar>
        <w:tblLook w:val="04A0"/>
      </w:tblPr>
      <w:tblGrid>
        <w:gridCol w:w="2881"/>
        <w:gridCol w:w="959"/>
      </w:tblGrid>
      <w:tr>
        <w:tblPrEx>
          <w:tblW w:w="3840" w:type="dxa"/>
          <w:tblCellMar>
            <w:left w:w="70" w:type="dxa"/>
            <w:right w:w="70" w:type="dxa"/>
          </w:tblCellMar>
          <w:tblLook w:val="04A0"/>
        </w:tblPrEx>
        <w:trPr>
          <w:trHeight w:val="290"/>
        </w:trPr>
        <w:tc>
          <w:tcPr>
            <w:tcW w:w="288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b/>
                <w:bCs/>
                <w:color w:val="000000"/>
                <w:lang w:val="sk-SK" w:eastAsia="sk-SK"/>
              </w:rPr>
            </w:pPr>
            <w:r w:rsidR="004F79A6">
              <w:rPr>
                <w:rFonts w:ascii="Times New Roman" w:hAnsi="Times New Roman"/>
                <w:b/>
                <w:bCs/>
                <w:color w:val="000000"/>
                <w:lang w:val="sk-SK" w:eastAsia="sk-SK"/>
              </w:rPr>
              <w:t>URGENTNÝ PRÍJEM 1</w:t>
            </w:r>
          </w:p>
        </w:tc>
        <w:tc>
          <w:tcPr>
            <w:tcW w:w="95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b/>
                <w:bCs/>
                <w:color w:val="000000"/>
                <w:lang w:val="sk-SK" w:eastAsia="sk-SK"/>
              </w:rPr>
            </w:pPr>
          </w:p>
        </w:tc>
      </w:tr>
      <w:tr>
        <w:tblPrEx>
          <w:tblW w:w="3840" w:type="dxa"/>
          <w:tblCellMar>
            <w:left w:w="70" w:type="dxa"/>
            <w:right w:w="70" w:type="dxa"/>
          </w:tblCellMar>
          <w:tblLook w:val="04A0"/>
        </w:tblPrEx>
        <w:trPr>
          <w:trHeight w:val="290"/>
        </w:trPr>
        <w:tc>
          <w:tcPr>
            <w:tcW w:w="3839" w:type="dxa"/>
            <w:gridSpan w:val="2"/>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b/>
                <w:bCs/>
                <w:color w:val="000000"/>
                <w:lang w:val="sk-SK" w:eastAsia="sk-SK"/>
              </w:rPr>
            </w:pPr>
            <w:r w:rsidR="004F79A6">
              <w:rPr>
                <w:rFonts w:ascii="Times New Roman" w:hAnsi="Times New Roman"/>
                <w:b/>
                <w:bCs/>
                <w:color w:val="000000"/>
                <w:lang w:val="sk-SK" w:eastAsia="sk-SK"/>
              </w:rPr>
              <w:t>v dennej a nočnej smene:</w:t>
            </w:r>
          </w:p>
        </w:tc>
      </w:tr>
      <w:tr>
        <w:tblPrEx>
          <w:tblW w:w="3840" w:type="dxa"/>
          <w:tblCellMar>
            <w:left w:w="70" w:type="dxa"/>
            <w:right w:w="70" w:type="dxa"/>
          </w:tblCellMar>
          <w:tblLook w:val="04A0"/>
        </w:tblPrEx>
        <w:trPr>
          <w:trHeight w:val="290"/>
        </w:trPr>
        <w:tc>
          <w:tcPr>
            <w:tcW w:w="3839" w:type="dxa"/>
            <w:gridSpan w:val="2"/>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1 lekár</w:t>
            </w:r>
          </w:p>
        </w:tc>
      </w:tr>
      <w:tr>
        <w:tblPrEx>
          <w:tblW w:w="3840" w:type="dxa"/>
          <w:tblCellMar>
            <w:left w:w="70" w:type="dxa"/>
            <w:right w:w="70" w:type="dxa"/>
          </w:tblCellMar>
          <w:tblLook w:val="04A0"/>
        </w:tblPrEx>
        <w:trPr>
          <w:trHeight w:val="290"/>
        </w:trPr>
        <w:tc>
          <w:tcPr>
            <w:tcW w:w="3839" w:type="dxa"/>
            <w:gridSpan w:val="2"/>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2 sestry (vrátane triediacej)</w:t>
            </w:r>
          </w:p>
        </w:tc>
      </w:tr>
      <w:tr>
        <w:tblPrEx>
          <w:tblW w:w="3840" w:type="dxa"/>
          <w:tblCellMar>
            <w:left w:w="70" w:type="dxa"/>
            <w:right w:w="70" w:type="dxa"/>
          </w:tblCellMar>
          <w:tblLook w:val="04A0"/>
        </w:tblPrEx>
        <w:trPr>
          <w:trHeight w:val="290"/>
        </w:trPr>
        <w:tc>
          <w:tcPr>
            <w:tcW w:w="3839" w:type="dxa"/>
            <w:gridSpan w:val="2"/>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1 zdravotnícky asistent alebo sanitár</w:t>
            </w:r>
          </w:p>
        </w:tc>
      </w:tr>
    </w:tbl>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mzdové náklady ročné pre rok 2018 predstavujú sumu: 319 882,13 eur</w:t>
      </w:r>
    </w:p>
    <w:p w:rsidR="00D056F8">
      <w:pPr>
        <w:bidi w:val="0"/>
        <w:spacing w:after="0" w:line="240" w:lineRule="auto"/>
        <w:jc w:val="both"/>
        <w:rPr>
          <w:rFonts w:ascii="Times New Roman" w:hAnsi="Times New Roman"/>
          <w:lang w:val="sk-SK"/>
        </w:rPr>
      </w:pPr>
      <w:r w:rsidR="004F79A6">
        <w:rPr>
          <w:rFonts w:ascii="Times New Roman" w:hAnsi="Times New Roman"/>
          <w:lang w:val="sk-SK"/>
        </w:rPr>
        <w:t>mzdové náklady ročné pre rok 2019 predstavujú sumu: 332 740,98 eur</w:t>
      </w:r>
    </w:p>
    <w:p w:rsidR="00D056F8">
      <w:pPr>
        <w:bidi w:val="0"/>
        <w:spacing w:after="0" w:line="240" w:lineRule="auto"/>
        <w:jc w:val="both"/>
        <w:rPr>
          <w:rFonts w:ascii="Times New Roman" w:hAnsi="Times New Roman"/>
          <w:lang w:val="sk-SK"/>
        </w:rPr>
      </w:pPr>
      <w:r w:rsidR="004F79A6">
        <w:rPr>
          <w:rFonts w:ascii="Times New Roman" w:hAnsi="Times New Roman"/>
          <w:lang w:val="sk-SK"/>
        </w:rPr>
        <w:t>mzdové náklady ročné pre rok 2020 predstavujú sumu: 348 380,42 eur</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Predpokladané celkové náklady ročné pre 1 urgentný príjem 1. typu budú predstavovať </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 rok 2018 sumu </w:t>
      </w:r>
      <w:r w:rsidR="004F79A6">
        <w:rPr>
          <w:rFonts w:ascii="Times New Roman" w:hAnsi="Times New Roman"/>
          <w:color w:val="000000"/>
          <w:lang w:val="sk-SK" w:eastAsia="sk-SK"/>
        </w:rPr>
        <w:t>429 202,6</w:t>
      </w:r>
      <w:r w:rsidR="004F79A6">
        <w:rPr>
          <w:rFonts w:ascii="Times New Roman" w:hAnsi="Times New Roman"/>
          <w:lang w:val="sk-SK"/>
        </w:rPr>
        <w:t xml:space="preserve"> eur</w:t>
      </w:r>
    </w:p>
    <w:p w:rsidR="00D056F8">
      <w:pPr>
        <w:bidi w:val="0"/>
        <w:spacing w:after="0" w:line="240" w:lineRule="auto"/>
        <w:jc w:val="both"/>
        <w:rPr>
          <w:rFonts w:ascii="Times New Roman" w:hAnsi="Times New Roman"/>
          <w:color w:val="000000"/>
          <w:lang w:val="sk-SK" w:eastAsia="sk-SK"/>
        </w:rPr>
      </w:pPr>
      <w:r w:rsidR="004F79A6">
        <w:rPr>
          <w:rFonts w:ascii="Times New Roman" w:hAnsi="Times New Roman"/>
          <w:lang w:val="sk-SK"/>
        </w:rPr>
        <w:t xml:space="preserve">pre rok 2019 sumu </w:t>
      </w:r>
      <w:r w:rsidR="004F79A6">
        <w:rPr>
          <w:rFonts w:ascii="Times New Roman" w:hAnsi="Times New Roman"/>
          <w:color w:val="000000"/>
          <w:lang w:val="sk-SK" w:eastAsia="sk-SK"/>
        </w:rPr>
        <w:t>442 685,5 eur</w:t>
      </w:r>
    </w:p>
    <w:p w:rsidR="00D056F8">
      <w:pPr>
        <w:bidi w:val="0"/>
        <w:spacing w:after="0" w:line="240" w:lineRule="auto"/>
        <w:jc w:val="both"/>
        <w:rPr>
          <w:rFonts w:ascii="Times New Roman" w:hAnsi="Times New Roman"/>
          <w:lang w:val="sk-SK"/>
        </w:rPr>
      </w:pPr>
      <w:r w:rsidR="004F79A6">
        <w:rPr>
          <w:rFonts w:ascii="Times New Roman" w:hAnsi="Times New Roman"/>
          <w:color w:val="000000"/>
          <w:lang w:val="sk-SK" w:eastAsia="sk-SK"/>
        </w:rPr>
        <w:t>pre rok 2020 sumu 458 768,9 eur</w:t>
      </w:r>
    </w:p>
    <w:tbl>
      <w:tblPr>
        <w:tblStyle w:val="TableNormal"/>
        <w:tblW w:w="2880" w:type="dxa"/>
        <w:tblCellMar>
          <w:left w:w="70" w:type="dxa"/>
          <w:right w:w="70" w:type="dxa"/>
        </w:tblCellMar>
        <w:tblLook w:val="04A0"/>
      </w:tblPr>
      <w:tblGrid>
        <w:gridCol w:w="2880"/>
      </w:tblGrid>
      <w:tr>
        <w:tblPrEx>
          <w:tblW w:w="2880" w:type="dxa"/>
          <w:tblCellMar>
            <w:left w:w="70" w:type="dxa"/>
            <w:right w:w="70" w:type="dxa"/>
          </w:tblCellMar>
          <w:tblLook w:val="04A0"/>
        </w:tblPrEx>
        <w:trPr>
          <w:trHeight w:hRule="exact" w:val="23"/>
        </w:trPr>
        <w:tc>
          <w:tcPr>
            <w:tcW w:w="288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jc w:val="right"/>
              <w:rPr>
                <w:rFonts w:ascii="Times New Roman" w:hAnsi="Times New Roman"/>
                <w:color w:val="000000"/>
                <w:lang w:val="sk-SK" w:eastAsia="sk-SK"/>
              </w:rPr>
            </w:pPr>
          </w:p>
        </w:tc>
      </w:tr>
    </w:tbl>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Predpokladané celkové výnosy ročné pre 1 urgentný príjem 1. typu od zdravotných poisťovní budú predstavovať po zavedení paušálnej úhrady cca vo výške 26 tis. eur: </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 rok 2018  sumu </w:t>
      </w:r>
      <w:r w:rsidR="004F79A6">
        <w:rPr>
          <w:rFonts w:ascii="Times New Roman" w:hAnsi="Times New Roman"/>
          <w:color w:val="000000"/>
          <w:lang w:val="sk-SK" w:eastAsia="sk-SK"/>
        </w:rPr>
        <w:t>380 540</w:t>
      </w:r>
      <w:r w:rsidR="004F79A6">
        <w:rPr>
          <w:rFonts w:ascii="Times New Roman" w:hAnsi="Times New Roman"/>
          <w:lang w:val="sk-SK"/>
        </w:rPr>
        <w:t xml:space="preserve"> eur</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 rok 2019  sumu </w:t>
      </w:r>
      <w:r w:rsidR="004F79A6">
        <w:rPr>
          <w:rFonts w:ascii="Times New Roman" w:hAnsi="Times New Roman"/>
          <w:color w:val="000000"/>
          <w:lang w:val="sk-SK" w:eastAsia="sk-SK"/>
        </w:rPr>
        <w:t xml:space="preserve">386 664 </w:t>
      </w:r>
      <w:r w:rsidR="004F79A6">
        <w:rPr>
          <w:rFonts w:ascii="Times New Roman" w:hAnsi="Times New Roman"/>
          <w:lang w:val="sk-SK"/>
        </w:rPr>
        <w:t>eur</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 rok 2020  sumu </w:t>
      </w:r>
      <w:r w:rsidR="004F79A6">
        <w:rPr>
          <w:rFonts w:ascii="Times New Roman" w:hAnsi="Times New Roman"/>
          <w:color w:val="000000"/>
          <w:lang w:val="sk-SK" w:eastAsia="sk-SK"/>
        </w:rPr>
        <w:t xml:space="preserve">393 156 </w:t>
      </w:r>
      <w:r w:rsidR="004F79A6">
        <w:rPr>
          <w:rFonts w:ascii="Times New Roman" w:hAnsi="Times New Roman"/>
          <w:lang w:val="sk-SK"/>
        </w:rPr>
        <w:t>eur</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Zvyšnú sumu si urgentný príjem 1. typu vykryje cez ostatné výnosy, napríklad od platieb od obyvateľstva.</w:t>
      </w:r>
    </w:p>
    <w:p w:rsidR="00D056F8">
      <w:pPr>
        <w:bidi w:val="0"/>
        <w:spacing w:after="0" w:line="240" w:lineRule="auto"/>
        <w:jc w:val="both"/>
        <w:rPr>
          <w:rFonts w:ascii="Times New Roman" w:hAnsi="Times New Roman"/>
          <w:b/>
          <w:lang w:val="sk-SK"/>
        </w:rPr>
      </w:pPr>
    </w:p>
    <w:p w:rsidR="00D056F8">
      <w:pPr>
        <w:bidi w:val="0"/>
        <w:spacing w:after="0" w:line="240" w:lineRule="auto"/>
        <w:jc w:val="both"/>
        <w:rPr>
          <w:rFonts w:ascii="Times New Roman" w:hAnsi="Times New Roman"/>
          <w:b/>
          <w:u w:val="single"/>
          <w:lang w:val="sk-SK"/>
        </w:rPr>
      </w:pPr>
      <w:r w:rsidR="004F79A6">
        <w:rPr>
          <w:rFonts w:ascii="Times New Roman" w:hAnsi="Times New Roman"/>
          <w:b/>
          <w:u w:val="single"/>
          <w:lang w:val="sk-SK"/>
        </w:rPr>
        <w:t xml:space="preserve">Návrh na financovanie urgentného príjmu 2. typu </w:t>
      </w:r>
    </w:p>
    <w:p w:rsidR="00D056F8">
      <w:pPr>
        <w:pStyle w:val="ListParagraph"/>
        <w:numPr>
          <w:numId w:val="2"/>
        </w:numPr>
        <w:bidi w:val="0"/>
        <w:jc w:val="both"/>
        <w:rPr>
          <w:rFonts w:ascii="Times New Roman" w:hAnsi="Times New Roman"/>
          <w:b/>
          <w:sz w:val="22"/>
          <w:szCs w:val="22"/>
        </w:rPr>
      </w:pPr>
      <w:r w:rsidR="004F79A6">
        <w:rPr>
          <w:rFonts w:ascii="Times New Roman" w:hAnsi="Times New Roman"/>
          <w:b/>
          <w:sz w:val="22"/>
          <w:szCs w:val="22"/>
        </w:rPr>
        <w:t>navrhujeme zaviesť paušálnu úhradu, ku ktorej by sa pripočítavala úhrada za expektačné lôžka, úhrada za „A“ lieky a úhrada za špeciálny zdravotnícky materiál</w:t>
      </w:r>
    </w:p>
    <w:p w:rsidR="00D056F8">
      <w:pPr>
        <w:bidi w:val="0"/>
        <w:spacing w:after="0" w:line="240" w:lineRule="auto"/>
        <w:rPr>
          <w:rFonts w:ascii="Times New Roman" w:hAnsi="Times New Roman"/>
          <w:lang w:val="sk-SK"/>
        </w:rPr>
      </w:pPr>
    </w:p>
    <w:p w:rsidR="00D056F8">
      <w:pPr>
        <w:bidi w:val="0"/>
        <w:spacing w:after="0" w:line="240" w:lineRule="auto"/>
        <w:rPr>
          <w:rFonts w:ascii="Times New Roman" w:hAnsi="Times New Roman"/>
          <w:lang w:val="sk-SK"/>
        </w:rPr>
      </w:pPr>
      <w:r w:rsidR="004F79A6">
        <w:rPr>
          <w:rFonts w:ascii="Times New Roman" w:hAnsi="Times New Roman"/>
          <w:lang w:val="sk-SK"/>
        </w:rPr>
        <w:t>Východiská:</w:t>
      </w:r>
    </w:p>
    <w:tbl>
      <w:tblPr>
        <w:tblStyle w:val="TableNormal"/>
        <w:tblW w:w="11940" w:type="dxa"/>
        <w:tblCellMar>
          <w:left w:w="70" w:type="dxa"/>
          <w:right w:w="70" w:type="dxa"/>
        </w:tblCellMar>
        <w:tblLook w:val="04A0"/>
      </w:tblPr>
      <w:tblGrid>
        <w:gridCol w:w="3475"/>
        <w:gridCol w:w="960"/>
        <w:gridCol w:w="1380"/>
        <w:gridCol w:w="960"/>
        <w:gridCol w:w="960"/>
        <w:gridCol w:w="960"/>
        <w:gridCol w:w="960"/>
        <w:gridCol w:w="966"/>
        <w:gridCol w:w="1319"/>
      </w:tblGrid>
      <w:tr>
        <w:tblPrEx>
          <w:tblW w:w="11940" w:type="dxa"/>
          <w:tblCellMar>
            <w:left w:w="70" w:type="dxa"/>
            <w:right w:w="70" w:type="dxa"/>
          </w:tblCellMar>
          <w:tblLook w:val="04A0"/>
        </w:tblPrEx>
        <w:trPr>
          <w:trHeight w:val="290"/>
        </w:trPr>
        <w:tc>
          <w:tcPr>
            <w:tcW w:w="3475"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b/>
                <w:bCs/>
                <w:color w:val="000000"/>
                <w:lang w:val="sk-SK" w:eastAsia="sk-SK"/>
              </w:rPr>
              <w:t>URGENTNÝ PRÍJEM  2</w:t>
            </w: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138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0" w:type="dxa"/>
            <w:tcBorders>
              <w:top w:val="none" w:sz="0" w:space="0" w:color="auto"/>
              <w:left w:val="none" w:sz="0" w:space="0" w:color="auto"/>
              <w:bottom w:val="none" w:sz="0" w:space="0" w:color="auto"/>
              <w:right w:val="none" w:sz="0" w:space="0" w:color="auto"/>
            </w:tcBorders>
            <w:textDirection w:val="lrTb"/>
            <w:vAlign w:val="top"/>
          </w:tcPr>
          <w:p w:rsidR="00D056F8">
            <w:pPr>
              <w:widowControl/>
              <w:bidi w:val="0"/>
              <w:spacing w:after="0" w:line="240" w:lineRule="auto"/>
              <w:rPr>
                <w:rFonts w:ascii="Times New Roman" w:hAnsi="Times New Roman"/>
                <w:lang w:val="sk-SK" w:eastAsia="sk-SK"/>
              </w:rPr>
            </w:pP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5"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1318"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r>
      <w:tr>
        <w:tblPrEx>
          <w:tblW w:w="11940" w:type="dxa"/>
          <w:tblCellMar>
            <w:left w:w="70" w:type="dxa"/>
            <w:right w:w="70" w:type="dxa"/>
          </w:tblCellMar>
          <w:tblLook w:val="04A0"/>
        </w:tblPrEx>
        <w:trPr>
          <w:trHeight w:val="290"/>
        </w:trPr>
        <w:tc>
          <w:tcPr>
            <w:tcW w:w="7734" w:type="dxa"/>
            <w:gridSpan w:val="5"/>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b/>
                <w:bCs/>
                <w:color w:val="000000"/>
                <w:lang w:val="sk-SK" w:eastAsia="sk-SK"/>
              </w:rPr>
              <w:t>v dennej smene:</w:t>
            </w: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5"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131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r>
      <w:tr>
        <w:tblPrEx>
          <w:tblW w:w="11940" w:type="dxa"/>
          <w:tblCellMar>
            <w:left w:w="70" w:type="dxa"/>
            <w:right w:w="70" w:type="dxa"/>
          </w:tblCellMar>
          <w:tblLook w:val="04A0"/>
        </w:tblPrEx>
        <w:trPr>
          <w:trHeight w:val="290"/>
        </w:trPr>
        <w:tc>
          <w:tcPr>
            <w:tcW w:w="8694" w:type="dxa"/>
            <w:gridSpan w:val="6"/>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color w:val="000000"/>
                <w:lang w:val="sk-SK" w:eastAsia="sk-SK"/>
              </w:rPr>
              <w:t>4 lekári (z toho 1 atestovaný)</w:t>
            </w: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5"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131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r>
      <w:tr>
        <w:tblPrEx>
          <w:tblW w:w="11940" w:type="dxa"/>
          <w:tblCellMar>
            <w:left w:w="70" w:type="dxa"/>
            <w:right w:w="70" w:type="dxa"/>
          </w:tblCellMar>
          <w:tblLook w:val="04A0"/>
        </w:tblPrEx>
        <w:trPr>
          <w:trHeight w:val="290"/>
        </w:trPr>
        <w:tc>
          <w:tcPr>
            <w:tcW w:w="7734" w:type="dxa"/>
            <w:gridSpan w:val="5"/>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color w:val="000000"/>
                <w:lang w:val="sk-SK" w:eastAsia="sk-SK"/>
              </w:rPr>
              <w:t>8 sestier (vrátane triediacich</w:t>
            </w: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5"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131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r>
      <w:tr>
        <w:tblPrEx>
          <w:tblW w:w="11940" w:type="dxa"/>
          <w:tblCellMar>
            <w:left w:w="70" w:type="dxa"/>
            <w:right w:w="70" w:type="dxa"/>
          </w:tblCellMar>
          <w:tblLook w:val="04A0"/>
        </w:tblPrEx>
        <w:trPr>
          <w:trHeight w:val="290"/>
        </w:trPr>
        <w:tc>
          <w:tcPr>
            <w:tcW w:w="10621" w:type="dxa"/>
            <w:gridSpan w:val="8"/>
            <w:tcBorders>
              <w:top w:val="none" w:sz="0" w:space="0" w:color="auto"/>
              <w:left w:val="none" w:sz="0" w:space="0" w:color="auto"/>
              <w:bottom w:val="none" w:sz="0" w:space="0" w:color="auto"/>
              <w:right w:val="none" w:sz="0" w:space="0" w:color="auto"/>
            </w:tcBorders>
            <w:textDirection w:val="lrTb"/>
            <w:vAlign w:val="top"/>
          </w:tcPr>
          <w:p w:rsidR="00D056F8">
            <w:pPr>
              <w:widowControl/>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4 ostatní zdravotnícki pracovníci (z toho 1 zdravotnícky asistent a 1 sanitár, pomocný pracovník v zdravotníctve)</w:t>
            </w:r>
          </w:p>
        </w:tc>
        <w:tc>
          <w:tcPr>
            <w:tcW w:w="1317"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color w:val="000000"/>
                <w:lang w:val="sk-SK" w:eastAsia="sk-SK"/>
              </w:rPr>
            </w:pPr>
          </w:p>
        </w:tc>
      </w:tr>
      <w:tr>
        <w:tblPrEx>
          <w:tblW w:w="11940" w:type="dxa"/>
          <w:tblCellMar>
            <w:left w:w="70" w:type="dxa"/>
            <w:right w:w="70" w:type="dxa"/>
          </w:tblCellMar>
          <w:tblLook w:val="04A0"/>
        </w:tblPrEx>
        <w:trPr>
          <w:trHeight w:val="290"/>
        </w:trPr>
        <w:tc>
          <w:tcPr>
            <w:tcW w:w="7734" w:type="dxa"/>
            <w:gridSpan w:val="5"/>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b/>
                <w:bCs/>
                <w:color w:val="000000"/>
                <w:lang w:val="sk-SK" w:eastAsia="sk-SK"/>
              </w:rPr>
              <w:t>v nočnej smene:</w:t>
            </w: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5"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131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r>
      <w:tr>
        <w:tblPrEx>
          <w:tblW w:w="11940" w:type="dxa"/>
          <w:tblCellMar>
            <w:left w:w="70" w:type="dxa"/>
            <w:right w:w="70" w:type="dxa"/>
          </w:tblCellMar>
          <w:tblLook w:val="04A0"/>
        </w:tblPrEx>
        <w:trPr>
          <w:trHeight w:val="290"/>
        </w:trPr>
        <w:tc>
          <w:tcPr>
            <w:tcW w:w="7734" w:type="dxa"/>
            <w:gridSpan w:val="5"/>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color w:val="000000"/>
                <w:lang w:val="sk-SK" w:eastAsia="sk-SK"/>
              </w:rPr>
              <w:t>3 lekári (z toho 1 atestovaný)</w:t>
            </w: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5"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131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r>
      <w:tr>
        <w:tblPrEx>
          <w:tblW w:w="11940" w:type="dxa"/>
          <w:tblCellMar>
            <w:left w:w="70" w:type="dxa"/>
            <w:right w:w="70" w:type="dxa"/>
          </w:tblCellMar>
          <w:tblLook w:val="04A0"/>
        </w:tblPrEx>
        <w:trPr>
          <w:trHeight w:val="290"/>
        </w:trPr>
        <w:tc>
          <w:tcPr>
            <w:tcW w:w="6775" w:type="dxa"/>
            <w:gridSpan w:val="4"/>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color w:val="000000"/>
                <w:lang w:val="sk-SK" w:eastAsia="sk-SK"/>
              </w:rPr>
              <w:t>6 sestier (vrátane triediacich</w:t>
            </w: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965"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c>
          <w:tcPr>
            <w:tcW w:w="1318"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lang w:val="sk-SK" w:eastAsia="sk-SK"/>
              </w:rPr>
            </w:pPr>
          </w:p>
        </w:tc>
      </w:tr>
      <w:tr>
        <w:tblPrEx>
          <w:tblW w:w="11940" w:type="dxa"/>
          <w:tblCellMar>
            <w:left w:w="70" w:type="dxa"/>
            <w:right w:w="70" w:type="dxa"/>
          </w:tblCellMar>
          <w:tblLook w:val="04A0"/>
        </w:tblPrEx>
        <w:trPr>
          <w:trHeight w:val="290"/>
        </w:trPr>
        <w:tc>
          <w:tcPr>
            <w:tcW w:w="10621" w:type="dxa"/>
            <w:gridSpan w:val="8"/>
            <w:tcBorders>
              <w:top w:val="none" w:sz="0" w:space="0" w:color="auto"/>
              <w:left w:val="none" w:sz="0" w:space="0" w:color="auto"/>
              <w:bottom w:val="none" w:sz="0" w:space="0" w:color="auto"/>
              <w:right w:val="none" w:sz="0" w:space="0" w:color="auto"/>
            </w:tcBorders>
            <w:textDirection w:val="lrTb"/>
            <w:vAlign w:val="top"/>
          </w:tcPr>
          <w:p w:rsidR="00D056F8">
            <w:pPr>
              <w:widowControl/>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3 ostatní zdravotnícki pracovníci (z toho 1 zdravotnícky asistent a 1 sanitár, pomocný pracovník v zdravotníctve)</w:t>
            </w:r>
          </w:p>
        </w:tc>
        <w:tc>
          <w:tcPr>
            <w:tcW w:w="1317"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color w:val="000000"/>
                <w:lang w:val="sk-SK" w:eastAsia="sk-SK"/>
              </w:rPr>
            </w:pPr>
          </w:p>
        </w:tc>
      </w:tr>
    </w:tbl>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mzdové náklady ročné pre rok 2018 predstavujú sumu: 1 147 710,49 eur</w:t>
      </w:r>
    </w:p>
    <w:p w:rsidR="00D056F8">
      <w:pPr>
        <w:bidi w:val="0"/>
        <w:spacing w:after="0" w:line="240" w:lineRule="auto"/>
        <w:jc w:val="both"/>
        <w:rPr>
          <w:rFonts w:ascii="Times New Roman" w:hAnsi="Times New Roman"/>
          <w:lang w:val="sk-SK"/>
        </w:rPr>
      </w:pPr>
      <w:r w:rsidR="004F79A6">
        <w:rPr>
          <w:rFonts w:ascii="Times New Roman" w:hAnsi="Times New Roman"/>
          <w:lang w:val="sk-SK"/>
        </w:rPr>
        <w:t>mzdové náklady ročné pre rok 2019 predstavujú sumu: 1 193 100,79 eur</w:t>
      </w:r>
    </w:p>
    <w:p w:rsidR="00D056F8">
      <w:pPr>
        <w:bidi w:val="0"/>
        <w:spacing w:after="0" w:line="240" w:lineRule="auto"/>
        <w:jc w:val="both"/>
        <w:rPr>
          <w:rFonts w:ascii="Times New Roman" w:hAnsi="Times New Roman"/>
          <w:lang w:val="sk-SK"/>
        </w:rPr>
      </w:pPr>
      <w:r w:rsidR="004F79A6">
        <w:rPr>
          <w:rFonts w:ascii="Times New Roman" w:hAnsi="Times New Roman"/>
          <w:lang w:val="sk-SK"/>
        </w:rPr>
        <w:t>mzdové náklady ročné pre rok 2020 predstavujú sumu: 1 249 342,00 eur</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Predpokladané celkové náklady ročné pre 1 urgentný príjem 2. typu budú predstavovať: </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 rok 2018 sumu </w:t>
      </w:r>
      <w:r w:rsidR="004F79A6">
        <w:rPr>
          <w:rFonts w:ascii="Times New Roman" w:hAnsi="Times New Roman"/>
          <w:color w:val="000000"/>
          <w:lang w:val="sk-SK" w:eastAsia="sk-SK"/>
        </w:rPr>
        <w:t>1 694 025,4</w:t>
      </w:r>
      <w:r w:rsidR="004F79A6">
        <w:rPr>
          <w:rFonts w:ascii="Times New Roman" w:hAnsi="Times New Roman"/>
          <w:lang w:val="sk-SK"/>
        </w:rPr>
        <w:t xml:space="preserve"> eur</w:t>
      </w:r>
    </w:p>
    <w:p w:rsidR="00D056F8">
      <w:pPr>
        <w:bidi w:val="0"/>
        <w:spacing w:after="0" w:line="240" w:lineRule="auto"/>
        <w:jc w:val="both"/>
        <w:rPr>
          <w:rFonts w:ascii="Times New Roman" w:hAnsi="Times New Roman"/>
          <w:color w:val="000000"/>
          <w:lang w:val="sk-SK" w:eastAsia="sk-SK"/>
        </w:rPr>
      </w:pPr>
      <w:r w:rsidR="004F79A6">
        <w:rPr>
          <w:rFonts w:ascii="Times New Roman" w:hAnsi="Times New Roman"/>
          <w:lang w:val="sk-SK"/>
        </w:rPr>
        <w:t xml:space="preserve">pre rok 2019 sumu </w:t>
      </w:r>
      <w:r w:rsidR="004F79A6">
        <w:rPr>
          <w:rFonts w:ascii="Times New Roman" w:hAnsi="Times New Roman"/>
          <w:color w:val="000000"/>
          <w:lang w:val="sk-SK" w:eastAsia="sk-SK"/>
        </w:rPr>
        <w:t>1 739 768,7 eur</w:t>
      </w:r>
    </w:p>
    <w:p w:rsidR="00D056F8">
      <w:pPr>
        <w:bidi w:val="0"/>
        <w:spacing w:after="0" w:line="240" w:lineRule="auto"/>
        <w:jc w:val="both"/>
        <w:rPr>
          <w:rFonts w:ascii="Times New Roman" w:hAnsi="Times New Roman"/>
          <w:lang w:val="sk-SK"/>
        </w:rPr>
      </w:pPr>
      <w:r w:rsidR="004F79A6">
        <w:rPr>
          <w:rFonts w:ascii="Times New Roman" w:hAnsi="Times New Roman"/>
          <w:color w:val="000000"/>
          <w:lang w:val="sk-SK" w:eastAsia="sk-SK"/>
        </w:rPr>
        <w:t>pre rok 2020 sumu 1 784 412 eur</w:t>
      </w:r>
    </w:p>
    <w:tbl>
      <w:tblPr>
        <w:tblStyle w:val="TableNormal"/>
        <w:tblW w:w="2880" w:type="dxa"/>
        <w:tblCellMar>
          <w:left w:w="70" w:type="dxa"/>
          <w:right w:w="70" w:type="dxa"/>
        </w:tblCellMar>
        <w:tblLook w:val="04A0"/>
      </w:tblPr>
      <w:tblGrid>
        <w:gridCol w:w="2880"/>
      </w:tblGrid>
      <w:tr>
        <w:tblPrEx>
          <w:tblW w:w="2880" w:type="dxa"/>
          <w:tblCellMar>
            <w:left w:w="70" w:type="dxa"/>
            <w:right w:w="70" w:type="dxa"/>
          </w:tblCellMar>
          <w:tblLook w:val="04A0"/>
        </w:tblPrEx>
        <w:trPr>
          <w:trHeight w:hRule="exact" w:val="23"/>
        </w:trPr>
        <w:tc>
          <w:tcPr>
            <w:tcW w:w="288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jc w:val="right"/>
              <w:rPr>
                <w:rFonts w:ascii="Times New Roman" w:hAnsi="Times New Roman"/>
                <w:color w:val="000000"/>
                <w:lang w:val="sk-SK" w:eastAsia="sk-SK"/>
              </w:rPr>
            </w:pPr>
          </w:p>
        </w:tc>
      </w:tr>
    </w:tbl>
    <w:p w:rsidR="00D056F8">
      <w:pPr>
        <w:bidi w:val="0"/>
        <w:spacing w:after="0" w:line="240" w:lineRule="auto"/>
        <w:jc w:val="both"/>
        <w:rPr>
          <w:rFonts w:ascii="Times New Roman" w:hAnsi="Times New Roman"/>
          <w:lang w:val="sk-SK"/>
        </w:rPr>
      </w:pPr>
      <w:r w:rsidR="004F79A6">
        <w:rPr>
          <w:rFonts w:ascii="Times New Roman" w:hAnsi="Times New Roman"/>
          <w:lang w:val="sk-SK"/>
        </w:rPr>
        <w:t>Predpokladané celkové výnosy ročné pre 1 urgentný príjem 2. typu od zdravotných poisťovní budú predstavovať po zavedení paušálnej úhrady cca vo výške 97 tis. eur:</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 rok 2018  sumu </w:t>
      </w:r>
      <w:r w:rsidR="004F79A6">
        <w:rPr>
          <w:rFonts w:ascii="Times New Roman" w:hAnsi="Times New Roman"/>
          <w:color w:val="000000"/>
          <w:lang w:val="sk-SK" w:eastAsia="sk-SK"/>
        </w:rPr>
        <w:t>1 480 608</w:t>
      </w:r>
      <w:r w:rsidR="004F79A6">
        <w:rPr>
          <w:rFonts w:ascii="Times New Roman" w:hAnsi="Times New Roman"/>
          <w:lang w:val="sk-SK"/>
        </w:rPr>
        <w:t xml:space="preserve"> eur</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 rok 2019  sumu </w:t>
      </w:r>
      <w:r w:rsidR="004F79A6">
        <w:rPr>
          <w:rFonts w:ascii="Times New Roman" w:hAnsi="Times New Roman"/>
          <w:color w:val="000000"/>
          <w:lang w:val="sk-SK" w:eastAsia="sk-SK"/>
        </w:rPr>
        <w:t xml:space="preserve">1 530 864 </w:t>
      </w:r>
      <w:r w:rsidR="004F79A6">
        <w:rPr>
          <w:rFonts w:ascii="Times New Roman" w:hAnsi="Times New Roman"/>
          <w:lang w:val="sk-SK"/>
        </w:rPr>
        <w:t>eur</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pre rok 2020  sumu </w:t>
      </w:r>
      <w:r w:rsidR="004F79A6">
        <w:rPr>
          <w:rFonts w:ascii="Times New Roman" w:hAnsi="Times New Roman"/>
          <w:color w:val="000000"/>
          <w:lang w:val="sk-SK" w:eastAsia="sk-SK"/>
        </w:rPr>
        <w:t>1 586 496</w:t>
      </w:r>
      <w:r w:rsidR="004F79A6">
        <w:rPr>
          <w:rFonts w:ascii="Times New Roman" w:hAnsi="Times New Roman"/>
          <w:lang w:val="sk-SK"/>
        </w:rPr>
        <w:t xml:space="preserve"> eur</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Zvyšnú sumu si urgentný príjem 2. typu vykryje cez ostatné výnosy, napríklad od platieb od obyvateľstva.</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Pri stanovení paušálnej úhrady vo výške 75% z nákladov na oddelenie (cca 26 tis. eur pri urgentnom príjme 1. typu a cca 97 tis. pri urgentnom príjme 2. typu) zabezpečí pokrytie ceny práce zdravotníckych pracovníkov a ponechanie dofakturácie liekov so spôsobom úhrady „A“, ponechanie dofakturácie výkonov na expektačnom lôžku a špeciálneho zdravotníckeho materiálu zabezpečí pokrytie aj prevádzkových nákladov.</w:t>
      </w:r>
    </w:p>
    <w:p w:rsidR="00D056F8">
      <w:pPr>
        <w:bidi w:val="0"/>
        <w:spacing w:after="0" w:line="240" w:lineRule="auto"/>
        <w:jc w:val="both"/>
        <w:rPr>
          <w:rFonts w:ascii="Times New Roman" w:hAnsi="Times New Roman"/>
          <w:lang w:val="sk-SK"/>
        </w:rPr>
      </w:pPr>
      <w:r w:rsidR="004F79A6">
        <w:rPr>
          <w:rFonts w:ascii="Times New Roman" w:hAnsi="Times New Roman"/>
          <w:lang w:val="sk-SK"/>
        </w:rPr>
        <w:t xml:space="preserve">Stanovením paušálnej úhrady ide de facto o garanciu vykrytia ceny práce zdravotníckych pracovníkov aj prevádzkových nákladov u všetkých urgentných príjmov 1. typu a 2. typu, t.j. aj tých, ktoré by mali nedostatočnú výkonovú zložku na pokrytie týchto nákladov. V rámci paušálu budú zahrnuté výkony okrem výkonov na expektačnom lôžku, pretože ak  štát má garantovať zadefinovanú pevnú sieť, mal by garantovať aj minimálnu výšku úhrady na prevádzku, ktorej výkonnosť poskytovateľ nevie ovplyvniť, ale činnosť musí vykonávať. </w:t>
      </w:r>
    </w:p>
    <w:p w:rsidR="00D056F8">
      <w:pPr>
        <w:bidi w:val="0"/>
        <w:spacing w:after="0" w:line="240" w:lineRule="auto"/>
        <w:jc w:val="both"/>
        <w:rPr>
          <w:rFonts w:ascii="Times New Roman" w:hAnsi="Times New Roman"/>
          <w:lang w:val="sk-SK"/>
        </w:rPr>
      </w:pPr>
    </w:p>
    <w:p w:rsidR="00D056F8">
      <w:pPr>
        <w:bidi w:val="0"/>
        <w:spacing w:after="0" w:line="240" w:lineRule="auto"/>
        <w:jc w:val="both"/>
        <w:rPr>
          <w:rFonts w:ascii="Times New Roman" w:hAnsi="Times New Roman"/>
          <w:b/>
          <w:lang w:val="sk-SK"/>
        </w:rPr>
      </w:pPr>
      <w:r w:rsidR="004F79A6">
        <w:rPr>
          <w:rFonts w:ascii="Times New Roman" w:hAnsi="Times New Roman"/>
          <w:b/>
          <w:lang w:val="sk-SK"/>
        </w:rPr>
        <w:t>Expektačné lôžka východiská:</w:t>
      </w:r>
    </w:p>
    <w:tbl>
      <w:tblPr>
        <w:tblStyle w:val="TableNormal"/>
        <w:tblW w:w="5411"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tblPr>
      <w:tblGrid>
        <w:gridCol w:w="1981"/>
        <w:gridCol w:w="1351"/>
        <w:gridCol w:w="1040"/>
        <w:gridCol w:w="1039"/>
      </w:tblGrid>
      <w:tr>
        <w:tblPrEx>
          <w:tblW w:w="5411"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tblPrEx>
        <w:trPr>
          <w:trHeight w:val="255"/>
        </w:trPr>
        <w:tc>
          <w:tcPr>
            <w:tcW w:w="1980"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widowControl/>
              <w:bidi w:val="0"/>
              <w:spacing w:after="0" w:line="240" w:lineRule="auto"/>
              <w:rPr>
                <w:rFonts w:ascii="Times New Roman" w:hAnsi="Times New Roman"/>
                <w:lang w:val="sk-SK" w:eastAsia="sk-SK"/>
              </w:rPr>
            </w:pPr>
          </w:p>
        </w:tc>
        <w:tc>
          <w:tcPr>
            <w:tcW w:w="1351"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lang w:val="sk-SK" w:eastAsia="sk-SK"/>
              </w:rPr>
              <w:t>spolu</w:t>
            </w:r>
          </w:p>
        </w:tc>
        <w:tc>
          <w:tcPr>
            <w:tcW w:w="1040"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lang w:val="sk-SK" w:eastAsia="sk-SK"/>
              </w:rPr>
              <w:t>dospelý</w:t>
            </w:r>
          </w:p>
        </w:tc>
        <w:tc>
          <w:tcPr>
            <w:tcW w:w="1039"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lang w:val="sk-SK" w:eastAsia="sk-SK"/>
              </w:rPr>
              <w:t>deti</w:t>
            </w:r>
          </w:p>
        </w:tc>
      </w:tr>
      <w:tr>
        <w:tblPrEx>
          <w:tblW w:w="5411" w:type="dxa"/>
          <w:tblInd w:w="70" w:type="dxa"/>
          <w:tblCellMar>
            <w:left w:w="60" w:type="dxa"/>
            <w:right w:w="70" w:type="dxa"/>
          </w:tblCellMar>
          <w:tblLook w:val="04A0"/>
        </w:tblPrEx>
        <w:trPr>
          <w:trHeight w:val="255"/>
        </w:trPr>
        <w:tc>
          <w:tcPr>
            <w:tcW w:w="1980"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lang w:val="sk-SK" w:eastAsia="sk-SK"/>
              </w:rPr>
              <w:t>počet</w:t>
            </w:r>
          </w:p>
        </w:tc>
        <w:tc>
          <w:tcPr>
            <w:tcW w:w="1351"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lang w:val="sk-SK" w:eastAsia="sk-SK"/>
              </w:rPr>
              <w:t> </w:t>
            </w:r>
          </w:p>
        </w:tc>
        <w:tc>
          <w:tcPr>
            <w:tcW w:w="1040"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jc w:val="right"/>
              <w:rPr>
                <w:rFonts w:ascii="Times New Roman" w:hAnsi="Times New Roman"/>
                <w:lang w:val="sk-SK" w:eastAsia="sk-SK"/>
              </w:rPr>
            </w:pPr>
            <w:r w:rsidR="004F79A6">
              <w:rPr>
                <w:rFonts w:ascii="Times New Roman" w:hAnsi="Times New Roman"/>
                <w:lang w:val="sk-SK" w:eastAsia="sk-SK"/>
              </w:rPr>
              <w:t>20337</w:t>
            </w:r>
          </w:p>
        </w:tc>
        <w:tc>
          <w:tcPr>
            <w:tcW w:w="1039"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jc w:val="right"/>
              <w:rPr>
                <w:rFonts w:ascii="Times New Roman" w:hAnsi="Times New Roman"/>
                <w:lang w:val="sk-SK" w:eastAsia="sk-SK"/>
              </w:rPr>
            </w:pPr>
            <w:r w:rsidR="004F79A6">
              <w:rPr>
                <w:rFonts w:ascii="Times New Roman" w:hAnsi="Times New Roman"/>
                <w:lang w:val="sk-SK" w:eastAsia="sk-SK"/>
              </w:rPr>
              <w:t>2057</w:t>
            </w:r>
          </w:p>
        </w:tc>
      </w:tr>
      <w:tr>
        <w:tblPrEx>
          <w:tblW w:w="5411" w:type="dxa"/>
          <w:tblInd w:w="70" w:type="dxa"/>
          <w:tblCellMar>
            <w:left w:w="60" w:type="dxa"/>
            <w:right w:w="70" w:type="dxa"/>
          </w:tblCellMar>
          <w:tblLook w:val="04A0"/>
        </w:tblPrEx>
        <w:trPr>
          <w:trHeight w:val="255"/>
        </w:trPr>
        <w:tc>
          <w:tcPr>
            <w:tcW w:w="1980"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lang w:val="sk-SK" w:eastAsia="sk-SK"/>
              </w:rPr>
              <w:t>úhrada</w:t>
            </w:r>
          </w:p>
        </w:tc>
        <w:tc>
          <w:tcPr>
            <w:tcW w:w="1351"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lang w:val="sk-SK" w:eastAsia="sk-SK"/>
              </w:rPr>
              <w:t> </w:t>
            </w:r>
          </w:p>
        </w:tc>
        <w:tc>
          <w:tcPr>
            <w:tcW w:w="1040"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jc w:val="right"/>
              <w:rPr>
                <w:rFonts w:ascii="Times New Roman" w:hAnsi="Times New Roman"/>
                <w:lang w:val="sk-SK" w:eastAsia="sk-SK"/>
              </w:rPr>
            </w:pPr>
            <w:r w:rsidR="004F79A6">
              <w:rPr>
                <w:rFonts w:ascii="Times New Roman" w:hAnsi="Times New Roman"/>
                <w:lang w:val="sk-SK" w:eastAsia="sk-SK"/>
              </w:rPr>
              <w:t>3174773</w:t>
            </w:r>
          </w:p>
        </w:tc>
        <w:tc>
          <w:tcPr>
            <w:tcW w:w="1039"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jc w:val="right"/>
              <w:rPr>
                <w:rFonts w:ascii="Times New Roman" w:hAnsi="Times New Roman"/>
                <w:lang w:val="sk-SK" w:eastAsia="sk-SK"/>
              </w:rPr>
            </w:pPr>
            <w:r w:rsidR="004F79A6">
              <w:rPr>
                <w:rFonts w:ascii="Times New Roman" w:hAnsi="Times New Roman"/>
                <w:lang w:val="sk-SK" w:eastAsia="sk-SK"/>
              </w:rPr>
              <w:t>374427</w:t>
            </w:r>
          </w:p>
        </w:tc>
      </w:tr>
      <w:tr>
        <w:tblPrEx>
          <w:tblW w:w="5411" w:type="dxa"/>
          <w:tblInd w:w="70" w:type="dxa"/>
          <w:tblCellMar>
            <w:left w:w="60" w:type="dxa"/>
            <w:right w:w="70" w:type="dxa"/>
          </w:tblCellMar>
          <w:tblLook w:val="04A0"/>
        </w:tblPrEx>
        <w:trPr>
          <w:trHeight w:val="255"/>
        </w:trPr>
        <w:tc>
          <w:tcPr>
            <w:tcW w:w="1980"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widowControl/>
              <w:bidi w:val="0"/>
              <w:spacing w:after="0" w:line="240" w:lineRule="auto"/>
              <w:rPr>
                <w:rFonts w:ascii="Times New Roman" w:hAnsi="Times New Roman"/>
                <w:b/>
                <w:bCs/>
                <w:lang w:val="sk-SK" w:eastAsia="sk-SK"/>
              </w:rPr>
            </w:pPr>
            <w:r w:rsidR="004F79A6">
              <w:rPr>
                <w:rFonts w:ascii="Times New Roman" w:hAnsi="Times New Roman"/>
                <w:b/>
                <w:bCs/>
                <w:lang w:val="sk-SK" w:eastAsia="sk-SK"/>
              </w:rPr>
              <w:t>priemer</w:t>
            </w:r>
          </w:p>
        </w:tc>
        <w:tc>
          <w:tcPr>
            <w:tcW w:w="1351"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rPr>
                <w:rFonts w:ascii="Times New Roman" w:hAnsi="Times New Roman"/>
                <w:lang w:val="sk-SK" w:eastAsia="sk-SK"/>
              </w:rPr>
            </w:pPr>
            <w:r w:rsidR="004F79A6">
              <w:rPr>
                <w:rFonts w:ascii="Times New Roman" w:hAnsi="Times New Roman"/>
                <w:lang w:val="sk-SK" w:eastAsia="sk-SK"/>
              </w:rPr>
              <w:t> </w:t>
            </w:r>
          </w:p>
        </w:tc>
        <w:tc>
          <w:tcPr>
            <w:tcW w:w="1040"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jc w:val="right"/>
              <w:rPr>
                <w:rFonts w:ascii="Times New Roman" w:hAnsi="Times New Roman"/>
                <w:lang w:val="sk-SK" w:eastAsia="sk-SK"/>
              </w:rPr>
            </w:pPr>
            <w:r w:rsidR="004F79A6">
              <w:rPr>
                <w:rFonts w:ascii="Times New Roman" w:hAnsi="Times New Roman"/>
                <w:lang w:val="sk-SK" w:eastAsia="sk-SK"/>
              </w:rPr>
              <w:t>156,1082</w:t>
            </w:r>
          </w:p>
        </w:tc>
        <w:tc>
          <w:tcPr>
            <w:tcW w:w="1039" w:type="dxa"/>
            <w:tcBorders>
              <w:top w:val="single" w:sz="4" w:space="0" w:color="00000A"/>
              <w:left w:val="single" w:sz="4" w:space="0" w:color="00000A"/>
              <w:bottom w:val="single" w:sz="4" w:space="0" w:color="00000A"/>
              <w:right w:val="single" w:sz="4" w:space="0" w:color="00000A"/>
            </w:tcBorders>
            <w:textDirection w:val="lrTb"/>
            <w:vAlign w:val="bottom"/>
          </w:tcPr>
          <w:p w:rsidR="00D056F8">
            <w:pPr>
              <w:widowControl/>
              <w:bidi w:val="0"/>
              <w:spacing w:after="0" w:line="240" w:lineRule="auto"/>
              <w:jc w:val="right"/>
              <w:rPr>
                <w:rFonts w:ascii="Times New Roman" w:hAnsi="Times New Roman"/>
                <w:lang w:val="sk-SK" w:eastAsia="sk-SK"/>
              </w:rPr>
            </w:pPr>
            <w:r w:rsidR="004F79A6">
              <w:rPr>
                <w:rFonts w:ascii="Times New Roman" w:hAnsi="Times New Roman"/>
                <w:lang w:val="sk-SK" w:eastAsia="sk-SK"/>
              </w:rPr>
              <w:t>182,0258</w:t>
            </w:r>
          </w:p>
        </w:tc>
      </w:tr>
    </w:tbl>
    <w:p w:rsidR="00D056F8">
      <w:pPr>
        <w:widowControl/>
        <w:bidi w:val="0"/>
        <w:spacing w:after="0" w:line="240" w:lineRule="auto"/>
        <w:rPr>
          <w:rFonts w:ascii="Times New Roman" w:hAnsi="Times New Roman"/>
          <w:lang w:val="sk-SK" w:eastAsia="sk-SK"/>
        </w:rPr>
      </w:pPr>
    </w:p>
    <w:p w:rsidR="00D056F8">
      <w:pPr>
        <w:widowControl/>
        <w:bidi w:val="0"/>
        <w:spacing w:after="0" w:line="240" w:lineRule="auto"/>
        <w:jc w:val="both"/>
        <w:rPr>
          <w:rFonts w:ascii="Times New Roman" w:hAnsi="Times New Roman"/>
          <w:lang w:val="sk-SK" w:eastAsia="sk-SK"/>
        </w:rPr>
      </w:pPr>
      <w:r w:rsidR="004F79A6">
        <w:rPr>
          <w:rFonts w:ascii="Times New Roman" w:hAnsi="Times New Roman"/>
          <w:lang w:val="sk-SK" w:eastAsia="sk-SK"/>
        </w:rPr>
        <w:t xml:space="preserve">Za predpokladu rovnakého počtu expektovaných osôb v počte 22 394, predpokladáme, že na urgentnom príjme 1. typu a 2. typu sa bude realizovať 13 tis. expektácií a ak suma za expektáciu bude výške 350 eur, náklady zdravotných poisťovní na urgentný príjem 1. typu a 2. typu budú vo výške 4 550 000 eur. Suma je už zahrnutá v celkových nákladoch zdravotných poisťovní na urgentné príjmy. V ostatných ústavných pohotovostných službách predpokladáme, že bude expektovaných cca 9 tis. osôb za doterajšie sumy, ktoré zdravotné poisťovne uhrádzali, t. j. cca 1,5 mil. eur. </w:t>
      </w:r>
    </w:p>
    <w:p w:rsidR="00D056F8">
      <w:pPr>
        <w:widowControl/>
        <w:bidi w:val="0"/>
        <w:spacing w:after="0" w:line="240" w:lineRule="auto"/>
        <w:jc w:val="both"/>
        <w:rPr>
          <w:rFonts w:ascii="Times New Roman" w:hAnsi="Times New Roman"/>
          <w:b/>
          <w:lang w:val="sk-SK"/>
        </w:rPr>
      </w:pPr>
    </w:p>
    <w:p w:rsidR="00D056F8">
      <w:pPr>
        <w:bidi w:val="0"/>
        <w:spacing w:after="0" w:line="240" w:lineRule="auto"/>
        <w:jc w:val="both"/>
        <w:rPr>
          <w:rFonts w:ascii="Times New Roman" w:hAnsi="Times New Roman"/>
          <w:b/>
          <w:lang w:val="sk-SK"/>
        </w:rPr>
      </w:pPr>
      <w:r w:rsidR="004F79A6">
        <w:rPr>
          <w:rFonts w:ascii="Times New Roman" w:hAnsi="Times New Roman"/>
          <w:b/>
          <w:lang w:val="sk-SK"/>
        </w:rPr>
        <w:t>V nadväznosti na uvedené celkové náklady zdravotných poisťovní na urgentné príjmy budú takéto:</w:t>
      </w:r>
    </w:p>
    <w:p w:rsidR="00D056F8" w:rsidRPr="00A952F0" w:rsidP="00A952F0">
      <w:pPr>
        <w:bidi w:val="0"/>
        <w:spacing w:after="0" w:line="240" w:lineRule="auto"/>
        <w:jc w:val="both"/>
        <w:rPr>
          <w:rFonts w:ascii="Times New Roman" w:hAnsi="Times New Roman"/>
          <w:b/>
          <w:color w:val="auto"/>
          <w:sz w:val="24"/>
          <w:szCs w:val="24"/>
          <w:lang w:val="sk-SK"/>
        </w:rPr>
      </w:pPr>
    </w:p>
    <w:tbl>
      <w:tblPr>
        <w:tblStyle w:val="TableNormal"/>
        <w:tblW w:w="10065" w:type="dxa"/>
        <w:tblInd w:w="-82"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50" w:type="dxa"/>
          <w:right w:w="70" w:type="dxa"/>
        </w:tblCellMar>
        <w:tblLook w:val="04A0"/>
      </w:tblPr>
      <w:tblGrid>
        <w:gridCol w:w="1786"/>
        <w:gridCol w:w="1085"/>
        <w:gridCol w:w="1099"/>
        <w:gridCol w:w="1276"/>
        <w:gridCol w:w="1278"/>
        <w:gridCol w:w="1559"/>
        <w:gridCol w:w="609"/>
        <w:gridCol w:w="1373"/>
      </w:tblGrid>
      <w:tr>
        <w:tblPrEx>
          <w:tblW w:w="10065" w:type="dxa"/>
          <w:tblInd w:w="-82"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50" w:type="dxa"/>
            <w:right w:w="70" w:type="dxa"/>
          </w:tblCellMar>
          <w:tblLook w:val="04A0"/>
        </w:tblPrEx>
        <w:trPr>
          <w:trHeight w:val="390"/>
        </w:trPr>
        <w:tc>
          <w:tcPr>
            <w:tcW w:w="1785" w:type="dxa"/>
            <w:tcBorders>
              <w:top w:val="single" w:sz="8" w:space="0" w:color="00000A"/>
              <w:left w:val="single" w:sz="8" w:space="0" w:color="00000A"/>
              <w:bottom w:val="single" w:sz="8" w:space="0" w:color="00000A"/>
              <w:right w:val="single" w:sz="8"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rok 2018</w:t>
            </w:r>
          </w:p>
        </w:tc>
        <w:tc>
          <w:tcPr>
            <w:tcW w:w="1085"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b/>
                <w:bCs/>
                <w:color w:val="auto"/>
                <w:sz w:val="18"/>
                <w:szCs w:val="18"/>
                <w:lang w:val="sk-SK" w:eastAsia="sk-SK"/>
              </w:rPr>
            </w:pPr>
          </w:p>
        </w:tc>
        <w:tc>
          <w:tcPr>
            <w:tcW w:w="109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olor w:val="auto"/>
                <w:sz w:val="18"/>
                <w:szCs w:val="18"/>
                <w:lang w:val="sk-SK" w:eastAsia="sk-SK"/>
              </w:rPr>
            </w:pPr>
          </w:p>
        </w:tc>
        <w:tc>
          <w:tcPr>
            <w:tcW w:w="1275"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olor w:val="auto"/>
                <w:sz w:val="18"/>
                <w:szCs w:val="18"/>
                <w:lang w:val="sk-SK" w:eastAsia="sk-SK"/>
              </w:rPr>
            </w:pPr>
          </w:p>
        </w:tc>
        <w:tc>
          <w:tcPr>
            <w:tcW w:w="1278"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olor w:val="auto"/>
                <w:sz w:val="18"/>
                <w:szCs w:val="18"/>
                <w:lang w:val="sk-SK" w:eastAsia="sk-SK"/>
              </w:rPr>
            </w:pPr>
          </w:p>
        </w:tc>
        <w:tc>
          <w:tcPr>
            <w:tcW w:w="155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olor w:val="auto"/>
                <w:sz w:val="18"/>
                <w:szCs w:val="18"/>
                <w:lang w:val="sk-SK" w:eastAsia="sk-SK"/>
              </w:rPr>
            </w:pPr>
          </w:p>
        </w:tc>
        <w:tc>
          <w:tcPr>
            <w:tcW w:w="60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olor w:val="auto"/>
                <w:sz w:val="18"/>
                <w:szCs w:val="18"/>
                <w:lang w:val="sk-SK" w:eastAsia="sk-SK"/>
              </w:rPr>
            </w:pPr>
          </w:p>
        </w:tc>
        <w:tc>
          <w:tcPr>
            <w:tcW w:w="1373"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olor w:val="auto"/>
                <w:sz w:val="18"/>
                <w:szCs w:val="18"/>
                <w:lang w:val="sk-SK" w:eastAsia="sk-SK"/>
              </w:rPr>
            </w:pPr>
          </w:p>
        </w:tc>
      </w:tr>
      <w:tr>
        <w:tblPrEx>
          <w:tblW w:w="10065" w:type="dxa"/>
          <w:tblInd w:w="-82" w:type="dxa"/>
          <w:tblCellMar>
            <w:left w:w="50" w:type="dxa"/>
            <w:right w:w="70" w:type="dxa"/>
          </w:tblCellMar>
          <w:tblLook w:val="04A0"/>
        </w:tblPrEx>
        <w:trPr>
          <w:trHeight w:val="330"/>
        </w:trPr>
        <w:tc>
          <w:tcPr>
            <w:tcW w:w="1785" w:type="dxa"/>
            <w:tcBorders>
              <w:top w:val="single" w:sz="8" w:space="0" w:color="00000A"/>
              <w:left w:val="single" w:sz="8" w:space="0" w:color="00000A"/>
              <w:bottom w:val="single" w:sz="8" w:space="0" w:color="00000A"/>
              <w:right w:val="single" w:sz="8"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3460" w:type="dxa"/>
            <w:gridSpan w:val="3"/>
            <w:tcBorders>
              <w:top w:val="single" w:sz="8" w:space="0" w:color="00000A"/>
              <w:left w:val="single" w:sz="4" w:space="0" w:color="00000A"/>
              <w:bottom w:val="single" w:sz="4" w:space="0" w:color="00000A"/>
              <w:right w:val="single" w:sz="4" w:space="0" w:color="000001"/>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Urgentný príjem nový rok 2018</w:t>
            </w:r>
          </w:p>
        </w:tc>
        <w:tc>
          <w:tcPr>
            <w:tcW w:w="1278"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55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60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372"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r>
      <w:tr>
        <w:tblPrEx>
          <w:tblW w:w="10065" w:type="dxa"/>
          <w:tblInd w:w="-82" w:type="dxa"/>
          <w:tblCellMar>
            <w:left w:w="50" w:type="dxa"/>
            <w:right w:w="70" w:type="dxa"/>
          </w:tblCellMar>
          <w:tblLook w:val="04A0"/>
        </w:tblPrEx>
        <w:trPr>
          <w:trHeight w:val="330"/>
        </w:trPr>
        <w:tc>
          <w:tcPr>
            <w:tcW w:w="1785" w:type="dxa"/>
            <w:tcBorders>
              <w:top w:val="single" w:sz="4" w:space="0" w:color="00000A"/>
              <w:left w:val="single" w:sz="8" w:space="0" w:color="00000A"/>
              <w:bottom w:val="single" w:sz="4" w:space="0" w:color="00000A"/>
              <w:right w:val="single" w:sz="4"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typ</w:t>
            </w:r>
          </w:p>
        </w:tc>
        <w:tc>
          <w:tcPr>
            <w:tcW w:w="108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xml:space="preserve">UP 2 </w:t>
            </w:r>
          </w:p>
        </w:tc>
        <w:tc>
          <w:tcPr>
            <w:tcW w:w="1099"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xml:space="preserve">UP 1 </w:t>
            </w:r>
          </w:p>
        </w:tc>
        <w:tc>
          <w:tcPr>
            <w:tcW w:w="127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UPS</w:t>
            </w:r>
          </w:p>
        </w:tc>
        <w:tc>
          <w:tcPr>
            <w:tcW w:w="1278"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55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60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373"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r>
      <w:tr>
        <w:tblPrEx>
          <w:tblW w:w="10065" w:type="dxa"/>
          <w:tblInd w:w="-82" w:type="dxa"/>
          <w:tblCellMar>
            <w:left w:w="50" w:type="dxa"/>
            <w:right w:w="70" w:type="dxa"/>
          </w:tblCellMar>
          <w:tblLook w:val="04A0"/>
        </w:tblPrEx>
        <w:trPr>
          <w:trHeight w:val="330"/>
        </w:trPr>
        <w:tc>
          <w:tcPr>
            <w:tcW w:w="1785" w:type="dxa"/>
            <w:tcBorders>
              <w:top w:val="single" w:sz="4" w:space="0" w:color="00000A"/>
              <w:left w:val="single" w:sz="8" w:space="0" w:color="00000A"/>
              <w:bottom w:val="single" w:sz="4" w:space="0" w:color="00000A"/>
              <w:right w:val="single" w:sz="4"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počet</w:t>
            </w:r>
          </w:p>
        </w:tc>
        <w:tc>
          <w:tcPr>
            <w:tcW w:w="108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3</w:t>
            </w:r>
          </w:p>
        </w:tc>
        <w:tc>
          <w:tcPr>
            <w:tcW w:w="1099"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0</w:t>
            </w:r>
          </w:p>
        </w:tc>
        <w:tc>
          <w:tcPr>
            <w:tcW w:w="127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99</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spolu</w:t>
            </w:r>
          </w:p>
        </w:tc>
        <w:tc>
          <w:tcPr>
            <w:tcW w:w="1559"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súčasná úhrada ZP</w:t>
            </w:r>
          </w:p>
        </w:tc>
        <w:tc>
          <w:tcPr>
            <w:tcW w:w="1982" w:type="dxa"/>
            <w:gridSpan w:val="2"/>
            <w:tcBorders>
              <w:top w:val="single" w:sz="4" w:space="0" w:color="00000A"/>
              <w:left w:val="single" w:sz="8" w:space="0" w:color="00000A"/>
              <w:bottom w:val="single" w:sz="4"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potreba ďalšieho dofinancovania</w:t>
            </w:r>
          </w:p>
        </w:tc>
      </w:tr>
      <w:tr>
        <w:tblPrEx>
          <w:tblW w:w="10065" w:type="dxa"/>
          <w:tblInd w:w="-82" w:type="dxa"/>
          <w:tblCellMar>
            <w:left w:w="50" w:type="dxa"/>
            <w:right w:w="70" w:type="dxa"/>
          </w:tblCellMar>
          <w:tblLook w:val="04A0"/>
        </w:tblPrEx>
        <w:trPr>
          <w:trHeight w:val="246"/>
        </w:trPr>
        <w:tc>
          <w:tcPr>
            <w:tcW w:w="1785" w:type="dxa"/>
            <w:tcBorders>
              <w:top w:val="single" w:sz="4" w:space="0" w:color="00000A"/>
              <w:left w:val="single" w:sz="8" w:space="0" w:color="00000A"/>
              <w:bottom w:val="single" w:sz="4" w:space="0" w:color="00000A"/>
              <w:right w:val="single" w:sz="4"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náklady na mesiac</w:t>
            </w:r>
          </w:p>
        </w:tc>
        <w:tc>
          <w:tcPr>
            <w:tcW w:w="108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423 507,00</w:t>
            </w:r>
          </w:p>
        </w:tc>
        <w:tc>
          <w:tcPr>
            <w:tcW w:w="1099"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0,00</w:t>
            </w:r>
          </w:p>
        </w:tc>
        <w:tc>
          <w:tcPr>
            <w:tcW w:w="127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2 548 458,00</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2 971 965,00</w:t>
            </w:r>
          </w:p>
        </w:tc>
        <w:tc>
          <w:tcPr>
            <w:tcW w:w="155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60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373"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r>
      <w:tr>
        <w:tblPrEx>
          <w:tblW w:w="10065" w:type="dxa"/>
          <w:tblInd w:w="-82" w:type="dxa"/>
          <w:tblCellMar>
            <w:left w:w="50" w:type="dxa"/>
            <w:right w:w="70" w:type="dxa"/>
          </w:tblCellMar>
          <w:tblLook w:val="04A0"/>
        </w:tblPrEx>
        <w:trPr>
          <w:trHeight w:val="330"/>
        </w:trPr>
        <w:tc>
          <w:tcPr>
            <w:tcW w:w="1785" w:type="dxa"/>
            <w:tcBorders>
              <w:top w:val="single" w:sz="4" w:space="0" w:color="00000A"/>
              <w:left w:val="single" w:sz="8" w:space="0" w:color="00000A"/>
              <w:bottom w:val="single" w:sz="4" w:space="0" w:color="00000A"/>
              <w:right w:val="single" w:sz="4"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výnosy na mesiac</w:t>
            </w:r>
          </w:p>
        </w:tc>
        <w:tc>
          <w:tcPr>
            <w:tcW w:w="108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429 867,00</w:t>
            </w:r>
          </w:p>
        </w:tc>
        <w:tc>
          <w:tcPr>
            <w:tcW w:w="1099"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0,00</w:t>
            </w:r>
          </w:p>
        </w:tc>
        <w:tc>
          <w:tcPr>
            <w:tcW w:w="127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2 793 582,00</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3 223 449,00</w:t>
            </w:r>
          </w:p>
        </w:tc>
        <w:tc>
          <w:tcPr>
            <w:tcW w:w="155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60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373"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r>
      <w:tr>
        <w:tblPrEx>
          <w:tblW w:w="10065" w:type="dxa"/>
          <w:tblInd w:w="-82" w:type="dxa"/>
          <w:tblCellMar>
            <w:left w:w="50" w:type="dxa"/>
            <w:right w:w="70" w:type="dxa"/>
          </w:tblCellMar>
          <w:tblLook w:val="04A0"/>
        </w:tblPrEx>
        <w:trPr>
          <w:trHeight w:val="330"/>
        </w:trPr>
        <w:tc>
          <w:tcPr>
            <w:tcW w:w="1785" w:type="dxa"/>
            <w:tcBorders>
              <w:top w:val="single" w:sz="4" w:space="0" w:color="00000A"/>
              <w:left w:val="single" w:sz="8" w:space="0" w:color="00000A"/>
              <w:bottom w:val="single" w:sz="4" w:space="0" w:color="00000A"/>
              <w:right w:val="single" w:sz="4"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náklady na rok</w:t>
            </w:r>
          </w:p>
        </w:tc>
        <w:tc>
          <w:tcPr>
            <w:tcW w:w="108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5 082 084,00</w:t>
            </w:r>
          </w:p>
        </w:tc>
        <w:tc>
          <w:tcPr>
            <w:tcW w:w="1099"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0,00</w:t>
            </w:r>
          </w:p>
        </w:tc>
        <w:tc>
          <w:tcPr>
            <w:tcW w:w="127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30 581 496,00</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35 663 580,00</w:t>
            </w:r>
          </w:p>
        </w:tc>
        <w:tc>
          <w:tcPr>
            <w:tcW w:w="155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60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373"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r>
      <w:tr>
        <w:tblPrEx>
          <w:tblW w:w="10065" w:type="dxa"/>
          <w:tblInd w:w="-82" w:type="dxa"/>
          <w:tblCellMar>
            <w:left w:w="50" w:type="dxa"/>
            <w:right w:w="70" w:type="dxa"/>
          </w:tblCellMar>
          <w:tblLook w:val="04A0"/>
        </w:tblPrEx>
        <w:trPr>
          <w:trHeight w:val="330"/>
        </w:trPr>
        <w:tc>
          <w:tcPr>
            <w:tcW w:w="1785" w:type="dxa"/>
            <w:tcBorders>
              <w:top w:val="single" w:sz="4" w:space="0" w:color="00000A"/>
              <w:left w:val="single" w:sz="8" w:space="0" w:color="00000A"/>
              <w:bottom w:val="single" w:sz="4" w:space="0" w:color="00000A"/>
              <w:right w:val="single" w:sz="4"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výnosy na rok</w:t>
            </w:r>
          </w:p>
        </w:tc>
        <w:tc>
          <w:tcPr>
            <w:tcW w:w="108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5 158 404,00</w:t>
            </w:r>
          </w:p>
        </w:tc>
        <w:tc>
          <w:tcPr>
            <w:tcW w:w="1099"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0,00</w:t>
            </w:r>
          </w:p>
        </w:tc>
        <w:tc>
          <w:tcPr>
            <w:tcW w:w="127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33 522 984,00</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38 681 388,00</w:t>
            </w:r>
          </w:p>
        </w:tc>
        <w:tc>
          <w:tcPr>
            <w:tcW w:w="155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60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373"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r>
      <w:tr>
        <w:tblPrEx>
          <w:tblW w:w="10065" w:type="dxa"/>
          <w:tblInd w:w="-82" w:type="dxa"/>
          <w:tblCellMar>
            <w:left w:w="50" w:type="dxa"/>
            <w:right w:w="70" w:type="dxa"/>
          </w:tblCellMar>
          <w:tblLook w:val="04A0"/>
        </w:tblPrEx>
        <w:trPr>
          <w:trHeight w:val="330"/>
        </w:trPr>
        <w:tc>
          <w:tcPr>
            <w:tcW w:w="1785" w:type="dxa"/>
            <w:tcBorders>
              <w:top w:val="single" w:sz="4" w:space="0" w:color="00000A"/>
              <w:left w:val="single" w:sz="8" w:space="0" w:color="00000A"/>
              <w:bottom w:val="single" w:sz="4" w:space="0" w:color="00000A"/>
              <w:right w:val="single" w:sz="4"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úhrada ZP na mesiac</w:t>
            </w:r>
          </w:p>
        </w:tc>
        <w:tc>
          <w:tcPr>
            <w:tcW w:w="108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370 152,00</w:t>
            </w:r>
          </w:p>
        </w:tc>
        <w:tc>
          <w:tcPr>
            <w:tcW w:w="1099"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0,00</w:t>
            </w:r>
          </w:p>
        </w:tc>
        <w:tc>
          <w:tcPr>
            <w:tcW w:w="127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2 026 332,00</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2 396 484,00</w:t>
            </w:r>
          </w:p>
        </w:tc>
        <w:tc>
          <w:tcPr>
            <w:tcW w:w="155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60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373"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r>
      <w:tr>
        <w:tblPrEx>
          <w:tblW w:w="10065" w:type="dxa"/>
          <w:tblInd w:w="-82" w:type="dxa"/>
          <w:tblCellMar>
            <w:left w:w="50" w:type="dxa"/>
            <w:right w:w="70" w:type="dxa"/>
          </w:tblCellMar>
          <w:tblLook w:val="04A0"/>
        </w:tblPrEx>
        <w:trPr>
          <w:trHeight w:val="330"/>
        </w:trPr>
        <w:tc>
          <w:tcPr>
            <w:tcW w:w="1785" w:type="dxa"/>
            <w:tcBorders>
              <w:top w:val="single" w:sz="4" w:space="0" w:color="00000A"/>
              <w:left w:val="single" w:sz="8" w:space="0" w:color="00000A"/>
              <w:bottom w:val="single" w:sz="4" w:space="0" w:color="00000A"/>
              <w:right w:val="single" w:sz="4"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výnosy iné na mesiac</w:t>
            </w:r>
          </w:p>
        </w:tc>
        <w:tc>
          <w:tcPr>
            <w:tcW w:w="108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59 715,00</w:t>
            </w:r>
          </w:p>
        </w:tc>
        <w:tc>
          <w:tcPr>
            <w:tcW w:w="1099"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0,00</w:t>
            </w:r>
          </w:p>
        </w:tc>
        <w:tc>
          <w:tcPr>
            <w:tcW w:w="127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767 250,00</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826 965,00</w:t>
            </w:r>
          </w:p>
        </w:tc>
        <w:tc>
          <w:tcPr>
            <w:tcW w:w="155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60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373"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r>
      <w:tr>
        <w:tblPrEx>
          <w:tblW w:w="10065" w:type="dxa"/>
          <w:tblInd w:w="-82" w:type="dxa"/>
          <w:tblCellMar>
            <w:left w:w="50" w:type="dxa"/>
            <w:right w:w="70" w:type="dxa"/>
          </w:tblCellMar>
          <w:tblLook w:val="04A0"/>
        </w:tblPrEx>
        <w:trPr>
          <w:trHeight w:val="330"/>
        </w:trPr>
        <w:tc>
          <w:tcPr>
            <w:tcW w:w="1785" w:type="dxa"/>
            <w:tcBorders>
              <w:top w:val="single" w:sz="4" w:space="0" w:color="00000A"/>
              <w:left w:val="single" w:sz="8" w:space="0" w:color="00000A"/>
              <w:bottom w:val="single" w:sz="4" w:space="0" w:color="00000A"/>
              <w:right w:val="single" w:sz="4"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úhrada ZP na rok</w:t>
            </w:r>
          </w:p>
        </w:tc>
        <w:tc>
          <w:tcPr>
            <w:tcW w:w="108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4 441 824,00</w:t>
            </w:r>
          </w:p>
        </w:tc>
        <w:tc>
          <w:tcPr>
            <w:tcW w:w="1099"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0,00</w:t>
            </w:r>
          </w:p>
        </w:tc>
        <w:tc>
          <w:tcPr>
            <w:tcW w:w="1275"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24 315 984,00</w:t>
            </w:r>
          </w:p>
        </w:tc>
        <w:tc>
          <w:tcPr>
            <w:tcW w:w="1278" w:type="dxa"/>
            <w:tcBorders>
              <w:top w:val="single" w:sz="4" w:space="0" w:color="00000A"/>
              <w:left w:val="single" w:sz="4" w:space="0" w:color="00000A"/>
              <w:bottom w:val="single" w:sz="4"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28 757 808,00</w:t>
            </w:r>
          </w:p>
        </w:tc>
        <w:tc>
          <w:tcPr>
            <w:tcW w:w="155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60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373"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r>
      <w:tr>
        <w:tblPrEx>
          <w:tblW w:w="10065" w:type="dxa"/>
          <w:tblInd w:w="-82" w:type="dxa"/>
          <w:tblCellMar>
            <w:left w:w="50" w:type="dxa"/>
            <w:right w:w="70" w:type="dxa"/>
          </w:tblCellMar>
          <w:tblLook w:val="04A0"/>
        </w:tblPrEx>
        <w:trPr>
          <w:trHeight w:val="345"/>
        </w:trPr>
        <w:tc>
          <w:tcPr>
            <w:tcW w:w="1785" w:type="dxa"/>
            <w:tcBorders>
              <w:top w:val="single" w:sz="8" w:space="0" w:color="00000A"/>
              <w:left w:val="single" w:sz="8" w:space="0" w:color="00000A"/>
              <w:bottom w:val="single" w:sz="8" w:space="0" w:color="00000A"/>
              <w:right w:val="single" w:sz="4"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výnosy iné na rok</w:t>
            </w:r>
          </w:p>
        </w:tc>
        <w:tc>
          <w:tcPr>
            <w:tcW w:w="1085" w:type="dxa"/>
            <w:tcBorders>
              <w:top w:val="single" w:sz="8" w:space="0" w:color="00000A"/>
              <w:left w:val="single" w:sz="4" w:space="0" w:color="00000A"/>
              <w:bottom w:val="single" w:sz="8"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716 580,00</w:t>
            </w:r>
          </w:p>
        </w:tc>
        <w:tc>
          <w:tcPr>
            <w:tcW w:w="1099" w:type="dxa"/>
            <w:tcBorders>
              <w:top w:val="single" w:sz="8" w:space="0" w:color="00000A"/>
              <w:left w:val="single" w:sz="4" w:space="0" w:color="00000A"/>
              <w:bottom w:val="single" w:sz="8"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0,00</w:t>
            </w:r>
          </w:p>
        </w:tc>
        <w:tc>
          <w:tcPr>
            <w:tcW w:w="1275" w:type="dxa"/>
            <w:tcBorders>
              <w:top w:val="single" w:sz="8" w:space="0" w:color="00000A"/>
              <w:left w:val="single" w:sz="4" w:space="0" w:color="00000A"/>
              <w:bottom w:val="single" w:sz="8"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9 207 000,00</w:t>
            </w:r>
          </w:p>
        </w:tc>
        <w:tc>
          <w:tcPr>
            <w:tcW w:w="1278" w:type="dxa"/>
            <w:tcBorders>
              <w:top w:val="single" w:sz="8" w:space="0" w:color="00000A"/>
              <w:left w:val="single" w:sz="4" w:space="0" w:color="00000A"/>
              <w:bottom w:val="single" w:sz="8"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9 923 580,00</w:t>
            </w:r>
          </w:p>
        </w:tc>
        <w:tc>
          <w:tcPr>
            <w:tcW w:w="155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609"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c>
          <w:tcPr>
            <w:tcW w:w="1373"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 </w:t>
            </w:r>
          </w:p>
        </w:tc>
      </w:tr>
      <w:tr>
        <w:tblPrEx>
          <w:tblW w:w="10065" w:type="dxa"/>
          <w:tblInd w:w="-82" w:type="dxa"/>
          <w:tblCellMar>
            <w:left w:w="50" w:type="dxa"/>
            <w:right w:w="70" w:type="dxa"/>
          </w:tblCellMar>
          <w:tblLook w:val="04A0"/>
        </w:tblPrEx>
        <w:trPr>
          <w:trHeight w:val="390"/>
        </w:trPr>
        <w:tc>
          <w:tcPr>
            <w:tcW w:w="1785" w:type="dxa"/>
            <w:tcBorders>
              <w:top w:val="single" w:sz="8" w:space="0" w:color="00000A"/>
              <w:left w:val="single" w:sz="8" w:space="0" w:color="00000A"/>
              <w:bottom w:val="single" w:sz="8" w:space="0" w:color="00000A"/>
              <w:right w:val="single" w:sz="4" w:space="0" w:color="00000A"/>
            </w:tcBorders>
            <w:tcMar>
              <w:left w:w="50" w:type="dxa"/>
            </w:tcMar>
            <w:textDirection w:val="lrTb"/>
            <w:vAlign w:val="bottom"/>
          </w:tcPr>
          <w:p w:rsidR="00D056F8" w:rsidRPr="00A952F0" w:rsidP="00A952F0">
            <w:pPr>
              <w:widowControl/>
              <w:bidi w:val="0"/>
              <w:spacing w:after="0" w:line="240" w:lineRule="auto"/>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dopad na VZP</w:t>
            </w:r>
          </w:p>
        </w:tc>
        <w:tc>
          <w:tcPr>
            <w:tcW w:w="1085" w:type="dxa"/>
            <w:tcBorders>
              <w:top w:val="single" w:sz="8" w:space="0" w:color="00000A"/>
              <w:left w:val="single" w:sz="4" w:space="0" w:color="00000A"/>
              <w:bottom w:val="single" w:sz="8"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4 441 824,00</w:t>
            </w:r>
          </w:p>
        </w:tc>
        <w:tc>
          <w:tcPr>
            <w:tcW w:w="1099" w:type="dxa"/>
            <w:tcBorders>
              <w:top w:val="single" w:sz="8" w:space="0" w:color="00000A"/>
              <w:left w:val="single" w:sz="4" w:space="0" w:color="00000A"/>
              <w:bottom w:val="single" w:sz="8"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0,00</w:t>
            </w:r>
          </w:p>
        </w:tc>
        <w:tc>
          <w:tcPr>
            <w:tcW w:w="1275"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24 315 984,00</w:t>
            </w:r>
          </w:p>
        </w:tc>
        <w:tc>
          <w:tcPr>
            <w:tcW w:w="1278" w:type="dxa"/>
            <w:tcBorders>
              <w:top w:val="single" w:sz="8" w:space="0" w:color="00000A"/>
              <w:left w:val="single" w:sz="8" w:space="0" w:color="00000A"/>
              <w:bottom w:val="single" w:sz="8" w:space="0" w:color="00000A"/>
              <w:right w:val="single" w:sz="8" w:space="0" w:color="00000A"/>
            </w:tcBorders>
            <w:tcMar>
              <w:left w:w="50" w:type="dxa"/>
            </w:tcMar>
            <w:textDirection w:val="lrTb"/>
            <w:vAlign w:val="bottom"/>
          </w:tcPr>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28 757 808,00</w:t>
            </w:r>
          </w:p>
        </w:tc>
        <w:tc>
          <w:tcPr>
            <w:tcW w:w="1559" w:type="dxa"/>
            <w:tcBorders>
              <w:top w:val="single" w:sz="8" w:space="0" w:color="00000A"/>
              <w:left w:val="single" w:sz="4" w:space="0" w:color="00000A"/>
              <w:bottom w:val="single" w:sz="8" w:space="0" w:color="00000A"/>
              <w:right w:val="single" w:sz="4" w:space="0" w:color="00000A"/>
            </w:tcBorders>
            <w:tcMar>
              <w:left w:w="65" w:type="dxa"/>
            </w:tcMar>
            <w:textDirection w:val="lrTb"/>
            <w:vAlign w:val="bottom"/>
          </w:tcPr>
          <w:p w:rsidR="00D056F8" w:rsidRPr="00A952F0" w:rsidP="00A952F0">
            <w:pPr>
              <w:widowControl/>
              <w:bidi w:val="0"/>
              <w:spacing w:after="0" w:line="240" w:lineRule="auto"/>
              <w:jc w:val="right"/>
              <w:rPr>
                <w:rFonts w:ascii="Arial Narrow" w:hAnsi="Arial Narrow" w:cs="Calibri"/>
                <w:color w:val="auto"/>
                <w:sz w:val="18"/>
                <w:szCs w:val="18"/>
                <w:lang w:val="sk-SK" w:eastAsia="sk-SK"/>
              </w:rPr>
            </w:pPr>
            <w:r w:rsidRPr="00A952F0" w:rsidR="004F79A6">
              <w:rPr>
                <w:rFonts w:ascii="Arial Narrow" w:hAnsi="Arial Narrow" w:cs="Calibri"/>
                <w:color w:val="auto"/>
                <w:sz w:val="18"/>
                <w:szCs w:val="18"/>
                <w:lang w:val="sk-SK" w:eastAsia="sk-SK"/>
              </w:rPr>
              <w:t>21 904 082,49</w:t>
            </w:r>
          </w:p>
        </w:tc>
        <w:tc>
          <w:tcPr>
            <w:tcW w:w="1982" w:type="dxa"/>
            <w:gridSpan w:val="2"/>
            <w:tcBorders>
              <w:top w:val="single" w:sz="8" w:space="0" w:color="00000A"/>
              <w:left w:val="single" w:sz="8" w:space="0" w:color="00000A"/>
              <w:bottom w:val="single" w:sz="8" w:space="0" w:color="00000A"/>
              <w:right w:val="single" w:sz="8" w:space="0" w:color="00000A"/>
            </w:tcBorders>
            <w:textDirection w:val="lrTb"/>
            <w:vAlign w:val="bottom"/>
          </w:tcPr>
          <w:p w:rsidR="00D056F8" w:rsidRPr="00A952F0" w:rsidP="00A952F0">
            <w:pPr>
              <w:widowControl/>
              <w:bidi w:val="0"/>
              <w:spacing w:after="0" w:line="240" w:lineRule="auto"/>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 </w:t>
            </w:r>
          </w:p>
          <w:p w:rsidR="00D056F8" w:rsidRPr="00A952F0" w:rsidP="00A952F0">
            <w:pPr>
              <w:widowControl/>
              <w:bidi w:val="0"/>
              <w:spacing w:after="0" w:line="240" w:lineRule="auto"/>
              <w:jc w:val="right"/>
              <w:rPr>
                <w:rFonts w:ascii="Arial Narrow" w:hAnsi="Arial Narrow" w:cs="Calibri"/>
                <w:b/>
                <w:bCs/>
                <w:color w:val="auto"/>
                <w:sz w:val="18"/>
                <w:szCs w:val="18"/>
                <w:lang w:val="sk-SK" w:eastAsia="sk-SK"/>
              </w:rPr>
            </w:pPr>
            <w:r w:rsidRPr="00A952F0" w:rsidR="004F79A6">
              <w:rPr>
                <w:rFonts w:ascii="Arial Narrow" w:hAnsi="Arial Narrow" w:cs="Calibri"/>
                <w:b/>
                <w:bCs/>
                <w:color w:val="auto"/>
                <w:sz w:val="18"/>
                <w:szCs w:val="18"/>
                <w:lang w:val="sk-SK" w:eastAsia="sk-SK"/>
              </w:rPr>
              <w:t>6 853 725,51</w:t>
            </w:r>
          </w:p>
        </w:tc>
      </w:tr>
    </w:tbl>
    <w:p w:rsidR="00D056F8">
      <w:pPr>
        <w:bidi w:val="0"/>
        <w:spacing w:after="0" w:line="240" w:lineRule="auto"/>
        <w:jc w:val="both"/>
        <w:rPr>
          <w:rFonts w:ascii="Times New Roman" w:hAnsi="Times New Roman"/>
          <w:b/>
          <w:sz w:val="24"/>
          <w:szCs w:val="24"/>
          <w:lang w:val="sk-SK"/>
        </w:rPr>
      </w:pPr>
    </w:p>
    <w:p w:rsidR="00D056F8">
      <w:pPr>
        <w:bidi w:val="0"/>
        <w:spacing w:after="0" w:line="240" w:lineRule="auto"/>
        <w:jc w:val="both"/>
        <w:rPr>
          <w:rFonts w:ascii="Times New Roman" w:hAnsi="Times New Roman"/>
          <w:b/>
          <w:lang w:val="sk-SK"/>
        </w:rPr>
      </w:pPr>
    </w:p>
    <w:tbl>
      <w:tblPr>
        <w:tblStyle w:val="TableNormal"/>
        <w:tblW w:w="10024" w:type="dxa"/>
        <w:tblInd w:w="-122"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15" w:type="dxa"/>
          <w:left w:w="-5" w:type="dxa"/>
          <w:right w:w="15" w:type="dxa"/>
        </w:tblCellMar>
        <w:tblLook w:val="04A0"/>
      </w:tblPr>
      <w:tblGrid>
        <w:gridCol w:w="1731"/>
        <w:gridCol w:w="1102"/>
        <w:gridCol w:w="1138"/>
        <w:gridCol w:w="1275"/>
        <w:gridCol w:w="1276"/>
        <w:gridCol w:w="1560"/>
        <w:gridCol w:w="84"/>
        <w:gridCol w:w="1858"/>
      </w:tblGrid>
      <w:tr>
        <w:tblPrEx>
          <w:tblW w:w="10024" w:type="dxa"/>
          <w:tblInd w:w="-122"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top w:w="15" w:type="dxa"/>
            <w:left w:w="-5" w:type="dxa"/>
            <w:right w:w="15" w:type="dxa"/>
          </w:tblCellMar>
          <w:tblLook w:val="04A0"/>
        </w:tblPrEx>
        <w:trPr>
          <w:trHeight w:val="390"/>
        </w:trPr>
        <w:tc>
          <w:tcPr>
            <w:tcW w:w="1730" w:type="dxa"/>
            <w:tcBorders>
              <w:top w:val="single" w:sz="8" w:space="0" w:color="00000A"/>
              <w:left w:val="single" w:sz="8" w:space="0" w:color="00000A"/>
              <w:bottom w:val="single" w:sz="8" w:space="0" w:color="00000A"/>
              <w:right w:val="single" w:sz="8" w:space="0" w:color="00000A"/>
            </w:tcBorders>
            <w:tcMar>
              <w:left w:w="-5" w:type="dxa"/>
            </w:tcMar>
            <w:textDirection w:val="lrTb"/>
            <w:vAlign w:val="bottom"/>
          </w:tcPr>
          <w:p w:rsidR="00D056F8">
            <w:pPr>
              <w:widowControl/>
              <w:bidi w:val="0"/>
              <w:spacing w:after="0" w:line="240" w:lineRule="auto"/>
              <w:rPr>
                <w:rFonts w:ascii="Arial Narrow" w:hAnsi="Arial Narrow" w:cs="Calibri"/>
                <w:b/>
                <w:bCs/>
                <w:sz w:val="18"/>
                <w:szCs w:val="18"/>
                <w:lang w:val="sk-SK" w:eastAsia="sk-SK"/>
              </w:rPr>
            </w:pPr>
            <w:r w:rsidR="004F79A6">
              <w:rPr>
                <w:rFonts w:ascii="Arial Narrow" w:hAnsi="Arial Narrow" w:cs="Calibri"/>
                <w:b/>
                <w:bCs/>
                <w:sz w:val="18"/>
                <w:szCs w:val="18"/>
                <w:lang w:val="sk-SK"/>
              </w:rPr>
              <w:t>rok 2019</w:t>
            </w:r>
          </w:p>
        </w:tc>
        <w:tc>
          <w:tcPr>
            <w:tcW w:w="1101"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b/>
                <w:bCs/>
                <w:sz w:val="18"/>
                <w:szCs w:val="18"/>
                <w:lang w:val="sk-SK"/>
              </w:rPr>
            </w:pPr>
          </w:p>
        </w:tc>
        <w:tc>
          <w:tcPr>
            <w:tcW w:w="113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sz w:val="18"/>
                <w:szCs w:val="18"/>
                <w:lang w:val="sk-SK"/>
              </w:rPr>
            </w:pPr>
          </w:p>
        </w:tc>
        <w:tc>
          <w:tcPr>
            <w:tcW w:w="1275"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sz w:val="18"/>
                <w:szCs w:val="18"/>
                <w:lang w:val="sk-SK"/>
              </w:rPr>
            </w:pPr>
          </w:p>
        </w:tc>
        <w:tc>
          <w:tcPr>
            <w:tcW w:w="1276"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sz w:val="18"/>
                <w:szCs w:val="18"/>
                <w:lang w:val="sk-SK"/>
              </w:rPr>
            </w:pP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sz w:val="18"/>
                <w:szCs w:val="18"/>
                <w:lang w:val="sk-SK"/>
              </w:rPr>
            </w:pPr>
          </w:p>
        </w:tc>
        <w:tc>
          <w:tcPr>
            <w:tcW w:w="84"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sz w:val="18"/>
                <w:szCs w:val="18"/>
                <w:lang w:val="sk-SK"/>
              </w:rPr>
            </w:pPr>
          </w:p>
        </w:tc>
        <w:tc>
          <w:tcPr>
            <w:tcW w:w="185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sz w:val="18"/>
                <w:szCs w:val="18"/>
                <w:lang w:val="sk-SK"/>
              </w:rPr>
            </w:pPr>
          </w:p>
        </w:tc>
      </w:tr>
      <w:tr>
        <w:tblPrEx>
          <w:tblW w:w="10024" w:type="dxa"/>
          <w:tblInd w:w="-122" w:type="dxa"/>
          <w:tblCellMar>
            <w:top w:w="15" w:type="dxa"/>
            <w:left w:w="-5" w:type="dxa"/>
            <w:right w:w="15" w:type="dxa"/>
          </w:tblCellMar>
          <w:tblLook w:val="04A0"/>
        </w:tblPrEx>
        <w:trPr>
          <w:trHeight w:val="330"/>
        </w:trPr>
        <w:tc>
          <w:tcPr>
            <w:tcW w:w="1730" w:type="dxa"/>
            <w:tcBorders>
              <w:top w:val="single" w:sz="8" w:space="0" w:color="00000A"/>
              <w:left w:val="single" w:sz="8" w:space="0" w:color="00000A"/>
              <w:bottom w:val="single" w:sz="8" w:space="0" w:color="00000A"/>
              <w:right w:val="single" w:sz="8" w:space="0" w:color="00000A"/>
            </w:tcBorders>
            <w:tcMar>
              <w:left w:w="-5" w:type="dxa"/>
            </w:tcMar>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3514" w:type="dxa"/>
            <w:gridSpan w:val="3"/>
            <w:tcBorders>
              <w:top w:val="single" w:sz="8" w:space="0" w:color="00000A"/>
              <w:left w:val="single" w:sz="4" w:space="0" w:color="00000A"/>
              <w:bottom w:val="single" w:sz="4" w:space="0" w:color="00000A"/>
              <w:right w:val="single" w:sz="4" w:space="0" w:color="000001"/>
            </w:tcBorders>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Urgentný príjem nový rok 2019</w:t>
            </w:r>
          </w:p>
        </w:tc>
        <w:tc>
          <w:tcPr>
            <w:tcW w:w="1276"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84"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85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r>
      <w:tr>
        <w:tblPrEx>
          <w:tblW w:w="10024" w:type="dxa"/>
          <w:tblInd w:w="-122" w:type="dxa"/>
          <w:tblCellMar>
            <w:top w:w="15" w:type="dxa"/>
            <w:left w:w="-5" w:type="dxa"/>
            <w:right w:w="15" w:type="dxa"/>
          </w:tblCellMar>
          <w:tblLook w:val="04A0"/>
        </w:tblPrEx>
        <w:trPr>
          <w:trHeight w:val="330"/>
        </w:trPr>
        <w:tc>
          <w:tcPr>
            <w:tcW w:w="1730" w:type="dxa"/>
            <w:tcBorders>
              <w:top w:val="single" w:sz="4" w:space="0" w:color="00000A"/>
              <w:left w:val="single" w:sz="8" w:space="0" w:color="00000A"/>
              <w:bottom w:val="single" w:sz="4" w:space="0" w:color="00000A"/>
              <w:right w:val="single" w:sz="4" w:space="0" w:color="00000A"/>
            </w:tcBorders>
            <w:tcMar>
              <w:left w:w="-5" w:type="dxa"/>
            </w:tcMar>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typ</w:t>
            </w:r>
          </w:p>
        </w:tc>
        <w:tc>
          <w:tcPr>
            <w:tcW w:w="1101"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 xml:space="preserve">UP 2 </w:t>
            </w:r>
          </w:p>
        </w:tc>
        <w:tc>
          <w:tcPr>
            <w:tcW w:w="1138"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 xml:space="preserve">UP 1 </w:t>
            </w:r>
          </w:p>
        </w:tc>
        <w:tc>
          <w:tcPr>
            <w:tcW w:w="1275"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UPS</w:t>
            </w:r>
          </w:p>
        </w:tc>
        <w:tc>
          <w:tcPr>
            <w:tcW w:w="1276"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84"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85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r>
      <w:tr>
        <w:tblPrEx>
          <w:tblW w:w="10024" w:type="dxa"/>
          <w:tblInd w:w="-122" w:type="dxa"/>
          <w:tblCellMar>
            <w:top w:w="15" w:type="dxa"/>
            <w:left w:w="-5" w:type="dxa"/>
            <w:right w:w="15" w:type="dxa"/>
          </w:tblCellMar>
          <w:tblLook w:val="04A0"/>
        </w:tblPrEx>
        <w:trPr>
          <w:trHeight w:val="330"/>
        </w:trPr>
        <w:tc>
          <w:tcPr>
            <w:tcW w:w="1730" w:type="dxa"/>
            <w:tcBorders>
              <w:top w:val="single" w:sz="4" w:space="0" w:color="00000A"/>
              <w:left w:val="single" w:sz="8" w:space="0" w:color="00000A"/>
              <w:bottom w:val="single" w:sz="4" w:space="0" w:color="00000A"/>
              <w:right w:val="single" w:sz="4" w:space="0" w:color="00000A"/>
            </w:tcBorders>
            <w:tcMar>
              <w:left w:w="-5" w:type="dxa"/>
            </w:tcMar>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počet</w:t>
            </w:r>
          </w:p>
        </w:tc>
        <w:tc>
          <w:tcPr>
            <w:tcW w:w="1101"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6</w:t>
            </w:r>
          </w:p>
        </w:tc>
        <w:tc>
          <w:tcPr>
            <w:tcW w:w="1138"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17</w:t>
            </w:r>
          </w:p>
        </w:tc>
        <w:tc>
          <w:tcPr>
            <w:tcW w:w="1275"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79</w:t>
            </w:r>
          </w:p>
        </w:tc>
        <w:tc>
          <w:tcPr>
            <w:tcW w:w="1276"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spolu</w:t>
            </w:r>
          </w:p>
        </w:tc>
        <w:tc>
          <w:tcPr>
            <w:tcW w:w="1560"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súčasná úhrada ZP</w:t>
            </w:r>
          </w:p>
        </w:tc>
        <w:tc>
          <w:tcPr>
            <w:tcW w:w="1942" w:type="dxa"/>
            <w:gridSpan w:val="2"/>
            <w:tcBorders>
              <w:top w:val="single" w:sz="4" w:space="0" w:color="00000A"/>
              <w:left w:val="single" w:sz="8" w:space="0" w:color="00000A"/>
              <w:bottom w:val="single" w:sz="4"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potreba ďalšieho dofinancovania</w:t>
            </w:r>
          </w:p>
        </w:tc>
      </w:tr>
      <w:tr>
        <w:tblPrEx>
          <w:tblW w:w="10024" w:type="dxa"/>
          <w:tblInd w:w="-122" w:type="dxa"/>
          <w:tblCellMar>
            <w:top w:w="15" w:type="dxa"/>
            <w:left w:w="-5" w:type="dxa"/>
            <w:right w:w="15" w:type="dxa"/>
          </w:tblCellMar>
          <w:tblLook w:val="04A0"/>
        </w:tblPrEx>
        <w:trPr>
          <w:trHeight w:val="330"/>
        </w:trPr>
        <w:tc>
          <w:tcPr>
            <w:tcW w:w="1730" w:type="dxa"/>
            <w:tcBorders>
              <w:top w:val="single" w:sz="4" w:space="0" w:color="00000A"/>
              <w:left w:val="single" w:sz="8" w:space="0" w:color="00000A"/>
              <w:bottom w:val="single" w:sz="4" w:space="0" w:color="00000A"/>
              <w:right w:val="single" w:sz="4" w:space="0" w:color="00000A"/>
            </w:tcBorders>
            <w:tcMar>
              <w:left w:w="-5"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náklady na mesiac</w:t>
            </w:r>
          </w:p>
        </w:tc>
        <w:tc>
          <w:tcPr>
            <w:tcW w:w="1101"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869 886,00</w:t>
            </w:r>
          </w:p>
        </w:tc>
        <w:tc>
          <w:tcPr>
            <w:tcW w:w="1138"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627 130,00</w:t>
            </w:r>
          </w:p>
        </w:tc>
        <w:tc>
          <w:tcPr>
            <w:tcW w:w="1275"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2 077 305,00</w:t>
            </w:r>
          </w:p>
        </w:tc>
        <w:tc>
          <w:tcPr>
            <w:tcW w:w="1276"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3 574 321,00</w:t>
            </w: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84"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85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r>
      <w:tr>
        <w:tblPrEx>
          <w:tblW w:w="10024" w:type="dxa"/>
          <w:tblInd w:w="-122" w:type="dxa"/>
          <w:tblCellMar>
            <w:top w:w="15" w:type="dxa"/>
            <w:left w:w="-5" w:type="dxa"/>
            <w:right w:w="15" w:type="dxa"/>
          </w:tblCellMar>
          <w:tblLook w:val="04A0"/>
        </w:tblPrEx>
        <w:trPr>
          <w:trHeight w:val="330"/>
        </w:trPr>
        <w:tc>
          <w:tcPr>
            <w:tcW w:w="1730" w:type="dxa"/>
            <w:tcBorders>
              <w:top w:val="single" w:sz="4" w:space="0" w:color="00000A"/>
              <w:left w:val="single" w:sz="8" w:space="0" w:color="00000A"/>
              <w:bottom w:val="single" w:sz="4" w:space="0" w:color="00000A"/>
              <w:right w:val="single" w:sz="4" w:space="0" w:color="00000A"/>
            </w:tcBorders>
            <w:tcMar>
              <w:left w:w="-5"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výnosy na mesiac</w:t>
            </w:r>
          </w:p>
        </w:tc>
        <w:tc>
          <w:tcPr>
            <w:tcW w:w="1101"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885 846,00</w:t>
            </w:r>
          </w:p>
        </w:tc>
        <w:tc>
          <w:tcPr>
            <w:tcW w:w="1138"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673 098,00</w:t>
            </w:r>
          </w:p>
        </w:tc>
        <w:tc>
          <w:tcPr>
            <w:tcW w:w="1275"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2 274 094,00</w:t>
            </w:r>
          </w:p>
        </w:tc>
        <w:tc>
          <w:tcPr>
            <w:tcW w:w="1276"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3 833 038,00</w:t>
            </w: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84"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85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r>
      <w:tr>
        <w:tblPrEx>
          <w:tblW w:w="10024" w:type="dxa"/>
          <w:tblInd w:w="-122" w:type="dxa"/>
          <w:tblCellMar>
            <w:top w:w="15" w:type="dxa"/>
            <w:left w:w="-5" w:type="dxa"/>
            <w:right w:w="15" w:type="dxa"/>
          </w:tblCellMar>
          <w:tblLook w:val="04A0"/>
        </w:tblPrEx>
        <w:trPr>
          <w:trHeight w:val="330"/>
        </w:trPr>
        <w:tc>
          <w:tcPr>
            <w:tcW w:w="1730" w:type="dxa"/>
            <w:tcBorders>
              <w:top w:val="single" w:sz="4" w:space="0" w:color="00000A"/>
              <w:left w:val="single" w:sz="8" w:space="0" w:color="00000A"/>
              <w:bottom w:val="single" w:sz="4" w:space="0" w:color="00000A"/>
              <w:right w:val="single" w:sz="4" w:space="0" w:color="00000A"/>
            </w:tcBorders>
            <w:tcMar>
              <w:left w:w="-5"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náklady na rok</w:t>
            </w:r>
          </w:p>
        </w:tc>
        <w:tc>
          <w:tcPr>
            <w:tcW w:w="1101"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10 438 632,00</w:t>
            </w:r>
          </w:p>
        </w:tc>
        <w:tc>
          <w:tcPr>
            <w:tcW w:w="1138"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7 525 560,00</w:t>
            </w:r>
          </w:p>
        </w:tc>
        <w:tc>
          <w:tcPr>
            <w:tcW w:w="1275"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24 927 660,00</w:t>
            </w:r>
          </w:p>
        </w:tc>
        <w:tc>
          <w:tcPr>
            <w:tcW w:w="1276"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42 891 852,00</w:t>
            </w: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84"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85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r>
      <w:tr>
        <w:tblPrEx>
          <w:tblW w:w="10024" w:type="dxa"/>
          <w:tblInd w:w="-122" w:type="dxa"/>
          <w:tblCellMar>
            <w:top w:w="15" w:type="dxa"/>
            <w:left w:w="-5" w:type="dxa"/>
            <w:right w:w="15" w:type="dxa"/>
          </w:tblCellMar>
          <w:tblLook w:val="04A0"/>
        </w:tblPrEx>
        <w:trPr>
          <w:trHeight w:val="330"/>
        </w:trPr>
        <w:tc>
          <w:tcPr>
            <w:tcW w:w="1730" w:type="dxa"/>
            <w:tcBorders>
              <w:top w:val="single" w:sz="4" w:space="0" w:color="00000A"/>
              <w:left w:val="single" w:sz="8" w:space="0" w:color="00000A"/>
              <w:bottom w:val="single" w:sz="4" w:space="0" w:color="00000A"/>
              <w:right w:val="single" w:sz="4" w:space="0" w:color="00000A"/>
            </w:tcBorders>
            <w:tcMar>
              <w:left w:w="-5"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výnosy na rok</w:t>
            </w:r>
          </w:p>
        </w:tc>
        <w:tc>
          <w:tcPr>
            <w:tcW w:w="1101"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10 630 152,00</w:t>
            </w:r>
          </w:p>
        </w:tc>
        <w:tc>
          <w:tcPr>
            <w:tcW w:w="1138"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8 077 176,00</w:t>
            </w:r>
          </w:p>
        </w:tc>
        <w:tc>
          <w:tcPr>
            <w:tcW w:w="1275"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27 289 128,00</w:t>
            </w:r>
          </w:p>
        </w:tc>
        <w:tc>
          <w:tcPr>
            <w:tcW w:w="1276"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45 996 456,00</w:t>
            </w: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84"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85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r>
      <w:tr>
        <w:tblPrEx>
          <w:tblW w:w="10024" w:type="dxa"/>
          <w:tblInd w:w="-122" w:type="dxa"/>
          <w:tblCellMar>
            <w:top w:w="15" w:type="dxa"/>
            <w:left w:w="-5" w:type="dxa"/>
            <w:right w:w="15" w:type="dxa"/>
          </w:tblCellMar>
          <w:tblLook w:val="04A0"/>
        </w:tblPrEx>
        <w:trPr>
          <w:trHeight w:val="330"/>
        </w:trPr>
        <w:tc>
          <w:tcPr>
            <w:tcW w:w="1730" w:type="dxa"/>
            <w:tcBorders>
              <w:top w:val="single" w:sz="4" w:space="0" w:color="00000A"/>
              <w:left w:val="single" w:sz="8" w:space="0" w:color="00000A"/>
              <w:bottom w:val="single" w:sz="4" w:space="0" w:color="00000A"/>
              <w:right w:val="single" w:sz="4" w:space="0" w:color="00000A"/>
            </w:tcBorders>
            <w:tcMar>
              <w:left w:w="-5"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úhrada ZP na mesiac</w:t>
            </w:r>
          </w:p>
        </w:tc>
        <w:tc>
          <w:tcPr>
            <w:tcW w:w="1101"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765 432,00</w:t>
            </w:r>
          </w:p>
        </w:tc>
        <w:tc>
          <w:tcPr>
            <w:tcW w:w="1138"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572 696,00</w:t>
            </w:r>
          </w:p>
        </w:tc>
        <w:tc>
          <w:tcPr>
            <w:tcW w:w="1275"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1 658 447,00</w:t>
            </w:r>
          </w:p>
        </w:tc>
        <w:tc>
          <w:tcPr>
            <w:tcW w:w="1276"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2 996 575,00</w:t>
            </w: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84"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85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r>
      <w:tr>
        <w:tblPrEx>
          <w:tblW w:w="10024" w:type="dxa"/>
          <w:tblInd w:w="-122" w:type="dxa"/>
          <w:tblCellMar>
            <w:top w:w="15" w:type="dxa"/>
            <w:left w:w="-5" w:type="dxa"/>
            <w:right w:w="15" w:type="dxa"/>
          </w:tblCellMar>
          <w:tblLook w:val="04A0"/>
        </w:tblPrEx>
        <w:trPr>
          <w:trHeight w:val="330"/>
        </w:trPr>
        <w:tc>
          <w:tcPr>
            <w:tcW w:w="1730" w:type="dxa"/>
            <w:tcBorders>
              <w:top w:val="single" w:sz="4" w:space="0" w:color="00000A"/>
              <w:left w:val="single" w:sz="8" w:space="0" w:color="00000A"/>
              <w:bottom w:val="single" w:sz="4" w:space="0" w:color="00000A"/>
              <w:right w:val="single" w:sz="4" w:space="0" w:color="00000A"/>
            </w:tcBorders>
            <w:tcMar>
              <w:left w:w="-5"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výnosy iné na mesiac</w:t>
            </w:r>
          </w:p>
        </w:tc>
        <w:tc>
          <w:tcPr>
            <w:tcW w:w="1101"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120 414,00</w:t>
            </w:r>
          </w:p>
        </w:tc>
        <w:tc>
          <w:tcPr>
            <w:tcW w:w="1138"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100 402,00</w:t>
            </w:r>
          </w:p>
        </w:tc>
        <w:tc>
          <w:tcPr>
            <w:tcW w:w="1275"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615 647,00</w:t>
            </w:r>
          </w:p>
        </w:tc>
        <w:tc>
          <w:tcPr>
            <w:tcW w:w="1276"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836 463,00</w:t>
            </w: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84"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85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r>
      <w:tr>
        <w:tblPrEx>
          <w:tblW w:w="10024" w:type="dxa"/>
          <w:tblInd w:w="-122" w:type="dxa"/>
          <w:tblCellMar>
            <w:top w:w="15" w:type="dxa"/>
            <w:left w:w="-5" w:type="dxa"/>
            <w:right w:w="15" w:type="dxa"/>
          </w:tblCellMar>
          <w:tblLook w:val="04A0"/>
        </w:tblPrEx>
        <w:trPr>
          <w:trHeight w:val="330"/>
        </w:trPr>
        <w:tc>
          <w:tcPr>
            <w:tcW w:w="1730" w:type="dxa"/>
            <w:tcBorders>
              <w:top w:val="single" w:sz="4" w:space="0" w:color="00000A"/>
              <w:left w:val="single" w:sz="8" w:space="0" w:color="00000A"/>
              <w:bottom w:val="single" w:sz="4" w:space="0" w:color="00000A"/>
              <w:right w:val="single" w:sz="4" w:space="0" w:color="00000A"/>
            </w:tcBorders>
            <w:tcMar>
              <w:left w:w="-5" w:type="dxa"/>
            </w:tcMar>
            <w:textDirection w:val="lrTb"/>
            <w:vAlign w:val="bottom"/>
          </w:tcPr>
          <w:p w:rsidR="00D056F8">
            <w:pPr>
              <w:bidi w:val="0"/>
              <w:spacing w:after="0" w:line="240" w:lineRule="auto"/>
              <w:rPr>
                <w:rFonts w:ascii="Arial Narrow" w:hAnsi="Arial Narrow" w:cs="Calibri"/>
                <w:b/>
                <w:bCs/>
                <w:sz w:val="18"/>
                <w:szCs w:val="18"/>
                <w:lang w:val="sk-SK"/>
              </w:rPr>
            </w:pPr>
            <w:r w:rsidR="004F79A6">
              <w:rPr>
                <w:rFonts w:ascii="Arial Narrow" w:hAnsi="Arial Narrow" w:cs="Calibri"/>
                <w:b/>
                <w:bCs/>
                <w:sz w:val="18"/>
                <w:szCs w:val="18"/>
                <w:lang w:val="sk-SK"/>
              </w:rPr>
              <w:t>úhrada ZP na rok</w:t>
            </w:r>
          </w:p>
        </w:tc>
        <w:tc>
          <w:tcPr>
            <w:tcW w:w="1101"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9 185 184,00</w:t>
            </w:r>
          </w:p>
        </w:tc>
        <w:tc>
          <w:tcPr>
            <w:tcW w:w="1138"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6 872 352,00</w:t>
            </w:r>
          </w:p>
        </w:tc>
        <w:tc>
          <w:tcPr>
            <w:tcW w:w="1275"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19 901 364,00</w:t>
            </w:r>
          </w:p>
        </w:tc>
        <w:tc>
          <w:tcPr>
            <w:tcW w:w="1276" w:type="dxa"/>
            <w:tcBorders>
              <w:top w:val="single" w:sz="4" w:space="0" w:color="00000A"/>
              <w:left w:val="single" w:sz="4" w:space="0" w:color="00000A"/>
              <w:bottom w:val="single" w:sz="4"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35 958 900,00</w:t>
            </w: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84"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85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r>
      <w:tr>
        <w:tblPrEx>
          <w:tblW w:w="10024" w:type="dxa"/>
          <w:tblInd w:w="-122" w:type="dxa"/>
          <w:tblCellMar>
            <w:top w:w="15" w:type="dxa"/>
            <w:left w:w="-5" w:type="dxa"/>
            <w:right w:w="15" w:type="dxa"/>
          </w:tblCellMar>
          <w:tblLook w:val="04A0"/>
        </w:tblPrEx>
        <w:trPr>
          <w:trHeight w:val="345"/>
        </w:trPr>
        <w:tc>
          <w:tcPr>
            <w:tcW w:w="1730" w:type="dxa"/>
            <w:tcBorders>
              <w:top w:val="single" w:sz="8" w:space="0" w:color="00000A"/>
              <w:left w:val="single" w:sz="8" w:space="0" w:color="00000A"/>
              <w:bottom w:val="single" w:sz="8" w:space="0" w:color="00000A"/>
              <w:right w:val="single" w:sz="4" w:space="0" w:color="00000A"/>
            </w:tcBorders>
            <w:tcMar>
              <w:left w:w="-5" w:type="dxa"/>
            </w:tcMar>
            <w:textDirection w:val="lrTb"/>
            <w:vAlign w:val="bottom"/>
          </w:tcPr>
          <w:p w:rsidR="00D056F8">
            <w:pPr>
              <w:bidi w:val="0"/>
              <w:spacing w:after="0" w:line="240" w:lineRule="auto"/>
              <w:rPr>
                <w:rFonts w:ascii="Arial Narrow" w:hAnsi="Arial Narrow" w:cs="Calibri"/>
                <w:sz w:val="18"/>
                <w:szCs w:val="18"/>
                <w:lang w:val="sk-SK"/>
              </w:rPr>
            </w:pPr>
            <w:r w:rsidR="004F79A6">
              <w:rPr>
                <w:rFonts w:ascii="Arial Narrow" w:hAnsi="Arial Narrow" w:cs="Calibri"/>
                <w:sz w:val="18"/>
                <w:szCs w:val="18"/>
                <w:lang w:val="sk-SK"/>
              </w:rPr>
              <w:t>výnosy iné na rok</w:t>
            </w:r>
          </w:p>
        </w:tc>
        <w:tc>
          <w:tcPr>
            <w:tcW w:w="1101" w:type="dxa"/>
            <w:tcBorders>
              <w:top w:val="single" w:sz="8" w:space="0" w:color="00000A"/>
              <w:left w:val="single" w:sz="4" w:space="0" w:color="00000A"/>
              <w:bottom w:val="single" w:sz="8"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1 444 968,00</w:t>
            </w:r>
          </w:p>
        </w:tc>
        <w:tc>
          <w:tcPr>
            <w:tcW w:w="1138" w:type="dxa"/>
            <w:tcBorders>
              <w:top w:val="single" w:sz="8" w:space="0" w:color="00000A"/>
              <w:left w:val="single" w:sz="4" w:space="0" w:color="00000A"/>
              <w:bottom w:val="single" w:sz="8"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1 204 824,00</w:t>
            </w:r>
          </w:p>
        </w:tc>
        <w:tc>
          <w:tcPr>
            <w:tcW w:w="1275" w:type="dxa"/>
            <w:tcBorders>
              <w:top w:val="single" w:sz="8" w:space="0" w:color="00000A"/>
              <w:left w:val="single" w:sz="4" w:space="0" w:color="00000A"/>
              <w:bottom w:val="single" w:sz="8"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sz w:val="18"/>
                <w:szCs w:val="18"/>
                <w:lang w:val="sk-SK"/>
              </w:rPr>
            </w:pPr>
            <w:r w:rsidR="004F79A6">
              <w:rPr>
                <w:rFonts w:ascii="Arial Narrow" w:hAnsi="Arial Narrow" w:cs="Calibri"/>
                <w:b/>
                <w:bCs/>
                <w:sz w:val="18"/>
                <w:szCs w:val="18"/>
                <w:lang w:val="sk-SK"/>
              </w:rPr>
              <w:t>7 387 764,00</w:t>
            </w:r>
          </w:p>
        </w:tc>
        <w:tc>
          <w:tcPr>
            <w:tcW w:w="1276" w:type="dxa"/>
            <w:tcBorders>
              <w:top w:val="single" w:sz="8" w:space="0" w:color="00000A"/>
              <w:left w:val="single" w:sz="4" w:space="0" w:color="00000A"/>
              <w:bottom w:val="single" w:sz="8"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sz w:val="18"/>
                <w:szCs w:val="18"/>
                <w:lang w:val="sk-SK"/>
              </w:rPr>
            </w:pPr>
            <w:r w:rsidR="004F79A6">
              <w:rPr>
                <w:rFonts w:ascii="Arial Narrow" w:hAnsi="Arial Narrow" w:cs="Calibri"/>
                <w:sz w:val="18"/>
                <w:szCs w:val="18"/>
                <w:lang w:val="sk-SK"/>
              </w:rPr>
              <w:t>10 037 556,00</w:t>
            </w: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84"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c>
          <w:tcPr>
            <w:tcW w:w="1858"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color w:val="000000"/>
                <w:sz w:val="18"/>
                <w:szCs w:val="18"/>
                <w:lang w:val="sk-SK"/>
              </w:rPr>
            </w:pPr>
            <w:r w:rsidR="004F79A6">
              <w:rPr>
                <w:rFonts w:ascii="Arial Narrow" w:hAnsi="Arial Narrow" w:cs="Calibri"/>
                <w:color w:val="000000"/>
                <w:sz w:val="18"/>
                <w:szCs w:val="18"/>
                <w:lang w:val="sk-SK"/>
              </w:rPr>
              <w:t> </w:t>
            </w:r>
          </w:p>
        </w:tc>
      </w:tr>
      <w:tr>
        <w:tblPrEx>
          <w:tblW w:w="10024" w:type="dxa"/>
          <w:tblInd w:w="-122" w:type="dxa"/>
          <w:tblCellMar>
            <w:top w:w="15" w:type="dxa"/>
            <w:left w:w="-5" w:type="dxa"/>
            <w:right w:w="15" w:type="dxa"/>
          </w:tblCellMar>
          <w:tblLook w:val="04A0"/>
        </w:tblPrEx>
        <w:trPr>
          <w:trHeight w:val="390"/>
        </w:trPr>
        <w:tc>
          <w:tcPr>
            <w:tcW w:w="1730" w:type="dxa"/>
            <w:tcBorders>
              <w:top w:val="single" w:sz="8" w:space="0" w:color="00000A"/>
              <w:left w:val="single" w:sz="8" w:space="0" w:color="00000A"/>
              <w:bottom w:val="single" w:sz="8" w:space="0" w:color="00000A"/>
              <w:right w:val="single" w:sz="4" w:space="0" w:color="00000A"/>
            </w:tcBorders>
            <w:tcMar>
              <w:left w:w="-5" w:type="dxa"/>
            </w:tcMar>
            <w:textDirection w:val="lrTb"/>
            <w:vAlign w:val="bottom"/>
          </w:tcPr>
          <w:p w:rsidR="00D056F8">
            <w:pPr>
              <w:bidi w:val="0"/>
              <w:spacing w:after="0" w:line="240" w:lineRule="auto"/>
              <w:rPr>
                <w:rFonts w:ascii="Arial Narrow" w:hAnsi="Arial Narrow" w:cs="Calibri"/>
                <w:b/>
                <w:bCs/>
                <w:sz w:val="18"/>
                <w:szCs w:val="18"/>
                <w:lang w:val="sk-SK"/>
              </w:rPr>
            </w:pPr>
            <w:r w:rsidR="004F79A6">
              <w:rPr>
                <w:rFonts w:ascii="Arial Narrow" w:hAnsi="Arial Narrow" w:cs="Calibri"/>
                <w:b/>
                <w:bCs/>
                <w:sz w:val="18"/>
                <w:szCs w:val="18"/>
                <w:lang w:val="sk-SK"/>
              </w:rPr>
              <w:t>dopad na VZP</w:t>
            </w:r>
          </w:p>
        </w:tc>
        <w:tc>
          <w:tcPr>
            <w:tcW w:w="1101" w:type="dxa"/>
            <w:tcBorders>
              <w:top w:val="single" w:sz="8" w:space="0" w:color="00000A"/>
              <w:left w:val="single" w:sz="4" w:space="0" w:color="00000A"/>
              <w:bottom w:val="single" w:sz="8"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color w:val="FF0000"/>
                <w:sz w:val="18"/>
                <w:szCs w:val="18"/>
                <w:lang w:val="sk-SK"/>
              </w:rPr>
            </w:pPr>
            <w:r w:rsidR="004F79A6">
              <w:rPr>
                <w:rFonts w:ascii="Arial Narrow" w:hAnsi="Arial Narrow" w:cs="Calibri"/>
                <w:b/>
                <w:bCs/>
                <w:color w:val="FF0000"/>
                <w:sz w:val="18"/>
                <w:szCs w:val="18"/>
                <w:lang w:val="sk-SK"/>
              </w:rPr>
              <w:t>9 185 184,00</w:t>
            </w:r>
          </w:p>
        </w:tc>
        <w:tc>
          <w:tcPr>
            <w:tcW w:w="1138" w:type="dxa"/>
            <w:tcBorders>
              <w:top w:val="single" w:sz="8" w:space="0" w:color="00000A"/>
              <w:left w:val="single" w:sz="4" w:space="0" w:color="00000A"/>
              <w:bottom w:val="single" w:sz="8"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b/>
                <w:bCs/>
                <w:color w:val="FF0000"/>
                <w:sz w:val="18"/>
                <w:szCs w:val="18"/>
                <w:lang w:val="sk-SK"/>
              </w:rPr>
            </w:pPr>
            <w:r w:rsidR="004F79A6">
              <w:rPr>
                <w:rFonts w:ascii="Arial Narrow" w:hAnsi="Arial Narrow" w:cs="Calibri"/>
                <w:b/>
                <w:bCs/>
                <w:color w:val="FF0000"/>
                <w:sz w:val="18"/>
                <w:szCs w:val="18"/>
                <w:lang w:val="sk-SK"/>
              </w:rPr>
              <w:t>6 872 352,00</w:t>
            </w:r>
          </w:p>
        </w:tc>
        <w:tc>
          <w:tcPr>
            <w:tcW w:w="1275" w:type="dxa"/>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jc w:val="right"/>
              <w:rPr>
                <w:rFonts w:ascii="Arial Narrow" w:hAnsi="Arial Narrow" w:cs="Calibri"/>
                <w:b/>
                <w:bCs/>
                <w:color w:val="FF0000"/>
                <w:sz w:val="18"/>
                <w:szCs w:val="18"/>
                <w:lang w:val="sk-SK"/>
              </w:rPr>
            </w:pPr>
            <w:r w:rsidR="004F79A6">
              <w:rPr>
                <w:rFonts w:ascii="Arial Narrow" w:hAnsi="Arial Narrow" w:cs="Calibri"/>
                <w:b/>
                <w:bCs/>
                <w:color w:val="FF0000"/>
                <w:sz w:val="18"/>
                <w:szCs w:val="18"/>
                <w:lang w:val="sk-SK"/>
              </w:rPr>
              <w:t>19 901 364,00</w:t>
            </w:r>
          </w:p>
        </w:tc>
        <w:tc>
          <w:tcPr>
            <w:tcW w:w="1276" w:type="dxa"/>
            <w:tcBorders>
              <w:top w:val="single" w:sz="8" w:space="0" w:color="00000A"/>
              <w:left w:val="single" w:sz="8" w:space="0" w:color="00000A"/>
              <w:bottom w:val="single" w:sz="8" w:space="0" w:color="00000A"/>
              <w:right w:val="single" w:sz="8" w:space="0" w:color="00000A"/>
            </w:tcBorders>
            <w:tcMar>
              <w:left w:w="-5" w:type="dxa"/>
            </w:tcMar>
            <w:textDirection w:val="lrTb"/>
            <w:vAlign w:val="bottom"/>
          </w:tcPr>
          <w:p w:rsidR="00D056F8">
            <w:pPr>
              <w:bidi w:val="0"/>
              <w:spacing w:after="0" w:line="240" w:lineRule="auto"/>
              <w:jc w:val="right"/>
              <w:rPr>
                <w:rFonts w:ascii="Arial Narrow" w:hAnsi="Arial Narrow" w:cs="Calibri"/>
                <w:b/>
                <w:bCs/>
                <w:color w:val="FF0000"/>
                <w:sz w:val="18"/>
                <w:szCs w:val="18"/>
                <w:lang w:val="sk-SK"/>
              </w:rPr>
            </w:pPr>
            <w:r w:rsidR="004F79A6">
              <w:rPr>
                <w:rFonts w:ascii="Arial Narrow" w:hAnsi="Arial Narrow" w:cs="Calibri"/>
                <w:b/>
                <w:bCs/>
                <w:color w:val="FF0000"/>
                <w:sz w:val="18"/>
                <w:szCs w:val="18"/>
                <w:lang w:val="sk-SK"/>
              </w:rPr>
              <w:t>35 958 900,00</w:t>
            </w:r>
          </w:p>
        </w:tc>
        <w:tc>
          <w:tcPr>
            <w:tcW w:w="1560" w:type="dxa"/>
            <w:tcBorders>
              <w:top w:val="single" w:sz="8" w:space="0" w:color="00000A"/>
              <w:left w:val="single" w:sz="4" w:space="0" w:color="00000A"/>
              <w:bottom w:val="single" w:sz="8" w:space="0" w:color="00000A"/>
              <w:right w:val="single" w:sz="4" w:space="0" w:color="00000A"/>
            </w:tcBorders>
            <w:tcMar>
              <w:left w:w="10" w:type="dxa"/>
            </w:tcMar>
            <w:textDirection w:val="lrTb"/>
            <w:vAlign w:val="bottom"/>
          </w:tcPr>
          <w:p w:rsidR="00D056F8">
            <w:pPr>
              <w:bidi w:val="0"/>
              <w:spacing w:after="0" w:line="240" w:lineRule="auto"/>
              <w:jc w:val="right"/>
              <w:rPr>
                <w:rFonts w:ascii="Arial Narrow" w:hAnsi="Arial Narrow" w:cs="Calibri"/>
                <w:color w:val="000000"/>
                <w:sz w:val="18"/>
                <w:szCs w:val="18"/>
                <w:lang w:val="sk-SK"/>
              </w:rPr>
            </w:pPr>
            <w:r w:rsidR="004F79A6">
              <w:rPr>
                <w:rFonts w:ascii="Arial Narrow" w:hAnsi="Arial Narrow" w:cs="Calibri"/>
                <w:color w:val="000000"/>
                <w:sz w:val="18"/>
                <w:szCs w:val="18"/>
                <w:lang w:val="sk-SK"/>
              </w:rPr>
              <w:t>21 904 082,49</w:t>
            </w:r>
          </w:p>
        </w:tc>
        <w:tc>
          <w:tcPr>
            <w:tcW w:w="1942" w:type="dxa"/>
            <w:gridSpan w:val="2"/>
            <w:tcBorders>
              <w:top w:val="single" w:sz="8" w:space="0" w:color="00000A"/>
              <w:left w:val="single" w:sz="8" w:space="0" w:color="00000A"/>
              <w:bottom w:val="single" w:sz="8" w:space="0" w:color="00000A"/>
              <w:right w:val="single" w:sz="8" w:space="0" w:color="00000A"/>
            </w:tcBorders>
            <w:textDirection w:val="lrTb"/>
            <w:vAlign w:val="bottom"/>
          </w:tcPr>
          <w:p w:rsidR="00D056F8">
            <w:pPr>
              <w:bidi w:val="0"/>
              <w:spacing w:after="0" w:line="240" w:lineRule="auto"/>
              <w:rPr>
                <w:rFonts w:ascii="Arial Narrow" w:hAnsi="Arial Narrow" w:cs="Calibri"/>
                <w:b/>
                <w:bCs/>
                <w:sz w:val="18"/>
                <w:szCs w:val="18"/>
                <w:lang w:val="sk-SK"/>
              </w:rPr>
            </w:pPr>
            <w:r w:rsidR="004F79A6">
              <w:rPr>
                <w:rFonts w:ascii="Arial Narrow" w:hAnsi="Arial Narrow" w:cs="Calibri"/>
                <w:b/>
                <w:bCs/>
                <w:sz w:val="18"/>
                <w:szCs w:val="18"/>
                <w:lang w:val="sk-SK"/>
              </w:rPr>
              <w:t> </w:t>
            </w:r>
          </w:p>
          <w:p w:rsidR="00D056F8">
            <w:pPr>
              <w:bidi w:val="0"/>
              <w:spacing w:after="0" w:line="240" w:lineRule="auto"/>
              <w:jc w:val="right"/>
              <w:rPr>
                <w:rFonts w:ascii="Arial Narrow" w:hAnsi="Arial Narrow" w:cs="Calibri"/>
                <w:b/>
                <w:bCs/>
                <w:color w:val="FF0000"/>
                <w:sz w:val="18"/>
                <w:szCs w:val="18"/>
                <w:lang w:val="sk-SK"/>
              </w:rPr>
            </w:pPr>
            <w:r w:rsidR="004F79A6">
              <w:rPr>
                <w:rFonts w:ascii="Arial Narrow" w:hAnsi="Arial Narrow" w:cs="Calibri"/>
                <w:b/>
                <w:bCs/>
                <w:color w:val="FF0000"/>
                <w:sz w:val="18"/>
                <w:szCs w:val="18"/>
                <w:lang w:val="sk-SK"/>
              </w:rPr>
              <w:t>14 054 817,51</w:t>
            </w:r>
          </w:p>
        </w:tc>
      </w:tr>
    </w:tbl>
    <w:p w:rsidR="00D056F8">
      <w:pPr>
        <w:bidi w:val="0"/>
        <w:spacing w:after="0" w:line="240" w:lineRule="auto"/>
        <w:jc w:val="both"/>
        <w:rPr>
          <w:rFonts w:ascii="Times New Roman" w:hAnsi="Times New Roman"/>
          <w:b/>
          <w:lang w:val="sk-SK"/>
        </w:rPr>
      </w:pPr>
    </w:p>
    <w:p w:rsidR="00D056F8">
      <w:pPr>
        <w:bidi w:val="0"/>
        <w:spacing w:after="0" w:line="240" w:lineRule="auto"/>
        <w:jc w:val="both"/>
        <w:rPr>
          <w:rFonts w:ascii="Times New Roman" w:hAnsi="Times New Roman"/>
          <w:b/>
          <w:lang w:val="sk-SK"/>
        </w:rPr>
      </w:pPr>
    </w:p>
    <w:tbl>
      <w:tblPr>
        <w:tblStyle w:val="TableNormal"/>
        <w:tblW w:w="9923" w:type="dxa"/>
        <w:tblInd w:w="-82"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50" w:type="dxa"/>
          <w:right w:w="70" w:type="dxa"/>
        </w:tblCellMar>
        <w:tblLook w:val="04A0"/>
      </w:tblPr>
      <w:tblGrid>
        <w:gridCol w:w="1701"/>
        <w:gridCol w:w="1135"/>
        <w:gridCol w:w="1135"/>
        <w:gridCol w:w="1275"/>
        <w:gridCol w:w="1276"/>
        <w:gridCol w:w="1560"/>
        <w:gridCol w:w="1134"/>
        <w:gridCol w:w="707"/>
      </w:tblGrid>
      <w:tr>
        <w:tblPrEx>
          <w:tblW w:w="9923" w:type="dxa"/>
          <w:tblInd w:w="-82"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50" w:type="dxa"/>
            <w:right w:w="70" w:type="dxa"/>
          </w:tblCellMar>
          <w:tblLook w:val="04A0"/>
        </w:tblPrEx>
        <w:trPr>
          <w:trHeight w:val="345"/>
        </w:trPr>
        <w:tc>
          <w:tcPr>
            <w:tcW w:w="1700" w:type="dxa"/>
            <w:tcBorders>
              <w:top w:val="single" w:sz="8" w:space="0" w:color="00000A"/>
              <w:left w:val="single" w:sz="8" w:space="0" w:color="00000A"/>
              <w:bottom w:val="single" w:sz="8" w:space="0" w:color="00000A"/>
              <w:right w:val="single" w:sz="8" w:space="0" w:color="00000A"/>
            </w:tcBorders>
            <w:shd w:val="clear" w:color="000000" w:fill="FFFF00"/>
            <w:tcMar>
              <w:left w:w="50" w:type="dxa"/>
            </w:tcMar>
            <w:textDirection w:val="lrTb"/>
            <w:vAlign w:val="bottom"/>
          </w:tcPr>
          <w:p w:rsidR="00D056F8" w:rsidRPr="008C7A1C">
            <w:pPr>
              <w:widowControl/>
              <w:bidi w:val="0"/>
              <w:spacing w:after="0" w:line="240" w:lineRule="auto"/>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rok 2020</w:t>
            </w:r>
          </w:p>
        </w:tc>
        <w:tc>
          <w:tcPr>
            <w:tcW w:w="1135"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8C7A1C">
            <w:pPr>
              <w:widowControl/>
              <w:bidi w:val="0"/>
              <w:spacing w:after="0" w:line="240" w:lineRule="auto"/>
              <w:rPr>
                <w:rFonts w:ascii="Arial Narrow" w:hAnsi="Arial Narrow" w:cs="Calibri"/>
                <w:b/>
                <w:bCs/>
                <w:sz w:val="18"/>
                <w:szCs w:val="18"/>
                <w:lang w:val="sk-SK" w:eastAsia="sk-SK"/>
              </w:rPr>
            </w:pPr>
          </w:p>
        </w:tc>
        <w:tc>
          <w:tcPr>
            <w:tcW w:w="1135"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8C7A1C">
            <w:pPr>
              <w:widowControl/>
              <w:bidi w:val="0"/>
              <w:spacing w:after="0" w:line="240" w:lineRule="auto"/>
              <w:rPr>
                <w:rFonts w:ascii="Arial Narrow" w:hAnsi="Arial Narrow"/>
                <w:sz w:val="18"/>
                <w:szCs w:val="18"/>
                <w:lang w:val="sk-SK" w:eastAsia="sk-SK"/>
              </w:rPr>
            </w:pPr>
          </w:p>
        </w:tc>
        <w:tc>
          <w:tcPr>
            <w:tcW w:w="1275"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8C7A1C">
            <w:pPr>
              <w:widowControl/>
              <w:bidi w:val="0"/>
              <w:spacing w:after="0" w:line="240" w:lineRule="auto"/>
              <w:rPr>
                <w:rFonts w:ascii="Arial Narrow" w:hAnsi="Arial Narrow"/>
                <w:sz w:val="18"/>
                <w:szCs w:val="18"/>
                <w:lang w:val="sk-SK" w:eastAsia="sk-SK"/>
              </w:rPr>
            </w:pPr>
          </w:p>
        </w:tc>
        <w:tc>
          <w:tcPr>
            <w:tcW w:w="1276"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8C7A1C">
            <w:pPr>
              <w:widowControl/>
              <w:bidi w:val="0"/>
              <w:spacing w:after="0" w:line="240" w:lineRule="auto"/>
              <w:rPr>
                <w:rFonts w:ascii="Arial Narrow" w:hAnsi="Arial Narrow"/>
                <w:sz w:val="18"/>
                <w:szCs w:val="18"/>
                <w:lang w:val="sk-SK" w:eastAsia="sk-SK"/>
              </w:rPr>
            </w:pPr>
          </w:p>
        </w:tc>
        <w:tc>
          <w:tcPr>
            <w:tcW w:w="1560"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8C7A1C">
            <w:pPr>
              <w:widowControl/>
              <w:bidi w:val="0"/>
              <w:spacing w:after="0" w:line="240" w:lineRule="auto"/>
              <w:rPr>
                <w:rFonts w:ascii="Arial Narrow" w:hAnsi="Arial Narrow"/>
                <w:sz w:val="18"/>
                <w:szCs w:val="18"/>
                <w:lang w:val="sk-SK" w:eastAsia="sk-SK"/>
              </w:rPr>
            </w:pPr>
          </w:p>
        </w:tc>
        <w:tc>
          <w:tcPr>
            <w:tcW w:w="1134"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8C7A1C">
            <w:pPr>
              <w:widowControl/>
              <w:bidi w:val="0"/>
              <w:spacing w:after="0" w:line="240" w:lineRule="auto"/>
              <w:rPr>
                <w:rFonts w:ascii="Arial Narrow" w:hAnsi="Arial Narrow"/>
                <w:sz w:val="18"/>
                <w:szCs w:val="18"/>
                <w:lang w:val="sk-SK" w:eastAsia="sk-SK"/>
              </w:rPr>
            </w:pPr>
          </w:p>
        </w:tc>
        <w:tc>
          <w:tcPr>
            <w:tcW w:w="706" w:type="dxa"/>
            <w:tcBorders>
              <w:top w:val="single" w:sz="8" w:space="0" w:color="00000A"/>
              <w:left w:val="single" w:sz="8" w:space="0" w:color="00000A"/>
              <w:bottom w:val="single" w:sz="8" w:space="0" w:color="00000A"/>
              <w:right w:val="single" w:sz="8" w:space="0" w:color="00000A"/>
            </w:tcBorders>
            <w:textDirection w:val="lrTb"/>
            <w:vAlign w:val="bottom"/>
          </w:tcPr>
          <w:p w:rsidR="00D056F8" w:rsidRPr="008C7A1C">
            <w:pPr>
              <w:widowControl/>
              <w:bidi w:val="0"/>
              <w:spacing w:after="0" w:line="240" w:lineRule="auto"/>
              <w:rPr>
                <w:rFonts w:ascii="Arial Narrow" w:hAnsi="Arial Narrow"/>
                <w:sz w:val="18"/>
                <w:szCs w:val="18"/>
                <w:lang w:val="sk-SK" w:eastAsia="sk-SK"/>
              </w:rPr>
            </w:pPr>
          </w:p>
        </w:tc>
      </w:tr>
      <w:tr>
        <w:tblPrEx>
          <w:tblW w:w="9923" w:type="dxa"/>
          <w:tblInd w:w="-82" w:type="dxa"/>
          <w:tblCellMar>
            <w:left w:w="50" w:type="dxa"/>
            <w:right w:w="70" w:type="dxa"/>
          </w:tblCellMar>
          <w:tblLook w:val="04A0"/>
        </w:tblPrEx>
        <w:trPr>
          <w:trHeight w:val="346"/>
        </w:trPr>
        <w:tc>
          <w:tcPr>
            <w:tcW w:w="1700" w:type="dxa"/>
            <w:tcBorders>
              <w:top w:val="single" w:sz="8" w:space="0" w:color="00000A"/>
              <w:left w:val="single" w:sz="8" w:space="0" w:color="00000A"/>
              <w:bottom w:val="single" w:sz="8" w:space="0" w:color="00000A"/>
              <w:right w:val="single" w:sz="8"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3544" w:type="dxa"/>
            <w:gridSpan w:val="3"/>
            <w:tcBorders>
              <w:top w:val="single" w:sz="8" w:space="0" w:color="00000A"/>
              <w:left w:val="single" w:sz="4" w:space="0" w:color="00000A"/>
              <w:bottom w:val="single" w:sz="4" w:space="0" w:color="00000A"/>
              <w:right w:val="single" w:sz="4" w:space="0" w:color="000001"/>
            </w:tcBorders>
            <w:shd w:val="clear" w:color="000000" w:fill="FFC000"/>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Urgentný príjem nový rok 2020</w:t>
            </w:r>
          </w:p>
        </w:tc>
        <w:tc>
          <w:tcPr>
            <w:tcW w:w="1276"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560"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134"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707"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r>
      <w:tr>
        <w:tblPrEx>
          <w:tblW w:w="9923" w:type="dxa"/>
          <w:tblInd w:w="-82" w:type="dxa"/>
          <w:tblCellMar>
            <w:left w:w="50" w:type="dxa"/>
            <w:right w:w="70" w:type="dxa"/>
          </w:tblCellMar>
          <w:tblLook w:val="04A0"/>
        </w:tblPrEx>
        <w:trPr>
          <w:trHeight w:val="330"/>
        </w:trPr>
        <w:tc>
          <w:tcPr>
            <w:tcW w:w="1700" w:type="dxa"/>
            <w:tcBorders>
              <w:top w:val="single" w:sz="4" w:space="0" w:color="00000A"/>
              <w:left w:val="single" w:sz="8" w:space="0" w:color="00000A"/>
              <w:bottom w:val="single" w:sz="4" w:space="0" w:color="00000A"/>
              <w:right w:val="single" w:sz="4"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typ</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 xml:space="preserve">UP 2 </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 xml:space="preserve">UP 1 </w:t>
            </w:r>
          </w:p>
        </w:tc>
        <w:tc>
          <w:tcPr>
            <w:tcW w:w="127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UPS</w:t>
            </w:r>
          </w:p>
        </w:tc>
        <w:tc>
          <w:tcPr>
            <w:tcW w:w="1276"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560"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134"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706"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r>
      <w:tr>
        <w:tblPrEx>
          <w:tblW w:w="9923" w:type="dxa"/>
          <w:tblInd w:w="-82" w:type="dxa"/>
          <w:tblCellMar>
            <w:left w:w="50" w:type="dxa"/>
            <w:right w:w="70" w:type="dxa"/>
          </w:tblCellMar>
          <w:tblLook w:val="04A0"/>
        </w:tblPrEx>
        <w:trPr>
          <w:trHeight w:val="330"/>
        </w:trPr>
        <w:tc>
          <w:tcPr>
            <w:tcW w:w="1700" w:type="dxa"/>
            <w:tcBorders>
              <w:top w:val="single" w:sz="4" w:space="0" w:color="00000A"/>
              <w:left w:val="single" w:sz="8" w:space="0" w:color="00000A"/>
              <w:bottom w:val="single" w:sz="4" w:space="0" w:color="00000A"/>
              <w:right w:val="single" w:sz="4"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počet</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8</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24</w:t>
            </w:r>
          </w:p>
        </w:tc>
        <w:tc>
          <w:tcPr>
            <w:tcW w:w="127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70</w:t>
            </w:r>
          </w:p>
        </w:tc>
        <w:tc>
          <w:tcPr>
            <w:tcW w:w="1276"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spolu</w:t>
            </w:r>
          </w:p>
        </w:tc>
        <w:tc>
          <w:tcPr>
            <w:tcW w:w="1560"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súčasná úhrada ZP</w:t>
            </w:r>
          </w:p>
        </w:tc>
        <w:tc>
          <w:tcPr>
            <w:tcW w:w="1840" w:type="dxa"/>
            <w:gridSpan w:val="2"/>
            <w:tcBorders>
              <w:top w:val="single" w:sz="4" w:space="0" w:color="00000A"/>
              <w:left w:val="single" w:sz="8" w:space="0" w:color="00000A"/>
              <w:bottom w:val="single" w:sz="4"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dofinancovanie</w:t>
            </w:r>
          </w:p>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potreba ďalšieho dofinancovania</w:t>
            </w:r>
          </w:p>
        </w:tc>
      </w:tr>
      <w:tr>
        <w:tblPrEx>
          <w:tblW w:w="9923" w:type="dxa"/>
          <w:tblInd w:w="-82" w:type="dxa"/>
          <w:tblCellMar>
            <w:left w:w="50" w:type="dxa"/>
            <w:right w:w="70" w:type="dxa"/>
          </w:tblCellMar>
          <w:tblLook w:val="04A0"/>
        </w:tblPrEx>
        <w:trPr>
          <w:trHeight w:val="330"/>
        </w:trPr>
        <w:tc>
          <w:tcPr>
            <w:tcW w:w="1700" w:type="dxa"/>
            <w:tcBorders>
              <w:top w:val="single" w:sz="4" w:space="0" w:color="00000A"/>
              <w:left w:val="single" w:sz="8" w:space="0" w:color="00000A"/>
              <w:bottom w:val="single" w:sz="4" w:space="0" w:color="00000A"/>
              <w:right w:val="single" w:sz="4"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náklady na mesiac</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1 189 608,00</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917 544,00</w:t>
            </w:r>
          </w:p>
        </w:tc>
        <w:tc>
          <w:tcPr>
            <w:tcW w:w="127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1 909 600,00</w:t>
            </w:r>
          </w:p>
        </w:tc>
        <w:tc>
          <w:tcPr>
            <w:tcW w:w="1276"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4 016 752,00</w:t>
            </w:r>
          </w:p>
        </w:tc>
        <w:tc>
          <w:tcPr>
            <w:tcW w:w="1560"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134"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706"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r>
      <w:tr>
        <w:tblPrEx>
          <w:tblW w:w="9923" w:type="dxa"/>
          <w:tblInd w:w="-82" w:type="dxa"/>
          <w:tblCellMar>
            <w:left w:w="50" w:type="dxa"/>
            <w:right w:w="70" w:type="dxa"/>
          </w:tblCellMar>
          <w:tblLook w:val="04A0"/>
        </w:tblPrEx>
        <w:trPr>
          <w:trHeight w:val="330"/>
        </w:trPr>
        <w:tc>
          <w:tcPr>
            <w:tcW w:w="1700" w:type="dxa"/>
            <w:tcBorders>
              <w:top w:val="single" w:sz="4" w:space="0" w:color="00000A"/>
              <w:left w:val="single" w:sz="8" w:space="0" w:color="00000A"/>
              <w:bottom w:val="single" w:sz="4" w:space="0" w:color="00000A"/>
              <w:right w:val="single" w:sz="4"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výnosy na mesiac</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1 219 112,00</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964 152,00</w:t>
            </w:r>
          </w:p>
        </w:tc>
        <w:tc>
          <w:tcPr>
            <w:tcW w:w="127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2 056 740,00</w:t>
            </w:r>
          </w:p>
        </w:tc>
        <w:tc>
          <w:tcPr>
            <w:tcW w:w="1276"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4 240 004,00</w:t>
            </w:r>
          </w:p>
        </w:tc>
        <w:tc>
          <w:tcPr>
            <w:tcW w:w="1560"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134"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706"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r>
      <w:tr>
        <w:tblPrEx>
          <w:tblW w:w="9923" w:type="dxa"/>
          <w:tblInd w:w="-82" w:type="dxa"/>
          <w:tblCellMar>
            <w:left w:w="50" w:type="dxa"/>
            <w:right w:w="70" w:type="dxa"/>
          </w:tblCellMar>
          <w:tblLook w:val="04A0"/>
        </w:tblPrEx>
        <w:trPr>
          <w:trHeight w:val="330"/>
        </w:trPr>
        <w:tc>
          <w:tcPr>
            <w:tcW w:w="1700" w:type="dxa"/>
            <w:tcBorders>
              <w:top w:val="single" w:sz="4" w:space="0" w:color="00000A"/>
              <w:left w:val="single" w:sz="8" w:space="0" w:color="00000A"/>
              <w:bottom w:val="single" w:sz="4" w:space="0" w:color="00000A"/>
              <w:right w:val="single" w:sz="4"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náklady na rok</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14 275 296,00</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11 010 528,00</w:t>
            </w:r>
          </w:p>
        </w:tc>
        <w:tc>
          <w:tcPr>
            <w:tcW w:w="127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22 915 200,00</w:t>
            </w:r>
          </w:p>
        </w:tc>
        <w:tc>
          <w:tcPr>
            <w:tcW w:w="1276"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48 201 024,00</w:t>
            </w:r>
          </w:p>
        </w:tc>
        <w:tc>
          <w:tcPr>
            <w:tcW w:w="1560"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134"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706"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r>
      <w:tr>
        <w:tblPrEx>
          <w:tblW w:w="9923" w:type="dxa"/>
          <w:tblInd w:w="-82" w:type="dxa"/>
          <w:tblCellMar>
            <w:left w:w="50" w:type="dxa"/>
            <w:right w:w="70" w:type="dxa"/>
          </w:tblCellMar>
          <w:tblLook w:val="04A0"/>
        </w:tblPrEx>
        <w:trPr>
          <w:trHeight w:val="330"/>
        </w:trPr>
        <w:tc>
          <w:tcPr>
            <w:tcW w:w="1700" w:type="dxa"/>
            <w:tcBorders>
              <w:top w:val="single" w:sz="4" w:space="0" w:color="00000A"/>
              <w:left w:val="single" w:sz="8" w:space="0" w:color="00000A"/>
              <w:bottom w:val="single" w:sz="4" w:space="0" w:color="00000A"/>
              <w:right w:val="single" w:sz="4"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výnosy na rok</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14 629 344,00</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11 569 824,00</w:t>
            </w:r>
          </w:p>
        </w:tc>
        <w:tc>
          <w:tcPr>
            <w:tcW w:w="127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24 680 880,00</w:t>
            </w:r>
          </w:p>
        </w:tc>
        <w:tc>
          <w:tcPr>
            <w:tcW w:w="1276"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50 880 048,00</w:t>
            </w:r>
          </w:p>
        </w:tc>
        <w:tc>
          <w:tcPr>
            <w:tcW w:w="1560"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134"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706"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r>
      <w:tr>
        <w:tblPrEx>
          <w:tblW w:w="9923" w:type="dxa"/>
          <w:tblInd w:w="-82" w:type="dxa"/>
          <w:tblCellMar>
            <w:left w:w="50" w:type="dxa"/>
            <w:right w:w="70" w:type="dxa"/>
          </w:tblCellMar>
          <w:tblLook w:val="04A0"/>
        </w:tblPrEx>
        <w:trPr>
          <w:trHeight w:val="330"/>
        </w:trPr>
        <w:tc>
          <w:tcPr>
            <w:tcW w:w="1700" w:type="dxa"/>
            <w:tcBorders>
              <w:top w:val="single" w:sz="4" w:space="0" w:color="00000A"/>
              <w:left w:val="single" w:sz="8" w:space="0" w:color="00000A"/>
              <w:bottom w:val="single" w:sz="4" w:space="0" w:color="00000A"/>
              <w:right w:val="single" w:sz="4"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úhrada ZP na mesiac</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1 057 664,00</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821 808,00</w:t>
            </w:r>
          </w:p>
        </w:tc>
        <w:tc>
          <w:tcPr>
            <w:tcW w:w="127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1 508 220,00</w:t>
            </w:r>
          </w:p>
        </w:tc>
        <w:tc>
          <w:tcPr>
            <w:tcW w:w="1276"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3 387 692,00</w:t>
            </w:r>
          </w:p>
        </w:tc>
        <w:tc>
          <w:tcPr>
            <w:tcW w:w="1560"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134"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706"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r>
      <w:tr>
        <w:tblPrEx>
          <w:tblW w:w="9923" w:type="dxa"/>
          <w:tblInd w:w="-82" w:type="dxa"/>
          <w:tblCellMar>
            <w:left w:w="50" w:type="dxa"/>
            <w:right w:w="70" w:type="dxa"/>
          </w:tblCellMar>
          <w:tblLook w:val="04A0"/>
        </w:tblPrEx>
        <w:trPr>
          <w:trHeight w:val="330"/>
        </w:trPr>
        <w:tc>
          <w:tcPr>
            <w:tcW w:w="1700" w:type="dxa"/>
            <w:tcBorders>
              <w:top w:val="single" w:sz="4" w:space="0" w:color="00000A"/>
              <w:left w:val="single" w:sz="8" w:space="0" w:color="00000A"/>
              <w:bottom w:val="single" w:sz="4" w:space="0" w:color="00000A"/>
              <w:right w:val="single" w:sz="4"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výnosy iné na mesiac</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161 448,00</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142 344,00</w:t>
            </w:r>
          </w:p>
        </w:tc>
        <w:tc>
          <w:tcPr>
            <w:tcW w:w="127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548 520,00</w:t>
            </w:r>
          </w:p>
        </w:tc>
        <w:tc>
          <w:tcPr>
            <w:tcW w:w="1276"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852 312,00</w:t>
            </w:r>
          </w:p>
        </w:tc>
        <w:tc>
          <w:tcPr>
            <w:tcW w:w="1560"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134"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706"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r>
      <w:tr>
        <w:tblPrEx>
          <w:tblW w:w="9923" w:type="dxa"/>
          <w:tblInd w:w="-82" w:type="dxa"/>
          <w:tblCellMar>
            <w:left w:w="50" w:type="dxa"/>
            <w:right w:w="70" w:type="dxa"/>
          </w:tblCellMar>
          <w:tblLook w:val="04A0"/>
        </w:tblPrEx>
        <w:trPr>
          <w:trHeight w:val="330"/>
        </w:trPr>
        <w:tc>
          <w:tcPr>
            <w:tcW w:w="1700" w:type="dxa"/>
            <w:tcBorders>
              <w:top w:val="single" w:sz="4" w:space="0" w:color="00000A"/>
              <w:left w:val="single" w:sz="8" w:space="0" w:color="00000A"/>
              <w:bottom w:val="single" w:sz="4" w:space="0" w:color="00000A"/>
              <w:right w:val="single" w:sz="4"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úhrada ZP na rok</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12 691 968,00</w:t>
            </w:r>
          </w:p>
        </w:tc>
        <w:tc>
          <w:tcPr>
            <w:tcW w:w="113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9 861 696,00</w:t>
            </w:r>
          </w:p>
        </w:tc>
        <w:tc>
          <w:tcPr>
            <w:tcW w:w="1275"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18 098 640,00</w:t>
            </w:r>
          </w:p>
        </w:tc>
        <w:tc>
          <w:tcPr>
            <w:tcW w:w="1276" w:type="dxa"/>
            <w:tcBorders>
              <w:top w:val="single" w:sz="4" w:space="0" w:color="00000A"/>
              <w:left w:val="single" w:sz="4" w:space="0" w:color="00000A"/>
              <w:bottom w:val="single" w:sz="4"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40 652 304,00</w:t>
            </w:r>
          </w:p>
        </w:tc>
        <w:tc>
          <w:tcPr>
            <w:tcW w:w="1560"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134"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706"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r>
      <w:tr>
        <w:tblPrEx>
          <w:tblW w:w="9923" w:type="dxa"/>
          <w:tblInd w:w="-82" w:type="dxa"/>
          <w:tblCellMar>
            <w:left w:w="50" w:type="dxa"/>
            <w:right w:w="70" w:type="dxa"/>
          </w:tblCellMar>
          <w:tblLook w:val="04A0"/>
        </w:tblPrEx>
        <w:trPr>
          <w:trHeight w:val="345"/>
        </w:trPr>
        <w:tc>
          <w:tcPr>
            <w:tcW w:w="1700" w:type="dxa"/>
            <w:tcBorders>
              <w:top w:val="single" w:sz="8" w:space="0" w:color="00000A"/>
              <w:left w:val="single" w:sz="8" w:space="0" w:color="00000A"/>
              <w:bottom w:val="single" w:sz="8" w:space="0" w:color="00000A"/>
              <w:right w:val="single" w:sz="4"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výnosy iné na rok</w:t>
            </w:r>
          </w:p>
        </w:tc>
        <w:tc>
          <w:tcPr>
            <w:tcW w:w="1135" w:type="dxa"/>
            <w:tcBorders>
              <w:top w:val="single" w:sz="8" w:space="0" w:color="00000A"/>
              <w:left w:val="single" w:sz="4" w:space="0" w:color="00000A"/>
              <w:bottom w:val="single" w:sz="8"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1 937 376,00</w:t>
            </w:r>
          </w:p>
        </w:tc>
        <w:tc>
          <w:tcPr>
            <w:tcW w:w="1135" w:type="dxa"/>
            <w:tcBorders>
              <w:top w:val="single" w:sz="8" w:space="0" w:color="00000A"/>
              <w:left w:val="single" w:sz="4" w:space="0" w:color="00000A"/>
              <w:bottom w:val="single" w:sz="8"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1 708 128,00</w:t>
            </w:r>
          </w:p>
        </w:tc>
        <w:tc>
          <w:tcPr>
            <w:tcW w:w="1275" w:type="dxa"/>
            <w:tcBorders>
              <w:top w:val="single" w:sz="8" w:space="0" w:color="00000A"/>
              <w:left w:val="single" w:sz="4" w:space="0" w:color="00000A"/>
              <w:bottom w:val="single" w:sz="8"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6 582 240,00</w:t>
            </w:r>
          </w:p>
        </w:tc>
        <w:tc>
          <w:tcPr>
            <w:tcW w:w="1276" w:type="dxa"/>
            <w:tcBorders>
              <w:top w:val="single" w:sz="8" w:space="0" w:color="00000A"/>
              <w:left w:val="single" w:sz="4" w:space="0" w:color="00000A"/>
              <w:bottom w:val="single" w:sz="8"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sz w:val="18"/>
                <w:szCs w:val="18"/>
                <w:lang w:val="sk-SK" w:eastAsia="sk-SK"/>
              </w:rPr>
            </w:pPr>
            <w:r w:rsidRPr="008C7A1C" w:rsidR="004F79A6">
              <w:rPr>
                <w:rFonts w:ascii="Arial Narrow" w:hAnsi="Arial Narrow" w:cs="Calibri"/>
                <w:sz w:val="18"/>
                <w:szCs w:val="18"/>
                <w:lang w:val="sk-SK" w:eastAsia="sk-SK"/>
              </w:rPr>
              <w:t>10 227 744,00</w:t>
            </w:r>
          </w:p>
        </w:tc>
        <w:tc>
          <w:tcPr>
            <w:tcW w:w="1560"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1134"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c>
          <w:tcPr>
            <w:tcW w:w="706"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 </w:t>
            </w:r>
          </w:p>
        </w:tc>
      </w:tr>
      <w:tr>
        <w:tblPrEx>
          <w:tblW w:w="9923" w:type="dxa"/>
          <w:tblInd w:w="-82" w:type="dxa"/>
          <w:tblCellMar>
            <w:left w:w="50" w:type="dxa"/>
            <w:right w:w="70" w:type="dxa"/>
          </w:tblCellMar>
          <w:tblLook w:val="04A0"/>
        </w:tblPrEx>
        <w:trPr>
          <w:trHeight w:val="390"/>
        </w:trPr>
        <w:tc>
          <w:tcPr>
            <w:tcW w:w="1700" w:type="dxa"/>
            <w:tcBorders>
              <w:top w:val="single" w:sz="8" w:space="0" w:color="00000A"/>
              <w:left w:val="single" w:sz="8" w:space="0" w:color="00000A"/>
              <w:bottom w:val="single" w:sz="8" w:space="0" w:color="00000A"/>
              <w:right w:val="single" w:sz="4" w:space="0" w:color="00000A"/>
            </w:tcBorders>
            <w:shd w:val="clear" w:color="000000" w:fill="FFC000"/>
            <w:tcMar>
              <w:left w:w="50" w:type="dxa"/>
            </w:tcMar>
            <w:textDirection w:val="lrTb"/>
            <w:vAlign w:val="bottom"/>
          </w:tcPr>
          <w:p w:rsidR="00D056F8" w:rsidRPr="008C7A1C">
            <w:pPr>
              <w:widowControl/>
              <w:bidi w:val="0"/>
              <w:spacing w:after="0" w:line="240" w:lineRule="auto"/>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dopad na VZP</w:t>
            </w:r>
          </w:p>
        </w:tc>
        <w:tc>
          <w:tcPr>
            <w:tcW w:w="1135" w:type="dxa"/>
            <w:tcBorders>
              <w:top w:val="single" w:sz="8" w:space="0" w:color="00000A"/>
              <w:left w:val="single" w:sz="4" w:space="0" w:color="00000A"/>
              <w:bottom w:val="single" w:sz="8"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color w:val="FF0000"/>
                <w:sz w:val="18"/>
                <w:szCs w:val="18"/>
                <w:lang w:val="sk-SK" w:eastAsia="sk-SK"/>
              </w:rPr>
            </w:pPr>
            <w:r w:rsidRPr="008C7A1C" w:rsidR="004F79A6">
              <w:rPr>
                <w:rFonts w:ascii="Arial Narrow" w:hAnsi="Arial Narrow" w:cs="Calibri"/>
                <w:b/>
                <w:bCs/>
                <w:color w:val="FF0000"/>
                <w:sz w:val="18"/>
                <w:szCs w:val="18"/>
                <w:lang w:val="sk-SK" w:eastAsia="sk-SK"/>
              </w:rPr>
              <w:t>12 691 968,00</w:t>
            </w:r>
          </w:p>
        </w:tc>
        <w:tc>
          <w:tcPr>
            <w:tcW w:w="1135" w:type="dxa"/>
            <w:tcBorders>
              <w:top w:val="single" w:sz="8" w:space="0" w:color="00000A"/>
              <w:left w:val="single" w:sz="4" w:space="0" w:color="00000A"/>
              <w:bottom w:val="single" w:sz="8"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b/>
                <w:bCs/>
                <w:color w:val="FF0000"/>
                <w:sz w:val="18"/>
                <w:szCs w:val="18"/>
                <w:lang w:val="sk-SK" w:eastAsia="sk-SK"/>
              </w:rPr>
            </w:pPr>
            <w:r w:rsidRPr="008C7A1C" w:rsidR="004F79A6">
              <w:rPr>
                <w:rFonts w:ascii="Arial Narrow" w:hAnsi="Arial Narrow" w:cs="Calibri"/>
                <w:b/>
                <w:bCs/>
                <w:color w:val="FF0000"/>
                <w:sz w:val="18"/>
                <w:szCs w:val="18"/>
                <w:lang w:val="sk-SK" w:eastAsia="sk-SK"/>
              </w:rPr>
              <w:t>9 861 696,00</w:t>
            </w:r>
          </w:p>
        </w:tc>
        <w:tc>
          <w:tcPr>
            <w:tcW w:w="1275" w:type="dxa"/>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jc w:val="right"/>
              <w:rPr>
                <w:rFonts w:ascii="Arial Narrow" w:hAnsi="Arial Narrow" w:cs="Calibri"/>
                <w:b/>
                <w:bCs/>
                <w:color w:val="FF0000"/>
                <w:sz w:val="18"/>
                <w:szCs w:val="18"/>
                <w:lang w:val="sk-SK" w:eastAsia="sk-SK"/>
              </w:rPr>
            </w:pPr>
            <w:r w:rsidRPr="008C7A1C" w:rsidR="004F79A6">
              <w:rPr>
                <w:rFonts w:ascii="Arial Narrow" w:hAnsi="Arial Narrow" w:cs="Calibri"/>
                <w:b/>
                <w:bCs/>
                <w:color w:val="FF0000"/>
                <w:sz w:val="18"/>
                <w:szCs w:val="18"/>
                <w:lang w:val="sk-SK" w:eastAsia="sk-SK"/>
              </w:rPr>
              <w:t>18 098 640,00</w:t>
            </w:r>
          </w:p>
        </w:tc>
        <w:tc>
          <w:tcPr>
            <w:tcW w:w="1276" w:type="dxa"/>
            <w:tcBorders>
              <w:top w:val="single" w:sz="8" w:space="0" w:color="00000A"/>
              <w:left w:val="single" w:sz="8" w:space="0" w:color="00000A"/>
              <w:bottom w:val="single" w:sz="8" w:space="0" w:color="00000A"/>
              <w:right w:val="single" w:sz="8" w:space="0" w:color="00000A"/>
            </w:tcBorders>
            <w:shd w:val="clear" w:color="000000" w:fill="FFC000"/>
            <w:tcMar>
              <w:left w:w="50" w:type="dxa"/>
            </w:tcMar>
            <w:textDirection w:val="lrTb"/>
            <w:vAlign w:val="bottom"/>
          </w:tcPr>
          <w:p w:rsidR="00D056F8" w:rsidRPr="008C7A1C">
            <w:pPr>
              <w:widowControl/>
              <w:bidi w:val="0"/>
              <w:spacing w:after="0" w:line="240" w:lineRule="auto"/>
              <w:jc w:val="right"/>
              <w:rPr>
                <w:rFonts w:ascii="Arial Narrow" w:hAnsi="Arial Narrow" w:cs="Calibri"/>
                <w:b/>
                <w:bCs/>
                <w:color w:val="FF0000"/>
                <w:sz w:val="18"/>
                <w:szCs w:val="18"/>
                <w:lang w:val="sk-SK" w:eastAsia="sk-SK"/>
              </w:rPr>
            </w:pPr>
            <w:r w:rsidRPr="008C7A1C" w:rsidR="004F79A6">
              <w:rPr>
                <w:rFonts w:ascii="Arial Narrow" w:hAnsi="Arial Narrow" w:cs="Calibri"/>
                <w:b/>
                <w:bCs/>
                <w:color w:val="FF0000"/>
                <w:sz w:val="18"/>
                <w:szCs w:val="18"/>
                <w:lang w:val="sk-SK" w:eastAsia="sk-SK"/>
              </w:rPr>
              <w:t>40 652 304,00</w:t>
            </w:r>
          </w:p>
        </w:tc>
        <w:tc>
          <w:tcPr>
            <w:tcW w:w="1560" w:type="dxa"/>
            <w:tcBorders>
              <w:top w:val="single" w:sz="8" w:space="0" w:color="00000A"/>
              <w:left w:val="single" w:sz="4" w:space="0" w:color="00000A"/>
              <w:bottom w:val="single" w:sz="8" w:space="0" w:color="00000A"/>
              <w:right w:val="single" w:sz="4" w:space="0" w:color="00000A"/>
            </w:tcBorders>
            <w:shd w:val="clear" w:color="000000" w:fill="FFC000"/>
            <w:tcMar>
              <w:left w:w="65" w:type="dxa"/>
            </w:tcMar>
            <w:textDirection w:val="lrTb"/>
            <w:vAlign w:val="bottom"/>
          </w:tcPr>
          <w:p w:rsidR="00D056F8" w:rsidRPr="008C7A1C">
            <w:pPr>
              <w:widowControl/>
              <w:bidi w:val="0"/>
              <w:spacing w:after="0" w:line="240" w:lineRule="auto"/>
              <w:jc w:val="right"/>
              <w:rPr>
                <w:rFonts w:ascii="Arial Narrow" w:hAnsi="Arial Narrow" w:cs="Calibri"/>
                <w:color w:val="000000"/>
                <w:sz w:val="18"/>
                <w:szCs w:val="18"/>
                <w:lang w:val="sk-SK" w:eastAsia="sk-SK"/>
              </w:rPr>
            </w:pPr>
            <w:r w:rsidRPr="008C7A1C" w:rsidR="004F79A6">
              <w:rPr>
                <w:rFonts w:ascii="Arial Narrow" w:hAnsi="Arial Narrow" w:cs="Calibri"/>
                <w:color w:val="000000"/>
                <w:sz w:val="18"/>
                <w:szCs w:val="18"/>
                <w:lang w:val="sk-SK" w:eastAsia="sk-SK"/>
              </w:rPr>
              <w:t>21 904 082,49</w:t>
            </w:r>
          </w:p>
        </w:tc>
        <w:tc>
          <w:tcPr>
            <w:tcW w:w="1840" w:type="dxa"/>
            <w:gridSpan w:val="2"/>
            <w:tcBorders>
              <w:top w:val="single" w:sz="8" w:space="0" w:color="00000A"/>
              <w:left w:val="single" w:sz="8" w:space="0" w:color="00000A"/>
              <w:bottom w:val="single" w:sz="8" w:space="0" w:color="00000A"/>
              <w:right w:val="single" w:sz="8" w:space="0" w:color="00000A"/>
            </w:tcBorders>
            <w:shd w:val="clear" w:color="000000" w:fill="FFC000"/>
            <w:textDirection w:val="lrTb"/>
            <w:vAlign w:val="bottom"/>
          </w:tcPr>
          <w:p w:rsidR="00D056F8" w:rsidRPr="008C7A1C">
            <w:pPr>
              <w:widowControl/>
              <w:bidi w:val="0"/>
              <w:spacing w:after="0" w:line="240" w:lineRule="auto"/>
              <w:rPr>
                <w:rFonts w:ascii="Arial Narrow" w:hAnsi="Arial Narrow" w:cs="Calibri"/>
                <w:b/>
                <w:bCs/>
                <w:sz w:val="18"/>
                <w:szCs w:val="18"/>
                <w:lang w:val="sk-SK" w:eastAsia="sk-SK"/>
              </w:rPr>
            </w:pPr>
            <w:r w:rsidRPr="008C7A1C" w:rsidR="004F79A6">
              <w:rPr>
                <w:rFonts w:ascii="Arial Narrow" w:hAnsi="Arial Narrow" w:cs="Calibri"/>
                <w:b/>
                <w:bCs/>
                <w:sz w:val="18"/>
                <w:szCs w:val="18"/>
                <w:lang w:val="sk-SK" w:eastAsia="sk-SK"/>
              </w:rPr>
              <w:t> </w:t>
            </w:r>
          </w:p>
          <w:p w:rsidR="00D056F8" w:rsidRPr="008C7A1C">
            <w:pPr>
              <w:widowControl/>
              <w:bidi w:val="0"/>
              <w:spacing w:after="0" w:line="240" w:lineRule="auto"/>
              <w:jc w:val="right"/>
              <w:rPr>
                <w:rFonts w:ascii="Arial Narrow" w:hAnsi="Arial Narrow" w:cs="Calibri"/>
                <w:b/>
                <w:bCs/>
                <w:color w:val="FF0000"/>
                <w:sz w:val="18"/>
                <w:szCs w:val="18"/>
                <w:lang w:val="sk-SK" w:eastAsia="sk-SK"/>
              </w:rPr>
            </w:pPr>
            <w:r w:rsidRPr="008C7A1C" w:rsidR="004F79A6">
              <w:rPr>
                <w:rFonts w:ascii="Arial Narrow" w:hAnsi="Arial Narrow" w:cs="Calibri"/>
                <w:b/>
                <w:bCs/>
                <w:color w:val="FF0000"/>
                <w:sz w:val="18"/>
                <w:szCs w:val="18"/>
                <w:lang w:val="sk-SK" w:eastAsia="sk-SK"/>
              </w:rPr>
              <w:t>18 748 221,51</w:t>
            </w:r>
          </w:p>
        </w:tc>
      </w:tr>
    </w:tbl>
    <w:p w:rsidR="00D056F8">
      <w:pPr>
        <w:bidi w:val="0"/>
        <w:spacing w:after="0" w:line="240" w:lineRule="auto"/>
        <w:jc w:val="both"/>
        <w:rPr>
          <w:rFonts w:ascii="Times New Roman" w:hAnsi="Times New Roman"/>
          <w:b/>
          <w:lang w:val="sk-SK"/>
        </w:rPr>
      </w:pPr>
    </w:p>
    <w:p w:rsidR="00D056F8">
      <w:pPr>
        <w:bidi w:val="0"/>
        <w:spacing w:after="0" w:line="240" w:lineRule="auto"/>
        <w:jc w:val="both"/>
        <w:rPr>
          <w:rFonts w:ascii="Times New Roman" w:hAnsi="Times New Roman"/>
          <w:b/>
          <w:lang w:val="sk-SK"/>
        </w:rPr>
      </w:pPr>
    </w:p>
    <w:p w:rsidR="00D056F8">
      <w:pPr>
        <w:bidi w:val="0"/>
        <w:spacing w:after="0" w:line="240" w:lineRule="auto"/>
        <w:jc w:val="both"/>
        <w:rPr>
          <w:rFonts w:ascii="Times New Roman" w:hAnsi="Times New Roman"/>
          <w:b/>
          <w:lang w:val="sk-SK"/>
        </w:rPr>
      </w:pPr>
      <w:r w:rsidR="004F79A6">
        <w:rPr>
          <w:rFonts w:ascii="Times New Roman" w:hAnsi="Times New Roman"/>
          <w:b/>
          <w:lang w:val="sk-SK"/>
        </w:rPr>
        <w:t xml:space="preserve"> Náklady na vybudovanie urgentných príjmov 2. typu sa predpokladajú v nasledovnej výške:</w:t>
      </w:r>
    </w:p>
    <w:p w:rsidR="00D056F8">
      <w:pPr>
        <w:bidi w:val="0"/>
        <w:spacing w:after="0" w:line="240" w:lineRule="auto"/>
        <w:jc w:val="both"/>
        <w:rPr>
          <w:rFonts w:ascii="Times New Roman" w:hAnsi="Times New Roman"/>
          <w:sz w:val="24"/>
          <w:szCs w:val="24"/>
          <w:lang w:val="sk-SK"/>
        </w:rPr>
      </w:pPr>
    </w:p>
    <w:p w:rsidR="00D056F8">
      <w:pPr>
        <w:pStyle w:val="Header"/>
        <w:bidi w:val="0"/>
        <w:jc w:val="right"/>
        <w:rPr>
          <w:rStyle w:val="PageNumber"/>
        </w:rPr>
      </w:pPr>
    </w:p>
    <w:p w:rsidR="00957DF3">
      <w:pPr>
        <w:bidi w:val="0"/>
        <w:spacing w:after="0" w:line="240" w:lineRule="auto"/>
        <w:sectPr w:rsidSect="00957DF3">
          <w:footerReference w:type="default" r:id="rId6"/>
          <w:pgSz w:w="11906" w:h="16838"/>
          <w:pgMar w:top="1417" w:right="1417" w:bottom="1276" w:left="1417" w:header="708" w:footer="708" w:gutter="0"/>
          <w:lnNumType w:distance="0"/>
          <w:pgNumType w:start="1"/>
          <w:cols w:space="708"/>
          <w:formProt w:val="0"/>
          <w:noEndnote w:val="0"/>
          <w:bidi w:val="0"/>
          <w:rtlGutter/>
          <w:docGrid w:linePitch="360" w:charSpace="-2049"/>
        </w:sectPr>
      </w:pPr>
      <w:r w:rsidR="004F79A6">
        <w:br w:type="page"/>
      </w:r>
    </w:p>
    <w:p w:rsidR="00D056F8">
      <w:pPr>
        <w:bidi w:val="0"/>
        <w:spacing w:after="0" w:line="240" w:lineRule="auto"/>
        <w:rPr>
          <w:rFonts w:ascii="Times New Roman" w:hAnsi="Times New Roman"/>
          <w:lang w:val="sk-SK"/>
        </w:rPr>
      </w:pPr>
    </w:p>
    <w:p w:rsidR="00D056F8">
      <w:pPr>
        <w:bidi w:val="0"/>
        <w:sectPr w:rsidSect="00957DF3">
          <w:pgSz w:w="16838" w:h="11906" w:orient="landscape"/>
          <w:pgMar w:top="1417" w:right="1417" w:bottom="1417" w:left="1276" w:header="708" w:footer="708" w:gutter="0"/>
          <w:lnNumType w:distance="0"/>
          <w:cols w:space="708"/>
          <w:formProt w:val="0"/>
          <w:noEndnote w:val="0"/>
          <w:bidi w:val="0"/>
          <w:docGrid w:linePitch="360" w:charSpace="-2049"/>
        </w:sectPr>
      </w:pPr>
      <w:r>
        <w:rPr>
          <w:noProof/>
        </w:rPr>
        <w:pict>
          <v:rect id="Frame1" o:spid="_x0000_s1025" style="width:595.35pt;height:442.65pt;margin-top:-54pt;margin-left:-3.5pt;mso-position-horizontal-relative:margin;mso-position-vertical-relative:margin;mso-wrap-distance-left:7.05pt;mso-wrap-distance-right:7.05pt;position:absolute;visibility:visible;z-index:251658240" filled="f" stroked="f">
            <v:textbox style="mso-fit-shape-to-text:t" inset="0,0,0,0">
              <w:txbxContent>
                <w:tbl>
                  <w:tblPr>
                    <w:tblStyle w:val="TableNormal"/>
                    <w:tblW w:w="14591" w:type="dxa"/>
                    <w:tblInd w:w="6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50" w:type="dxa"/>
                      <w:right w:w="70" w:type="dxa"/>
                    </w:tblCellMar>
                    <w:tblLook w:val="04A0"/>
                  </w:tblPr>
                  <w:tblGrid>
                    <w:gridCol w:w="1833"/>
                    <w:gridCol w:w="1985"/>
                    <w:gridCol w:w="1841"/>
                    <w:gridCol w:w="2269"/>
                    <w:gridCol w:w="1701"/>
                    <w:gridCol w:w="2127"/>
                    <w:gridCol w:w="2835"/>
                  </w:tblGrid>
                  <w:tr>
                    <w:tblPrEx>
                      <w:tblW w:w="14591" w:type="dxa"/>
                      <w:tblInd w:w="60"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50" w:type="dxa"/>
                        <w:right w:w="70" w:type="dxa"/>
                      </w:tblCellMar>
                      <w:tblLook w:val="04A0"/>
                    </w:tblPrEx>
                    <w:trPr>
                      <w:trHeight w:val="1140"/>
                    </w:trPr>
                    <w:tc>
                      <w:tcPr>
                        <w:tcW w:w="1832" w:type="dxa"/>
                        <w:tcBorders>
                          <w:top w:val="single" w:sz="8" w:space="0" w:color="00000A"/>
                          <w:left w:val="single" w:sz="8" w:space="0" w:color="00000A"/>
                          <w:bottom w:val="single" w:sz="8" w:space="0" w:color="00000A"/>
                          <w:right w:val="single" w:sz="8" w:space="0" w:color="00000A"/>
                        </w:tcBorders>
                        <w:tcMar>
                          <w:left w:w="50" w:type="dxa"/>
                        </w:tcMar>
                        <w:textDirection w:val="lrTb"/>
                        <w:vAlign w:val="center"/>
                      </w:tcPr>
                      <w:p w:rsidR="00A952F0">
                        <w:pPr>
                          <w:widowControl/>
                          <w:bidi w:val="0"/>
                          <w:spacing w:after="0" w:line="240" w:lineRule="auto"/>
                          <w:jc w:val="center"/>
                        </w:pPr>
                        <w:bookmarkStart w:id="2" w:name="__UnoMark__19465_938437906"/>
                        <w:bookmarkEnd w:id="2"/>
                        <w:r>
                          <w:rPr>
                            <w:rFonts w:ascii="Times New Roman" w:hAnsi="Times New Roman"/>
                            <w:b/>
                            <w:bCs/>
                            <w:color w:val="000000"/>
                            <w:sz w:val="18"/>
                            <w:lang w:val="sk-SK" w:eastAsia="sk-SK"/>
                          </w:rPr>
                          <w:t> </w:t>
                        </w:r>
                      </w:p>
                    </w:tc>
                    <w:tc>
                      <w:tcPr>
                        <w:tcW w:w="1985" w:type="dxa"/>
                        <w:tcBorders>
                          <w:top w:val="single" w:sz="8" w:space="0" w:color="00000A"/>
                          <w:left w:val="single" w:sz="4" w:space="0" w:color="00000A"/>
                          <w:bottom w:val="single" w:sz="8"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3" w:name="__UnoMark__19467_938437906"/>
                        <w:bookmarkStart w:id="4" w:name="__UnoMark__19466_938437906"/>
                        <w:bookmarkEnd w:id="3"/>
                        <w:bookmarkEnd w:id="4"/>
                        <w:r>
                          <w:rPr>
                            <w:rFonts w:ascii="Times New Roman" w:hAnsi="Times New Roman"/>
                            <w:b/>
                            <w:bCs/>
                            <w:color w:val="000000"/>
                            <w:sz w:val="18"/>
                            <w:szCs w:val="24"/>
                            <w:lang w:val="sk-SK" w:eastAsia="sk-SK"/>
                          </w:rPr>
                          <w:t>Univerzitná nemocnica Bratislava Ružinov</w:t>
                        </w:r>
                      </w:p>
                    </w:tc>
                    <w:tc>
                      <w:tcPr>
                        <w:tcW w:w="1841" w:type="dxa"/>
                        <w:tcBorders>
                          <w:top w:val="single" w:sz="8" w:space="0" w:color="00000A"/>
                          <w:left w:val="single" w:sz="4" w:space="0" w:color="00000A"/>
                          <w:bottom w:val="single" w:sz="8"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5" w:name="__UnoMark__19469_938437906"/>
                        <w:bookmarkStart w:id="6" w:name="__UnoMark__19468_938437906"/>
                        <w:bookmarkEnd w:id="5"/>
                        <w:bookmarkEnd w:id="6"/>
                        <w:r>
                          <w:rPr>
                            <w:rFonts w:ascii="Times New Roman" w:hAnsi="Times New Roman"/>
                            <w:b/>
                            <w:bCs/>
                            <w:color w:val="000000"/>
                            <w:sz w:val="18"/>
                            <w:szCs w:val="24"/>
                            <w:lang w:val="sk-SK" w:eastAsia="sk-SK"/>
                          </w:rPr>
                          <w:t>Univerzitná nemocnica L. Pasteura Košice</w:t>
                        </w:r>
                      </w:p>
                    </w:tc>
                    <w:tc>
                      <w:tcPr>
                        <w:tcW w:w="2269" w:type="dxa"/>
                        <w:tcBorders>
                          <w:top w:val="single" w:sz="8" w:space="0" w:color="00000A"/>
                          <w:left w:val="single" w:sz="4" w:space="0" w:color="00000A"/>
                          <w:bottom w:val="single" w:sz="8"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7" w:name="__UnoMark__19471_938437906"/>
                        <w:bookmarkStart w:id="8" w:name="__UnoMark__19470_938437906"/>
                        <w:bookmarkEnd w:id="7"/>
                        <w:bookmarkEnd w:id="8"/>
                        <w:r>
                          <w:rPr>
                            <w:rFonts w:ascii="Times New Roman" w:hAnsi="Times New Roman"/>
                            <w:b/>
                            <w:bCs/>
                            <w:color w:val="000000"/>
                            <w:sz w:val="18"/>
                            <w:szCs w:val="24"/>
                            <w:lang w:val="sk-SK" w:eastAsia="sk-SK"/>
                          </w:rPr>
                          <w:t>Fakultná nemocnica s poliklinikou Banská Bystrica</w:t>
                        </w:r>
                      </w:p>
                    </w:tc>
                    <w:tc>
                      <w:tcPr>
                        <w:tcW w:w="1701" w:type="dxa"/>
                        <w:tcBorders>
                          <w:top w:val="single" w:sz="8" w:space="0" w:color="00000A"/>
                          <w:left w:val="single" w:sz="4" w:space="0" w:color="00000A"/>
                          <w:bottom w:val="single" w:sz="8"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9" w:name="__UnoMark__19473_938437906"/>
                        <w:bookmarkStart w:id="10" w:name="__UnoMark__19472_938437906"/>
                        <w:bookmarkEnd w:id="9"/>
                        <w:bookmarkEnd w:id="10"/>
                        <w:r>
                          <w:rPr>
                            <w:rFonts w:ascii="Times New Roman" w:hAnsi="Times New Roman"/>
                            <w:b/>
                            <w:bCs/>
                            <w:color w:val="000000"/>
                            <w:sz w:val="18"/>
                            <w:szCs w:val="24"/>
                            <w:lang w:val="sk-SK" w:eastAsia="sk-SK"/>
                          </w:rPr>
                          <w:t>Nemocnica Poprad</w:t>
                        </w:r>
                      </w:p>
                    </w:tc>
                    <w:tc>
                      <w:tcPr>
                        <w:tcW w:w="2127" w:type="dxa"/>
                        <w:tcBorders>
                          <w:top w:val="single" w:sz="8" w:space="0" w:color="00000A"/>
                          <w:left w:val="single" w:sz="4" w:space="0" w:color="00000A"/>
                          <w:bottom w:val="single" w:sz="8"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1" w:name="__UnoMark__19475_938437906"/>
                        <w:bookmarkStart w:id="12" w:name="__UnoMark__19474_938437906"/>
                        <w:bookmarkEnd w:id="11"/>
                        <w:bookmarkEnd w:id="12"/>
                        <w:r>
                          <w:rPr>
                            <w:rFonts w:ascii="Times New Roman" w:hAnsi="Times New Roman"/>
                            <w:b/>
                            <w:bCs/>
                            <w:color w:val="000000"/>
                            <w:sz w:val="18"/>
                            <w:szCs w:val="24"/>
                            <w:lang w:val="sk-SK" w:eastAsia="sk-SK"/>
                          </w:rPr>
                          <w:t>Univerzitná nemocnica Martin</w:t>
                        </w:r>
                      </w:p>
                    </w:tc>
                    <w:tc>
                      <w:tcPr>
                        <w:tcW w:w="2835" w:type="dxa"/>
                        <w:tcBorders>
                          <w:top w:val="single" w:sz="8" w:space="0" w:color="00000A"/>
                          <w:left w:val="single" w:sz="8" w:space="0" w:color="00000A"/>
                          <w:bottom w:val="single" w:sz="8" w:space="0" w:color="00000A"/>
                          <w:right w:val="single" w:sz="8" w:space="0" w:color="00000A"/>
                        </w:tcBorders>
                        <w:textDirection w:val="lrTb"/>
                        <w:vAlign w:val="center"/>
                      </w:tcPr>
                      <w:p w:rsidR="00A952F0">
                        <w:pPr>
                          <w:widowControl/>
                          <w:bidi w:val="0"/>
                          <w:spacing w:after="0" w:line="240" w:lineRule="auto"/>
                          <w:jc w:val="center"/>
                        </w:pPr>
                        <w:bookmarkStart w:id="13" w:name="__UnoMark__19477_938437906"/>
                        <w:bookmarkStart w:id="14" w:name="__UnoMark__19476_938437906"/>
                        <w:bookmarkEnd w:id="13"/>
                        <w:bookmarkEnd w:id="14"/>
                        <w:r>
                          <w:rPr>
                            <w:rFonts w:ascii="Times New Roman" w:hAnsi="Times New Roman"/>
                            <w:b/>
                            <w:bCs/>
                            <w:color w:val="000000"/>
                            <w:sz w:val="18"/>
                            <w:szCs w:val="24"/>
                            <w:lang w:val="sk-SK" w:eastAsia="sk-SK"/>
                          </w:rPr>
                          <w:t>Fakultná nemocnica Nitra</w:t>
                        </w:r>
                      </w:p>
                    </w:tc>
                  </w:tr>
                  <w:tr>
                    <w:tblPrEx>
                      <w:tblW w:w="14591" w:type="dxa"/>
                      <w:tblInd w:w="60" w:type="dxa"/>
                      <w:tblCellMar>
                        <w:left w:w="50" w:type="dxa"/>
                        <w:right w:w="70" w:type="dxa"/>
                      </w:tblCellMar>
                      <w:tblLook w:val="04A0"/>
                    </w:tblPrEx>
                    <w:trPr>
                      <w:trHeight w:val="290"/>
                    </w:trPr>
                    <w:tc>
                      <w:tcPr>
                        <w:tcW w:w="1832" w:type="dxa"/>
                        <w:tcBorders>
                          <w:top w:val="single" w:sz="4" w:space="0" w:color="00000A"/>
                          <w:left w:val="single" w:sz="8" w:space="0" w:color="00000A"/>
                          <w:bottom w:val="single" w:sz="4" w:space="0" w:color="00000A"/>
                          <w:right w:val="single" w:sz="8" w:space="0" w:color="00000A"/>
                        </w:tcBorders>
                        <w:tcMar>
                          <w:left w:w="50" w:type="dxa"/>
                        </w:tcMar>
                        <w:textDirection w:val="lrTb"/>
                        <w:vAlign w:val="center"/>
                      </w:tcPr>
                      <w:p w:rsidR="00A952F0">
                        <w:pPr>
                          <w:widowControl/>
                          <w:bidi w:val="0"/>
                          <w:spacing w:after="0" w:line="240" w:lineRule="auto"/>
                        </w:pPr>
                        <w:bookmarkStart w:id="15" w:name="__UnoMark__19479_938437906"/>
                        <w:bookmarkStart w:id="16" w:name="__UnoMark__19478_938437906"/>
                        <w:bookmarkEnd w:id="15"/>
                        <w:bookmarkEnd w:id="16"/>
                        <w:r>
                          <w:rPr>
                            <w:rFonts w:ascii="Times New Roman" w:hAnsi="Times New Roman"/>
                            <w:b/>
                            <w:bCs/>
                            <w:color w:val="000000"/>
                            <w:sz w:val="18"/>
                            <w:lang w:val="sk-SK" w:eastAsia="sk-SK"/>
                          </w:rPr>
                          <w:t>Realizácia stavby - termín</w:t>
                        </w:r>
                      </w:p>
                    </w:tc>
                    <w:tc>
                      <w:tcPr>
                        <w:tcW w:w="198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7" w:name="__UnoMark__19481_938437906"/>
                        <w:bookmarkStart w:id="18" w:name="__UnoMark__19480_938437906"/>
                        <w:bookmarkEnd w:id="17"/>
                        <w:bookmarkEnd w:id="18"/>
                        <w:r>
                          <w:rPr>
                            <w:rFonts w:ascii="Times New Roman" w:hAnsi="Times New Roman"/>
                            <w:color w:val="000000"/>
                            <w:sz w:val="18"/>
                            <w:lang w:val="sk-SK" w:eastAsia="sk-SK"/>
                          </w:rPr>
                          <w:t>31.8.2018</w:t>
                        </w:r>
                      </w:p>
                    </w:tc>
                    <w:tc>
                      <w:tcPr>
                        <w:tcW w:w="184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9" w:name="__UnoMark__19483_938437906"/>
                        <w:bookmarkStart w:id="20" w:name="__UnoMark__19482_938437906"/>
                        <w:bookmarkEnd w:id="19"/>
                        <w:bookmarkEnd w:id="20"/>
                        <w:r>
                          <w:rPr>
                            <w:rFonts w:ascii="Times New Roman" w:hAnsi="Times New Roman"/>
                            <w:sz w:val="18"/>
                            <w:lang w:val="sk-SK" w:eastAsia="sk-SK"/>
                          </w:rPr>
                          <w:t>Q3 2018</w:t>
                        </w:r>
                      </w:p>
                    </w:tc>
                    <w:tc>
                      <w:tcPr>
                        <w:tcW w:w="2269"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21" w:name="__UnoMark__19485_938437906"/>
                        <w:bookmarkStart w:id="22" w:name="__UnoMark__19484_938437906"/>
                        <w:bookmarkEnd w:id="21"/>
                        <w:bookmarkEnd w:id="22"/>
                        <w:r>
                          <w:rPr>
                            <w:rFonts w:ascii="Times New Roman" w:hAnsi="Times New Roman"/>
                            <w:color w:val="000000"/>
                            <w:sz w:val="18"/>
                            <w:lang w:val="sk-SK" w:eastAsia="sk-SK"/>
                          </w:rPr>
                          <w:t>splnené podmienky</w:t>
                        </w:r>
                      </w:p>
                    </w:tc>
                    <w:tc>
                      <w:tcPr>
                        <w:tcW w:w="170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23" w:name="__UnoMark__19487_938437906"/>
                        <w:bookmarkStart w:id="24" w:name="__UnoMark__19486_938437906"/>
                        <w:bookmarkEnd w:id="23"/>
                        <w:bookmarkEnd w:id="24"/>
                        <w:r>
                          <w:rPr>
                            <w:rFonts w:ascii="Times New Roman" w:hAnsi="Times New Roman"/>
                            <w:color w:val="000000"/>
                            <w:sz w:val="18"/>
                            <w:lang w:val="sk-SK" w:eastAsia="sk-SK"/>
                          </w:rPr>
                          <w:t>Q1 2019</w:t>
                        </w:r>
                      </w:p>
                    </w:tc>
                    <w:tc>
                      <w:tcPr>
                        <w:tcW w:w="2127"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25" w:name="__UnoMark__19489_938437906"/>
                        <w:bookmarkStart w:id="26" w:name="__UnoMark__19488_938437906"/>
                        <w:bookmarkEnd w:id="25"/>
                        <w:bookmarkEnd w:id="26"/>
                        <w:r>
                          <w:rPr>
                            <w:rFonts w:ascii="Times New Roman" w:hAnsi="Times New Roman"/>
                            <w:color w:val="000000"/>
                            <w:sz w:val="18"/>
                            <w:lang w:val="sk-SK" w:eastAsia="sk-SK"/>
                          </w:rPr>
                          <w:t>31.12.2019</w:t>
                        </w:r>
                      </w:p>
                    </w:tc>
                    <w:tc>
                      <w:tcPr>
                        <w:tcW w:w="2835" w:type="dxa"/>
                        <w:tcBorders>
                          <w:top w:val="single" w:sz="4" w:space="0" w:color="00000A"/>
                          <w:left w:val="single" w:sz="8" w:space="0" w:color="00000A"/>
                          <w:bottom w:val="single" w:sz="4" w:space="0" w:color="00000A"/>
                          <w:right w:val="single" w:sz="8" w:space="0" w:color="00000A"/>
                        </w:tcBorders>
                        <w:textDirection w:val="lrTb"/>
                        <w:vAlign w:val="center"/>
                      </w:tcPr>
                      <w:p w:rsidR="00A952F0">
                        <w:pPr>
                          <w:widowControl/>
                          <w:bidi w:val="0"/>
                          <w:spacing w:after="0" w:line="240" w:lineRule="auto"/>
                          <w:jc w:val="center"/>
                        </w:pPr>
                        <w:bookmarkStart w:id="27" w:name="__UnoMark__19491_938437906"/>
                        <w:bookmarkStart w:id="28" w:name="__UnoMark__19490_938437906"/>
                        <w:bookmarkEnd w:id="27"/>
                        <w:bookmarkEnd w:id="28"/>
                        <w:r>
                          <w:rPr>
                            <w:rFonts w:ascii="Times New Roman" w:hAnsi="Times New Roman"/>
                            <w:color w:val="000000"/>
                            <w:sz w:val="18"/>
                            <w:lang w:val="sk-SK" w:eastAsia="sk-SK"/>
                          </w:rPr>
                          <w:t>cca jún 2020</w:t>
                        </w:r>
                      </w:p>
                    </w:tc>
                  </w:tr>
                  <w:tr>
                    <w:tblPrEx>
                      <w:tblW w:w="14591" w:type="dxa"/>
                      <w:tblInd w:w="60" w:type="dxa"/>
                      <w:tblCellMar>
                        <w:left w:w="50" w:type="dxa"/>
                        <w:right w:w="70" w:type="dxa"/>
                      </w:tblCellMar>
                      <w:tblLook w:val="04A0"/>
                    </w:tblPrEx>
                    <w:trPr>
                      <w:trHeight w:val="290"/>
                    </w:trPr>
                    <w:tc>
                      <w:tcPr>
                        <w:tcW w:w="1832" w:type="dxa"/>
                        <w:tcBorders>
                          <w:top w:val="single" w:sz="4" w:space="0" w:color="00000A"/>
                          <w:left w:val="single" w:sz="8" w:space="0" w:color="00000A"/>
                          <w:bottom w:val="single" w:sz="4" w:space="0" w:color="00000A"/>
                          <w:right w:val="single" w:sz="8" w:space="0" w:color="00000A"/>
                        </w:tcBorders>
                        <w:tcMar>
                          <w:left w:w="50" w:type="dxa"/>
                        </w:tcMar>
                        <w:textDirection w:val="lrTb"/>
                        <w:vAlign w:val="center"/>
                      </w:tcPr>
                      <w:p w:rsidR="00A952F0">
                        <w:pPr>
                          <w:widowControl/>
                          <w:bidi w:val="0"/>
                          <w:spacing w:after="0" w:line="240" w:lineRule="auto"/>
                        </w:pPr>
                        <w:bookmarkStart w:id="29" w:name="__UnoMark__19493_938437906"/>
                        <w:bookmarkStart w:id="30" w:name="__UnoMark__19492_938437906"/>
                        <w:bookmarkEnd w:id="29"/>
                        <w:bookmarkEnd w:id="30"/>
                        <w:r>
                          <w:rPr>
                            <w:rFonts w:ascii="Times New Roman" w:hAnsi="Times New Roman"/>
                            <w:b/>
                            <w:bCs/>
                            <w:color w:val="000000"/>
                            <w:sz w:val="18"/>
                            <w:lang w:val="sk-SK" w:eastAsia="sk-SK"/>
                          </w:rPr>
                          <w:t>Kolaudácia stavby - termín</w:t>
                        </w:r>
                      </w:p>
                    </w:tc>
                    <w:tc>
                      <w:tcPr>
                        <w:tcW w:w="198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31" w:name="__UnoMark__19495_938437906"/>
                        <w:bookmarkStart w:id="32" w:name="__UnoMark__19494_938437906"/>
                        <w:bookmarkEnd w:id="31"/>
                        <w:bookmarkEnd w:id="32"/>
                        <w:r>
                          <w:rPr>
                            <w:rFonts w:ascii="Times New Roman" w:hAnsi="Times New Roman"/>
                            <w:color w:val="000000"/>
                            <w:sz w:val="18"/>
                            <w:lang w:val="sk-SK" w:eastAsia="sk-SK"/>
                          </w:rPr>
                          <w:t>30.9.2018</w:t>
                        </w:r>
                      </w:p>
                    </w:tc>
                    <w:tc>
                      <w:tcPr>
                        <w:tcW w:w="184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33" w:name="__UnoMark__19497_938437906"/>
                        <w:bookmarkStart w:id="34" w:name="__UnoMark__19496_938437906"/>
                        <w:bookmarkEnd w:id="33"/>
                        <w:bookmarkEnd w:id="34"/>
                        <w:r>
                          <w:rPr>
                            <w:rFonts w:ascii="Times New Roman" w:hAnsi="Times New Roman"/>
                            <w:sz w:val="18"/>
                            <w:lang w:val="sk-SK" w:eastAsia="sk-SK"/>
                          </w:rPr>
                          <w:t>Q4 2018</w:t>
                        </w:r>
                      </w:p>
                    </w:tc>
                    <w:tc>
                      <w:tcPr>
                        <w:tcW w:w="2269"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35" w:name="__UnoMark__19499_938437906"/>
                        <w:bookmarkStart w:id="36" w:name="__UnoMark__19498_938437906"/>
                        <w:bookmarkEnd w:id="35"/>
                        <w:bookmarkEnd w:id="36"/>
                        <w:r>
                          <w:rPr>
                            <w:rFonts w:ascii="Times New Roman" w:hAnsi="Times New Roman"/>
                            <w:color w:val="000000"/>
                            <w:sz w:val="18"/>
                            <w:lang w:val="sk-SK" w:eastAsia="sk-SK"/>
                          </w:rPr>
                          <w:t>splnené podmienky</w:t>
                        </w:r>
                      </w:p>
                    </w:tc>
                    <w:tc>
                      <w:tcPr>
                        <w:tcW w:w="170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37" w:name="__UnoMark__19501_938437906"/>
                        <w:bookmarkStart w:id="38" w:name="__UnoMark__19500_938437906"/>
                        <w:bookmarkEnd w:id="37"/>
                        <w:bookmarkEnd w:id="38"/>
                        <w:r>
                          <w:rPr>
                            <w:rFonts w:ascii="Times New Roman" w:hAnsi="Times New Roman"/>
                            <w:color w:val="000000"/>
                            <w:sz w:val="18"/>
                            <w:lang w:val="sk-SK" w:eastAsia="sk-SK"/>
                          </w:rPr>
                          <w:t>Q2 2019</w:t>
                        </w:r>
                      </w:p>
                    </w:tc>
                    <w:tc>
                      <w:tcPr>
                        <w:tcW w:w="2127"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39" w:name="__UnoMark__19503_938437906"/>
                        <w:bookmarkStart w:id="40" w:name="__UnoMark__19502_938437906"/>
                        <w:bookmarkEnd w:id="39"/>
                        <w:bookmarkEnd w:id="40"/>
                        <w:r>
                          <w:rPr>
                            <w:rFonts w:ascii="Times New Roman" w:hAnsi="Times New Roman"/>
                            <w:color w:val="000000"/>
                            <w:sz w:val="18"/>
                            <w:lang w:val="sk-SK" w:eastAsia="sk-SK"/>
                          </w:rPr>
                          <w:t>29.2.2020</w:t>
                        </w:r>
                      </w:p>
                    </w:tc>
                    <w:tc>
                      <w:tcPr>
                        <w:tcW w:w="2835" w:type="dxa"/>
                        <w:tcBorders>
                          <w:top w:val="single" w:sz="4" w:space="0" w:color="00000A"/>
                          <w:left w:val="single" w:sz="8" w:space="0" w:color="00000A"/>
                          <w:bottom w:val="single" w:sz="4" w:space="0" w:color="00000A"/>
                          <w:right w:val="single" w:sz="8" w:space="0" w:color="00000A"/>
                        </w:tcBorders>
                        <w:textDirection w:val="lrTb"/>
                        <w:vAlign w:val="center"/>
                      </w:tcPr>
                      <w:p w:rsidR="00A952F0">
                        <w:pPr>
                          <w:widowControl/>
                          <w:bidi w:val="0"/>
                          <w:spacing w:after="0" w:line="240" w:lineRule="auto"/>
                          <w:jc w:val="center"/>
                        </w:pPr>
                        <w:bookmarkStart w:id="41" w:name="__UnoMark__19505_938437906"/>
                        <w:bookmarkStart w:id="42" w:name="__UnoMark__19504_938437906"/>
                        <w:bookmarkEnd w:id="41"/>
                        <w:bookmarkEnd w:id="42"/>
                        <w:r>
                          <w:rPr>
                            <w:rFonts w:ascii="Times New Roman" w:hAnsi="Times New Roman"/>
                            <w:color w:val="000000"/>
                            <w:sz w:val="18"/>
                            <w:lang w:val="sk-SK" w:eastAsia="sk-SK"/>
                          </w:rPr>
                          <w:t>podľa dokončenia stavby</w:t>
                        </w:r>
                      </w:p>
                    </w:tc>
                  </w:tr>
                  <w:tr>
                    <w:tblPrEx>
                      <w:tblW w:w="14591" w:type="dxa"/>
                      <w:tblInd w:w="60" w:type="dxa"/>
                      <w:tblCellMar>
                        <w:left w:w="50" w:type="dxa"/>
                        <w:right w:w="70" w:type="dxa"/>
                      </w:tblCellMar>
                      <w:tblLook w:val="04A0"/>
                    </w:tblPrEx>
                    <w:trPr>
                      <w:trHeight w:val="290"/>
                    </w:trPr>
                    <w:tc>
                      <w:tcPr>
                        <w:tcW w:w="1832" w:type="dxa"/>
                        <w:tcBorders>
                          <w:top w:val="single" w:sz="4" w:space="0" w:color="00000A"/>
                          <w:left w:val="single" w:sz="8" w:space="0" w:color="00000A"/>
                          <w:bottom w:val="single" w:sz="4" w:space="0" w:color="00000A"/>
                          <w:right w:val="single" w:sz="8" w:space="0" w:color="00000A"/>
                        </w:tcBorders>
                        <w:tcMar>
                          <w:left w:w="50" w:type="dxa"/>
                        </w:tcMar>
                        <w:textDirection w:val="lrTb"/>
                        <w:vAlign w:val="center"/>
                      </w:tcPr>
                      <w:p w:rsidR="00A952F0">
                        <w:pPr>
                          <w:widowControl/>
                          <w:bidi w:val="0"/>
                          <w:spacing w:after="0" w:line="240" w:lineRule="auto"/>
                        </w:pPr>
                        <w:bookmarkStart w:id="43" w:name="__UnoMark__19507_938437906"/>
                        <w:bookmarkStart w:id="44" w:name="__UnoMark__19506_938437906"/>
                        <w:bookmarkEnd w:id="43"/>
                        <w:bookmarkEnd w:id="44"/>
                        <w:r>
                          <w:rPr>
                            <w:rFonts w:ascii="Times New Roman" w:hAnsi="Times New Roman"/>
                            <w:b/>
                            <w:bCs/>
                            <w:color w:val="000000"/>
                            <w:sz w:val="18"/>
                            <w:lang w:val="sk-SK" w:eastAsia="sk-SK"/>
                          </w:rPr>
                          <w:t>Náklady - stavba</w:t>
                        </w:r>
                      </w:p>
                    </w:tc>
                    <w:tc>
                      <w:tcPr>
                        <w:tcW w:w="198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45" w:name="__UnoMark__19509_938437906"/>
                        <w:bookmarkStart w:id="46" w:name="__UnoMark__19508_938437906"/>
                        <w:bookmarkEnd w:id="45"/>
                        <w:bookmarkEnd w:id="46"/>
                        <w:r>
                          <w:rPr>
                            <w:rFonts w:ascii="Times New Roman" w:hAnsi="Times New Roman"/>
                            <w:color w:val="000000"/>
                            <w:sz w:val="18"/>
                            <w:lang w:val="sk-SK" w:eastAsia="sk-SK"/>
                          </w:rPr>
                          <w:t>1,2 mil. eur</w:t>
                        </w:r>
                      </w:p>
                    </w:tc>
                    <w:tc>
                      <w:tcPr>
                        <w:tcW w:w="184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47" w:name="__UnoMark__19511_938437906"/>
                        <w:bookmarkStart w:id="48" w:name="__UnoMark__19510_938437906"/>
                        <w:bookmarkEnd w:id="47"/>
                        <w:bookmarkEnd w:id="48"/>
                        <w:r>
                          <w:rPr>
                            <w:rFonts w:ascii="Times New Roman" w:hAnsi="Times New Roman"/>
                            <w:color w:val="000000"/>
                            <w:sz w:val="18"/>
                            <w:lang w:val="sk-SK" w:eastAsia="sk-SK"/>
                          </w:rPr>
                          <w:t>1,5 mil. eur</w:t>
                        </w:r>
                      </w:p>
                    </w:tc>
                    <w:tc>
                      <w:tcPr>
                        <w:tcW w:w="2269"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49" w:name="__UnoMark__19513_938437906"/>
                        <w:bookmarkStart w:id="50" w:name="__UnoMark__19512_938437906"/>
                        <w:bookmarkEnd w:id="49"/>
                        <w:bookmarkEnd w:id="50"/>
                        <w:r>
                          <w:rPr>
                            <w:rFonts w:ascii="Times New Roman" w:hAnsi="Times New Roman"/>
                            <w:color w:val="000000"/>
                            <w:sz w:val="18"/>
                            <w:lang w:val="sk-SK" w:eastAsia="sk-SK"/>
                          </w:rPr>
                          <w:t>-</w:t>
                        </w:r>
                      </w:p>
                    </w:tc>
                    <w:tc>
                      <w:tcPr>
                        <w:tcW w:w="170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51" w:name="__UnoMark__19515_938437906"/>
                        <w:bookmarkStart w:id="52" w:name="__UnoMark__19514_938437906"/>
                        <w:bookmarkEnd w:id="51"/>
                        <w:bookmarkEnd w:id="52"/>
                        <w:r>
                          <w:rPr>
                            <w:rFonts w:ascii="Times New Roman" w:hAnsi="Times New Roman"/>
                            <w:color w:val="000000"/>
                            <w:sz w:val="18"/>
                            <w:lang w:val="sk-SK" w:eastAsia="sk-SK"/>
                          </w:rPr>
                          <w:t>2,1 mil. eur</w:t>
                        </w:r>
                      </w:p>
                    </w:tc>
                    <w:tc>
                      <w:tcPr>
                        <w:tcW w:w="2127"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53" w:name="__UnoMark__19517_938437906"/>
                        <w:bookmarkStart w:id="54" w:name="__UnoMark__19516_938437906"/>
                        <w:bookmarkEnd w:id="53"/>
                        <w:bookmarkEnd w:id="54"/>
                        <w:r>
                          <w:rPr>
                            <w:rFonts w:ascii="Times New Roman" w:hAnsi="Times New Roman"/>
                            <w:color w:val="000000"/>
                            <w:sz w:val="18"/>
                            <w:lang w:val="sk-SK" w:eastAsia="sk-SK"/>
                          </w:rPr>
                          <w:t>14 mil. eur</w:t>
                        </w:r>
                      </w:p>
                    </w:tc>
                    <w:tc>
                      <w:tcPr>
                        <w:tcW w:w="2835" w:type="dxa"/>
                        <w:tcBorders>
                          <w:top w:val="single" w:sz="4" w:space="0" w:color="00000A"/>
                          <w:left w:val="single" w:sz="8" w:space="0" w:color="00000A"/>
                          <w:bottom w:val="single" w:sz="4" w:space="0" w:color="00000A"/>
                          <w:right w:val="single" w:sz="8" w:space="0" w:color="00000A"/>
                        </w:tcBorders>
                        <w:textDirection w:val="lrTb"/>
                        <w:vAlign w:val="center"/>
                      </w:tcPr>
                      <w:p w:rsidR="00A952F0">
                        <w:pPr>
                          <w:widowControl/>
                          <w:bidi w:val="0"/>
                          <w:spacing w:after="0" w:line="240" w:lineRule="auto"/>
                          <w:jc w:val="center"/>
                        </w:pPr>
                        <w:bookmarkStart w:id="55" w:name="__UnoMark__19519_938437906"/>
                        <w:bookmarkStart w:id="56" w:name="__UnoMark__19518_938437906"/>
                        <w:bookmarkEnd w:id="55"/>
                        <w:bookmarkEnd w:id="56"/>
                        <w:r>
                          <w:rPr>
                            <w:rFonts w:ascii="Times New Roman" w:hAnsi="Times New Roman"/>
                            <w:color w:val="000000"/>
                            <w:sz w:val="18"/>
                            <w:lang w:val="sk-SK" w:eastAsia="sk-SK"/>
                          </w:rPr>
                          <w:t>4,1 mil. eur</w:t>
                        </w:r>
                      </w:p>
                    </w:tc>
                  </w:tr>
                  <w:tr>
                    <w:tblPrEx>
                      <w:tblW w:w="14591" w:type="dxa"/>
                      <w:tblInd w:w="60" w:type="dxa"/>
                      <w:tblCellMar>
                        <w:left w:w="50" w:type="dxa"/>
                        <w:right w:w="70" w:type="dxa"/>
                      </w:tblCellMar>
                      <w:tblLook w:val="04A0"/>
                    </w:tblPrEx>
                    <w:trPr>
                      <w:trHeight w:val="290"/>
                    </w:trPr>
                    <w:tc>
                      <w:tcPr>
                        <w:tcW w:w="1832" w:type="dxa"/>
                        <w:tcBorders>
                          <w:top w:val="single" w:sz="4" w:space="0" w:color="00000A"/>
                          <w:left w:val="single" w:sz="8" w:space="0" w:color="00000A"/>
                          <w:bottom w:val="single" w:sz="4" w:space="0" w:color="00000A"/>
                          <w:right w:val="single" w:sz="8" w:space="0" w:color="00000A"/>
                        </w:tcBorders>
                        <w:tcMar>
                          <w:left w:w="50" w:type="dxa"/>
                        </w:tcMar>
                        <w:textDirection w:val="lrTb"/>
                        <w:vAlign w:val="center"/>
                      </w:tcPr>
                      <w:p w:rsidR="00A952F0">
                        <w:pPr>
                          <w:widowControl/>
                          <w:bidi w:val="0"/>
                          <w:spacing w:after="0" w:line="240" w:lineRule="auto"/>
                        </w:pPr>
                        <w:bookmarkStart w:id="57" w:name="__UnoMark__19521_938437906"/>
                        <w:bookmarkStart w:id="58" w:name="__UnoMark__19520_938437906"/>
                        <w:bookmarkEnd w:id="57"/>
                        <w:bookmarkEnd w:id="58"/>
                        <w:r>
                          <w:rPr>
                            <w:rFonts w:ascii="Times New Roman" w:hAnsi="Times New Roman"/>
                            <w:b/>
                            <w:bCs/>
                            <w:color w:val="000000"/>
                            <w:sz w:val="18"/>
                            <w:lang w:val="sk-SK" w:eastAsia="sk-SK"/>
                          </w:rPr>
                          <w:t xml:space="preserve">Náklady - MTZ </w:t>
                        </w:r>
                      </w:p>
                    </w:tc>
                    <w:tc>
                      <w:tcPr>
                        <w:tcW w:w="198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59" w:name="__UnoMark__19523_938437906"/>
                        <w:bookmarkStart w:id="60" w:name="__UnoMark__19522_938437906"/>
                        <w:bookmarkEnd w:id="59"/>
                        <w:bookmarkEnd w:id="60"/>
                        <w:r>
                          <w:rPr>
                            <w:rFonts w:ascii="Times New Roman" w:hAnsi="Times New Roman"/>
                            <w:color w:val="000000"/>
                            <w:sz w:val="18"/>
                            <w:lang w:val="sk-SK" w:eastAsia="sk-SK"/>
                          </w:rPr>
                          <w:t>1,5 mil. eur</w:t>
                        </w:r>
                      </w:p>
                    </w:tc>
                    <w:tc>
                      <w:tcPr>
                        <w:tcW w:w="184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61" w:name="__UnoMark__19525_938437906"/>
                        <w:bookmarkStart w:id="62" w:name="__UnoMark__19524_938437906"/>
                        <w:bookmarkEnd w:id="61"/>
                        <w:bookmarkEnd w:id="62"/>
                        <w:r>
                          <w:rPr>
                            <w:rFonts w:ascii="Times New Roman" w:hAnsi="Times New Roman"/>
                            <w:color w:val="000000"/>
                            <w:sz w:val="18"/>
                            <w:lang w:val="sk-SK" w:eastAsia="sk-SK"/>
                          </w:rPr>
                          <w:t>1,2 mil. eur</w:t>
                        </w:r>
                      </w:p>
                    </w:tc>
                    <w:tc>
                      <w:tcPr>
                        <w:tcW w:w="2269"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63" w:name="__UnoMark__19527_938437906"/>
                        <w:bookmarkStart w:id="64" w:name="__UnoMark__19526_938437906"/>
                        <w:bookmarkEnd w:id="63"/>
                        <w:bookmarkEnd w:id="64"/>
                        <w:r>
                          <w:rPr>
                            <w:rFonts w:ascii="Times New Roman" w:hAnsi="Times New Roman"/>
                            <w:color w:val="000000"/>
                            <w:sz w:val="18"/>
                            <w:lang w:val="sk-SK" w:eastAsia="sk-SK"/>
                          </w:rPr>
                          <w:t>40 tis. eur</w:t>
                        </w:r>
                      </w:p>
                    </w:tc>
                    <w:tc>
                      <w:tcPr>
                        <w:tcW w:w="170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65" w:name="__UnoMark__19529_938437906"/>
                        <w:bookmarkStart w:id="66" w:name="__UnoMark__19528_938437906"/>
                        <w:bookmarkEnd w:id="65"/>
                        <w:bookmarkEnd w:id="66"/>
                        <w:r>
                          <w:rPr>
                            <w:rFonts w:ascii="Times New Roman" w:hAnsi="Times New Roman"/>
                            <w:color w:val="000000"/>
                            <w:sz w:val="18"/>
                            <w:lang w:val="sk-SK" w:eastAsia="sk-SK"/>
                          </w:rPr>
                          <w:t>560 tis. eur</w:t>
                        </w:r>
                      </w:p>
                    </w:tc>
                    <w:tc>
                      <w:tcPr>
                        <w:tcW w:w="2127"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67" w:name="__UnoMark__19531_938437906"/>
                        <w:bookmarkStart w:id="68" w:name="__UnoMark__19530_938437906"/>
                        <w:bookmarkEnd w:id="67"/>
                        <w:bookmarkEnd w:id="68"/>
                        <w:r>
                          <w:rPr>
                            <w:rFonts w:ascii="Times New Roman" w:hAnsi="Times New Roman"/>
                            <w:color w:val="000000"/>
                            <w:sz w:val="18"/>
                            <w:lang w:val="sk-SK" w:eastAsia="sk-SK"/>
                          </w:rPr>
                          <w:t>12 mil. eur</w:t>
                        </w:r>
                      </w:p>
                    </w:tc>
                    <w:tc>
                      <w:tcPr>
                        <w:tcW w:w="2835" w:type="dxa"/>
                        <w:tcBorders>
                          <w:top w:val="single" w:sz="4" w:space="0" w:color="00000A"/>
                          <w:left w:val="single" w:sz="8" w:space="0" w:color="00000A"/>
                          <w:bottom w:val="single" w:sz="4" w:space="0" w:color="00000A"/>
                          <w:right w:val="single" w:sz="8" w:space="0" w:color="00000A"/>
                        </w:tcBorders>
                        <w:textDirection w:val="lrTb"/>
                        <w:vAlign w:val="center"/>
                      </w:tcPr>
                      <w:p w:rsidR="00A952F0">
                        <w:pPr>
                          <w:widowControl/>
                          <w:bidi w:val="0"/>
                          <w:spacing w:after="0" w:line="240" w:lineRule="auto"/>
                          <w:jc w:val="center"/>
                        </w:pPr>
                        <w:bookmarkStart w:id="69" w:name="__UnoMark__19533_938437906"/>
                        <w:bookmarkStart w:id="70" w:name="__UnoMark__19532_938437906"/>
                        <w:bookmarkEnd w:id="69"/>
                        <w:bookmarkEnd w:id="70"/>
                        <w:r>
                          <w:rPr>
                            <w:rFonts w:ascii="Times New Roman" w:hAnsi="Times New Roman"/>
                            <w:color w:val="000000"/>
                            <w:sz w:val="18"/>
                            <w:lang w:val="sk-SK" w:eastAsia="sk-SK"/>
                          </w:rPr>
                          <w:t>nevedia stanoviť</w:t>
                        </w:r>
                      </w:p>
                    </w:tc>
                  </w:tr>
                  <w:tr>
                    <w:tblPrEx>
                      <w:tblW w:w="14591" w:type="dxa"/>
                      <w:tblInd w:w="60" w:type="dxa"/>
                      <w:tblCellMar>
                        <w:left w:w="50" w:type="dxa"/>
                        <w:right w:w="70" w:type="dxa"/>
                      </w:tblCellMar>
                      <w:tblLook w:val="04A0"/>
                    </w:tblPrEx>
                    <w:trPr>
                      <w:trHeight w:val="1148"/>
                    </w:trPr>
                    <w:tc>
                      <w:tcPr>
                        <w:tcW w:w="1832" w:type="dxa"/>
                        <w:tcBorders>
                          <w:top w:val="single" w:sz="4" w:space="0" w:color="00000A"/>
                          <w:left w:val="single" w:sz="8" w:space="0" w:color="00000A"/>
                          <w:bottom w:val="single" w:sz="4" w:space="0" w:color="00000A"/>
                          <w:right w:val="single" w:sz="8" w:space="0" w:color="00000A"/>
                        </w:tcBorders>
                        <w:tcMar>
                          <w:left w:w="50" w:type="dxa"/>
                        </w:tcMar>
                        <w:textDirection w:val="lrTb"/>
                        <w:vAlign w:val="center"/>
                      </w:tcPr>
                      <w:p w:rsidR="00A952F0">
                        <w:pPr>
                          <w:widowControl/>
                          <w:bidi w:val="0"/>
                          <w:spacing w:after="0" w:line="240" w:lineRule="auto"/>
                        </w:pPr>
                        <w:bookmarkStart w:id="71" w:name="__UnoMark__19535_938437906"/>
                        <w:bookmarkStart w:id="72" w:name="__UnoMark__19534_938437906"/>
                        <w:bookmarkEnd w:id="71"/>
                        <w:bookmarkEnd w:id="72"/>
                        <w:r>
                          <w:rPr>
                            <w:rFonts w:ascii="Times New Roman" w:hAnsi="Times New Roman"/>
                            <w:b/>
                            <w:bCs/>
                            <w:color w:val="000000"/>
                            <w:sz w:val="18"/>
                            <w:lang w:val="sk-SK" w:eastAsia="sk-SK"/>
                          </w:rPr>
                          <w:t>Projektová dokumentácia, prípravné práce</w:t>
                        </w:r>
                      </w:p>
                    </w:tc>
                    <w:tc>
                      <w:tcPr>
                        <w:tcW w:w="198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73" w:name="__UnoMark__19537_938437906"/>
                        <w:bookmarkStart w:id="74" w:name="__UnoMark__19536_938437906"/>
                        <w:bookmarkEnd w:id="73"/>
                        <w:bookmarkEnd w:id="74"/>
                        <w:r>
                          <w:rPr>
                            <w:rFonts w:ascii="Times New Roman" w:hAnsi="Times New Roman"/>
                            <w:color w:val="000000"/>
                            <w:sz w:val="18"/>
                            <w:lang w:val="sk-SK" w:eastAsia="sk-SK"/>
                          </w:rPr>
                          <w:t>potreba VO na projektovú dokumentáciu</w:t>
                        </w:r>
                      </w:p>
                    </w:tc>
                    <w:tc>
                      <w:tcPr>
                        <w:tcW w:w="184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75" w:name="__UnoMark__19539_938437906"/>
                        <w:bookmarkStart w:id="76" w:name="__UnoMark__19538_938437906"/>
                        <w:bookmarkEnd w:id="75"/>
                        <w:bookmarkEnd w:id="76"/>
                        <w:r>
                          <w:rPr>
                            <w:rFonts w:ascii="Times New Roman" w:hAnsi="Times New Roman"/>
                            <w:color w:val="000000"/>
                            <w:sz w:val="18"/>
                            <w:lang w:val="sk-SK" w:eastAsia="sk-SK"/>
                          </w:rPr>
                          <w:t>projektová dokumentácia predbežne pripravená</w:t>
                        </w:r>
                      </w:p>
                    </w:tc>
                    <w:tc>
                      <w:tcPr>
                        <w:tcW w:w="2269"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77" w:name="__UnoMark__19541_938437906"/>
                        <w:bookmarkStart w:id="78" w:name="__UnoMark__19540_938437906"/>
                        <w:bookmarkEnd w:id="77"/>
                        <w:bookmarkEnd w:id="78"/>
                        <w:r>
                          <w:rPr>
                            <w:rFonts w:ascii="Times New Roman" w:hAnsi="Times New Roman"/>
                            <w:color w:val="000000"/>
                            <w:sz w:val="18"/>
                            <w:lang w:val="sk-SK" w:eastAsia="sk-SK"/>
                          </w:rPr>
                          <w:t>nie je potrebná</w:t>
                        </w:r>
                      </w:p>
                    </w:tc>
                    <w:tc>
                      <w:tcPr>
                        <w:tcW w:w="170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79" w:name="__UnoMark__19543_938437906"/>
                        <w:bookmarkStart w:id="80" w:name="__UnoMark__19542_938437906"/>
                        <w:bookmarkEnd w:id="79"/>
                        <w:bookmarkEnd w:id="80"/>
                        <w:r>
                          <w:rPr>
                            <w:rFonts w:ascii="Times New Roman" w:hAnsi="Times New Roman"/>
                            <w:color w:val="000000"/>
                            <w:sz w:val="18"/>
                            <w:lang w:val="sk-SK" w:eastAsia="sk-SK"/>
                          </w:rPr>
                          <w:t>pripravená projektová dokumentácia</w:t>
                        </w:r>
                      </w:p>
                    </w:tc>
                    <w:tc>
                      <w:tcPr>
                        <w:tcW w:w="2127"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81" w:name="__UnoMark__19545_938437906"/>
                        <w:bookmarkStart w:id="82" w:name="__UnoMark__19544_938437906"/>
                        <w:bookmarkEnd w:id="81"/>
                        <w:bookmarkEnd w:id="82"/>
                        <w:r>
                          <w:rPr>
                            <w:rFonts w:ascii="Times New Roman" w:hAnsi="Times New Roman"/>
                            <w:color w:val="000000"/>
                            <w:sz w:val="18"/>
                            <w:lang w:val="sk-SK" w:eastAsia="sk-SK"/>
                          </w:rPr>
                          <w:t>potrebné VO na projektovú dokumentáciu (odhad cca 1,5 mil. eur)</w:t>
                        </w:r>
                      </w:p>
                    </w:tc>
                    <w:tc>
                      <w:tcPr>
                        <w:tcW w:w="2835" w:type="dxa"/>
                        <w:tcBorders>
                          <w:top w:val="single" w:sz="4" w:space="0" w:color="00000A"/>
                          <w:left w:val="single" w:sz="8" w:space="0" w:color="00000A"/>
                          <w:bottom w:val="single" w:sz="4" w:space="0" w:color="00000A"/>
                          <w:right w:val="single" w:sz="8" w:space="0" w:color="00000A"/>
                        </w:tcBorders>
                        <w:textDirection w:val="lrTb"/>
                        <w:vAlign w:val="center"/>
                      </w:tcPr>
                      <w:p w:rsidR="00A952F0">
                        <w:pPr>
                          <w:widowControl/>
                          <w:bidi w:val="0"/>
                          <w:spacing w:after="0" w:line="240" w:lineRule="auto"/>
                          <w:jc w:val="center"/>
                        </w:pPr>
                        <w:bookmarkStart w:id="83" w:name="__UnoMark__19547_938437906"/>
                        <w:bookmarkStart w:id="84" w:name="__UnoMark__19546_938437906"/>
                        <w:bookmarkEnd w:id="83"/>
                        <w:bookmarkEnd w:id="84"/>
                        <w:r>
                          <w:rPr>
                            <w:rFonts w:ascii="Times New Roman" w:hAnsi="Times New Roman"/>
                            <w:color w:val="000000"/>
                            <w:sz w:val="18"/>
                            <w:lang w:val="sk-SK" w:eastAsia="sk-SK"/>
                          </w:rPr>
                          <w:t>zatiaľ len objemová a architektonická štúdia/ súťaž o projekt. dokumentáciu</w:t>
                        </w:r>
                      </w:p>
                    </w:tc>
                  </w:tr>
                  <w:tr>
                    <w:tblPrEx>
                      <w:tblW w:w="14591" w:type="dxa"/>
                      <w:tblInd w:w="60" w:type="dxa"/>
                      <w:tblCellMar>
                        <w:left w:w="50" w:type="dxa"/>
                        <w:right w:w="70" w:type="dxa"/>
                      </w:tblCellMar>
                      <w:tblLook w:val="04A0"/>
                    </w:tblPrEx>
                    <w:trPr>
                      <w:trHeight w:val="1366"/>
                    </w:trPr>
                    <w:tc>
                      <w:tcPr>
                        <w:tcW w:w="1832" w:type="dxa"/>
                        <w:tcBorders>
                          <w:top w:val="single" w:sz="4" w:space="0" w:color="00000A"/>
                          <w:left w:val="single" w:sz="8" w:space="0" w:color="00000A"/>
                          <w:bottom w:val="single" w:sz="4" w:space="0" w:color="00000A"/>
                          <w:right w:val="single" w:sz="8" w:space="0" w:color="00000A"/>
                        </w:tcBorders>
                        <w:tcMar>
                          <w:left w:w="50" w:type="dxa"/>
                        </w:tcMar>
                        <w:textDirection w:val="lrTb"/>
                        <w:vAlign w:val="center"/>
                      </w:tcPr>
                      <w:p w:rsidR="00A952F0">
                        <w:pPr>
                          <w:widowControl/>
                          <w:bidi w:val="0"/>
                          <w:spacing w:after="0" w:line="240" w:lineRule="auto"/>
                        </w:pPr>
                        <w:bookmarkStart w:id="85" w:name="__UnoMark__19549_938437906"/>
                        <w:bookmarkStart w:id="86" w:name="__UnoMark__19548_938437906"/>
                        <w:bookmarkEnd w:id="85"/>
                        <w:bookmarkEnd w:id="86"/>
                        <w:r>
                          <w:rPr>
                            <w:rFonts w:ascii="Times New Roman" w:hAnsi="Times New Roman"/>
                            <w:b/>
                            <w:bCs/>
                            <w:color w:val="000000"/>
                            <w:sz w:val="18"/>
                            <w:lang w:val="sk-SK" w:eastAsia="sk-SK"/>
                          </w:rPr>
                          <w:t>MTZ</w:t>
                        </w:r>
                      </w:p>
                    </w:tc>
                    <w:tc>
                      <w:tcPr>
                        <w:tcW w:w="198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87" w:name="__UnoMark__19551_938437906"/>
                        <w:bookmarkStart w:id="88" w:name="__UnoMark__19550_938437906"/>
                        <w:bookmarkEnd w:id="87"/>
                        <w:bookmarkEnd w:id="88"/>
                        <w:r>
                          <w:rPr>
                            <w:rFonts w:ascii="Times New Roman" w:hAnsi="Times New Roman"/>
                            <w:color w:val="000000"/>
                            <w:sz w:val="18"/>
                            <w:lang w:val="sk-SK" w:eastAsia="sk-SK"/>
                          </w:rPr>
                          <w:t>bez vybavenia urgentnej časti/ potreba kompletného zabezpečenia</w:t>
                        </w:r>
                      </w:p>
                    </w:tc>
                    <w:tc>
                      <w:tcPr>
                        <w:tcW w:w="184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89" w:name="__UnoMark__19553_938437906"/>
                        <w:bookmarkStart w:id="90" w:name="__UnoMark__19552_938437906"/>
                        <w:bookmarkEnd w:id="89"/>
                        <w:bookmarkEnd w:id="90"/>
                        <w:r>
                          <w:rPr>
                            <w:rFonts w:ascii="Times New Roman" w:hAnsi="Times New Roman"/>
                            <w:color w:val="000000"/>
                            <w:sz w:val="18"/>
                            <w:lang w:val="sk-SK" w:eastAsia="sk-SK"/>
                          </w:rPr>
                          <w:t>potrebné doplnenie MTZ za cca 1,2 mil. eur</w:t>
                        </w:r>
                      </w:p>
                    </w:tc>
                    <w:tc>
                      <w:tcPr>
                        <w:tcW w:w="2269"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91" w:name="__UnoMark__19555_938437906"/>
                        <w:bookmarkStart w:id="92" w:name="__UnoMark__19554_938437906"/>
                        <w:bookmarkEnd w:id="91"/>
                        <w:bookmarkEnd w:id="92"/>
                        <w:r>
                          <w:rPr>
                            <w:rFonts w:ascii="Times New Roman" w:hAnsi="Times New Roman"/>
                            <w:color w:val="000000"/>
                            <w:sz w:val="18"/>
                            <w:lang w:val="sk-SK" w:eastAsia="sk-SK"/>
                          </w:rPr>
                          <w:t xml:space="preserve">Doplniť: Videolaryngoskop, Bronchofibroskop,    </w:t>
                          <w:br/>
                          <w:t xml:space="preserve">Ohrievač infúznych roztokov, RODEM (reverzná osmóza)  </w:t>
                        </w:r>
                      </w:p>
                    </w:tc>
                    <w:tc>
                      <w:tcPr>
                        <w:tcW w:w="170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93" w:name="__UnoMark__19557_938437906"/>
                        <w:bookmarkStart w:id="94" w:name="__UnoMark__19556_938437906"/>
                        <w:bookmarkEnd w:id="93"/>
                        <w:bookmarkEnd w:id="94"/>
                        <w:r>
                          <w:rPr>
                            <w:rFonts w:ascii="Times New Roman" w:hAnsi="Times New Roman"/>
                            <w:color w:val="000000"/>
                            <w:sz w:val="18"/>
                            <w:lang w:val="sk-SK" w:eastAsia="sk-SK"/>
                          </w:rPr>
                          <w:t>potrebné kompletné zabezpečenie</w:t>
                        </w:r>
                      </w:p>
                    </w:tc>
                    <w:tc>
                      <w:tcPr>
                        <w:tcW w:w="2127"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95" w:name="__UnoMark__19559_938437906"/>
                        <w:bookmarkStart w:id="96" w:name="__UnoMark__19558_938437906"/>
                        <w:bookmarkEnd w:id="95"/>
                        <w:bookmarkEnd w:id="96"/>
                        <w:r>
                          <w:rPr>
                            <w:rFonts w:ascii="Times New Roman" w:hAnsi="Times New Roman"/>
                            <w:color w:val="000000"/>
                            <w:sz w:val="18"/>
                            <w:lang w:val="sk-SK" w:eastAsia="sk-SK"/>
                          </w:rPr>
                          <w:t>potrebné kompletné zabezpečenie</w:t>
                        </w:r>
                      </w:p>
                    </w:tc>
                    <w:tc>
                      <w:tcPr>
                        <w:tcW w:w="2835" w:type="dxa"/>
                        <w:tcBorders>
                          <w:top w:val="single" w:sz="4" w:space="0" w:color="00000A"/>
                          <w:left w:val="single" w:sz="8" w:space="0" w:color="00000A"/>
                          <w:bottom w:val="single" w:sz="4" w:space="0" w:color="00000A"/>
                          <w:right w:val="single" w:sz="8" w:space="0" w:color="00000A"/>
                        </w:tcBorders>
                        <w:textDirection w:val="lrTb"/>
                        <w:vAlign w:val="center"/>
                      </w:tcPr>
                      <w:p w:rsidR="00A952F0">
                        <w:pPr>
                          <w:widowControl/>
                          <w:bidi w:val="0"/>
                          <w:spacing w:after="0" w:line="240" w:lineRule="auto"/>
                          <w:jc w:val="center"/>
                        </w:pPr>
                        <w:bookmarkStart w:id="97" w:name="__UnoMark__19561_938437906"/>
                        <w:bookmarkStart w:id="98" w:name="__UnoMark__19560_938437906"/>
                        <w:bookmarkEnd w:id="97"/>
                        <w:bookmarkEnd w:id="98"/>
                        <w:r>
                          <w:rPr>
                            <w:rFonts w:ascii="Times New Roman" w:hAnsi="Times New Roman"/>
                            <w:color w:val="000000"/>
                            <w:sz w:val="18"/>
                            <w:lang w:val="sk-SK" w:eastAsia="sk-SK"/>
                          </w:rPr>
                          <w:t>potrebné kompletné zabezpečenie</w:t>
                        </w:r>
                      </w:p>
                    </w:tc>
                  </w:tr>
                  <w:tr>
                    <w:tblPrEx>
                      <w:tblW w:w="14591" w:type="dxa"/>
                      <w:tblInd w:w="60" w:type="dxa"/>
                      <w:tblCellMar>
                        <w:left w:w="50" w:type="dxa"/>
                        <w:right w:w="70" w:type="dxa"/>
                      </w:tblCellMar>
                      <w:tblLook w:val="04A0"/>
                    </w:tblPrEx>
                    <w:trPr>
                      <w:trHeight w:val="1695"/>
                    </w:trPr>
                    <w:tc>
                      <w:tcPr>
                        <w:tcW w:w="1832" w:type="dxa"/>
                        <w:tcBorders>
                          <w:top w:val="single" w:sz="4" w:space="0" w:color="00000A"/>
                          <w:left w:val="single" w:sz="8" w:space="0" w:color="00000A"/>
                          <w:bottom w:val="single" w:sz="4" w:space="0" w:color="00000A"/>
                          <w:right w:val="single" w:sz="8" w:space="0" w:color="00000A"/>
                        </w:tcBorders>
                        <w:tcMar>
                          <w:left w:w="50" w:type="dxa"/>
                        </w:tcMar>
                        <w:textDirection w:val="lrTb"/>
                        <w:vAlign w:val="center"/>
                      </w:tcPr>
                      <w:p w:rsidR="00A952F0">
                        <w:pPr>
                          <w:widowControl/>
                          <w:bidi w:val="0"/>
                          <w:spacing w:after="0" w:line="240" w:lineRule="auto"/>
                        </w:pPr>
                        <w:bookmarkStart w:id="99" w:name="__UnoMark__19563_938437906"/>
                        <w:bookmarkStart w:id="100" w:name="__UnoMark__19562_938437906"/>
                        <w:bookmarkEnd w:id="99"/>
                        <w:bookmarkEnd w:id="100"/>
                        <w:r>
                          <w:rPr>
                            <w:rFonts w:ascii="Times New Roman" w:hAnsi="Times New Roman"/>
                            <w:b/>
                            <w:bCs/>
                            <w:color w:val="000000"/>
                            <w:sz w:val="18"/>
                            <w:lang w:val="sk-SK" w:eastAsia="sk-SK"/>
                          </w:rPr>
                          <w:t xml:space="preserve">Stavba / stavebné úpravy </w:t>
                        </w:r>
                      </w:p>
                    </w:tc>
                    <w:tc>
                      <w:tcPr>
                        <w:tcW w:w="198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01" w:name="__UnoMark__19565_938437906"/>
                        <w:bookmarkStart w:id="102" w:name="__UnoMark__19564_938437906"/>
                        <w:bookmarkEnd w:id="101"/>
                        <w:bookmarkEnd w:id="102"/>
                        <w:r>
                          <w:rPr>
                            <w:rFonts w:ascii="Times New Roman" w:hAnsi="Times New Roman"/>
                            <w:color w:val="000000"/>
                            <w:sz w:val="18"/>
                            <w:lang w:val="sk-SK" w:eastAsia="sk-SK"/>
                          </w:rPr>
                          <w:t>úprava priestorov v rámci aktuálnych priestorov centrálneho príjmu</w:t>
                        </w:r>
                      </w:p>
                    </w:tc>
                    <w:tc>
                      <w:tcPr>
                        <w:tcW w:w="184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03" w:name="__UnoMark__19567_938437906"/>
                        <w:bookmarkStart w:id="104" w:name="__UnoMark__19566_938437906"/>
                        <w:bookmarkEnd w:id="103"/>
                        <w:bookmarkEnd w:id="104"/>
                        <w:r>
                          <w:rPr>
                            <w:rFonts w:ascii="Times New Roman" w:hAnsi="Times New Roman"/>
                            <w:color w:val="000000"/>
                            <w:sz w:val="18"/>
                            <w:lang w:val="sk-SK" w:eastAsia="sk-SK"/>
                          </w:rPr>
                          <w:t>úprava priestorov v rámci aktuálneho centrálneho príjmu</w:t>
                        </w:r>
                      </w:p>
                    </w:tc>
                    <w:tc>
                      <w:tcPr>
                        <w:tcW w:w="2269"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05" w:name="__UnoMark__19569_938437906"/>
                        <w:bookmarkStart w:id="106" w:name="__UnoMark__19568_938437906"/>
                        <w:bookmarkEnd w:id="105"/>
                        <w:bookmarkEnd w:id="106"/>
                        <w:r>
                          <w:rPr>
                            <w:rFonts w:ascii="Times New Roman" w:hAnsi="Times New Roman"/>
                            <w:color w:val="000000"/>
                            <w:sz w:val="18"/>
                            <w:lang w:val="sk-SK" w:eastAsia="sk-SK"/>
                          </w:rPr>
                          <w:t>spĺňajú podmienky / urgent vybudovaný v roku 2013</w:t>
                        </w:r>
                      </w:p>
                    </w:tc>
                    <w:tc>
                      <w:tcPr>
                        <w:tcW w:w="170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07" w:name="__UnoMark__19571_938437906"/>
                        <w:bookmarkStart w:id="108" w:name="__UnoMark__19570_938437906"/>
                        <w:bookmarkEnd w:id="107"/>
                        <w:bookmarkEnd w:id="108"/>
                        <w:r>
                          <w:rPr>
                            <w:rFonts w:ascii="Times New Roman" w:hAnsi="Times New Roman"/>
                            <w:color w:val="000000"/>
                            <w:sz w:val="18"/>
                            <w:lang w:val="sk-SK" w:eastAsia="sk-SK"/>
                          </w:rPr>
                          <w:t>prestavba a dobudovanie priestorov v rámci projektu s platným Stavebným povolením</w:t>
                        </w:r>
                      </w:p>
                    </w:tc>
                    <w:tc>
                      <w:tcPr>
                        <w:tcW w:w="2127"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09" w:name="__UnoMark__19573_938437906"/>
                        <w:bookmarkStart w:id="110" w:name="__UnoMark__19572_938437906"/>
                        <w:bookmarkEnd w:id="109"/>
                        <w:bookmarkEnd w:id="110"/>
                        <w:r>
                          <w:rPr>
                            <w:rFonts w:ascii="Times New Roman" w:hAnsi="Times New Roman"/>
                            <w:color w:val="000000"/>
                            <w:sz w:val="18"/>
                            <w:lang w:val="sk-SK" w:eastAsia="sk-SK"/>
                          </w:rPr>
                          <w:t>kompletné vybudovanie nových budovy medzi pavilónmi</w:t>
                        </w:r>
                      </w:p>
                    </w:tc>
                    <w:tc>
                      <w:tcPr>
                        <w:tcW w:w="2835" w:type="dxa"/>
                        <w:tcBorders>
                          <w:top w:val="single" w:sz="4" w:space="0" w:color="00000A"/>
                          <w:left w:val="single" w:sz="8" w:space="0" w:color="00000A"/>
                          <w:bottom w:val="single" w:sz="4" w:space="0" w:color="00000A"/>
                          <w:right w:val="single" w:sz="8" w:space="0" w:color="00000A"/>
                        </w:tcBorders>
                        <w:textDirection w:val="lrTb"/>
                        <w:vAlign w:val="center"/>
                      </w:tcPr>
                      <w:p w:rsidR="00A952F0">
                        <w:pPr>
                          <w:widowControl/>
                          <w:bidi w:val="0"/>
                          <w:spacing w:after="0" w:line="240" w:lineRule="auto"/>
                          <w:jc w:val="center"/>
                        </w:pPr>
                        <w:bookmarkStart w:id="111" w:name="__UnoMark__19575_938437906"/>
                        <w:bookmarkStart w:id="112" w:name="__UnoMark__19574_938437906"/>
                        <w:bookmarkEnd w:id="111"/>
                        <w:bookmarkEnd w:id="112"/>
                        <w:r>
                          <w:rPr>
                            <w:rFonts w:ascii="Times New Roman" w:hAnsi="Times New Roman"/>
                            <w:color w:val="000000"/>
                            <w:sz w:val="18"/>
                            <w:lang w:val="sk-SK" w:eastAsia="sk-SK"/>
                          </w:rPr>
                          <w:t>samostatná stavba dispozične prepojená s existujúcim chirurgickým pavilónom</w:t>
                        </w:r>
                      </w:p>
                    </w:tc>
                  </w:tr>
                  <w:tr>
                    <w:tblPrEx>
                      <w:tblW w:w="14591" w:type="dxa"/>
                      <w:tblInd w:w="60" w:type="dxa"/>
                      <w:tblCellMar>
                        <w:left w:w="50" w:type="dxa"/>
                        <w:right w:w="70" w:type="dxa"/>
                      </w:tblCellMar>
                      <w:tblLook w:val="04A0"/>
                    </w:tblPrEx>
                    <w:trPr>
                      <w:trHeight w:val="580"/>
                    </w:trPr>
                    <w:tc>
                      <w:tcPr>
                        <w:tcW w:w="1832" w:type="dxa"/>
                        <w:tcBorders>
                          <w:top w:val="single" w:sz="4" w:space="0" w:color="00000A"/>
                          <w:left w:val="single" w:sz="8" w:space="0" w:color="00000A"/>
                          <w:bottom w:val="single" w:sz="4" w:space="0" w:color="00000A"/>
                          <w:right w:val="single" w:sz="8" w:space="0" w:color="00000A"/>
                        </w:tcBorders>
                        <w:tcMar>
                          <w:left w:w="50" w:type="dxa"/>
                        </w:tcMar>
                        <w:textDirection w:val="lrTb"/>
                        <w:vAlign w:val="center"/>
                      </w:tcPr>
                      <w:p w:rsidR="00A952F0">
                        <w:pPr>
                          <w:widowControl/>
                          <w:bidi w:val="0"/>
                          <w:spacing w:after="0" w:line="240" w:lineRule="auto"/>
                        </w:pPr>
                        <w:bookmarkStart w:id="113" w:name="__UnoMark__19577_938437906"/>
                        <w:bookmarkStart w:id="114" w:name="__UnoMark__19576_938437906"/>
                        <w:bookmarkEnd w:id="113"/>
                        <w:bookmarkEnd w:id="114"/>
                        <w:r>
                          <w:rPr>
                            <w:rFonts w:ascii="Times New Roman" w:hAnsi="Times New Roman"/>
                            <w:b/>
                            <w:bCs/>
                            <w:color w:val="000000"/>
                            <w:sz w:val="18"/>
                            <w:lang w:val="sk-SK" w:eastAsia="sk-SK"/>
                          </w:rPr>
                          <w:t>Trauma tím</w:t>
                        </w:r>
                      </w:p>
                    </w:tc>
                    <w:tc>
                      <w:tcPr>
                        <w:tcW w:w="198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15" w:name="__UnoMark__19579_938437906"/>
                        <w:bookmarkStart w:id="116" w:name="__UnoMark__19578_938437906"/>
                        <w:bookmarkEnd w:id="115"/>
                        <w:bookmarkEnd w:id="116"/>
                        <w:r>
                          <w:rPr>
                            <w:rFonts w:ascii="Times New Roman" w:hAnsi="Times New Roman"/>
                            <w:color w:val="000000"/>
                            <w:sz w:val="18"/>
                            <w:lang w:val="sk-SK" w:eastAsia="sk-SK"/>
                          </w:rPr>
                          <w:t>do kolaudácie splnené</w:t>
                        </w:r>
                      </w:p>
                    </w:tc>
                    <w:tc>
                      <w:tcPr>
                        <w:tcW w:w="184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17" w:name="__UnoMark__19581_938437906"/>
                        <w:bookmarkStart w:id="118" w:name="__UnoMark__19580_938437906"/>
                        <w:bookmarkEnd w:id="117"/>
                        <w:bookmarkEnd w:id="118"/>
                        <w:r>
                          <w:rPr>
                            <w:rFonts w:ascii="Times New Roman" w:hAnsi="Times New Roman"/>
                            <w:color w:val="000000"/>
                            <w:sz w:val="18"/>
                            <w:lang w:val="sk-SK" w:eastAsia="sk-SK"/>
                          </w:rPr>
                          <w:t>spĺňajú podmienky</w:t>
                        </w:r>
                      </w:p>
                    </w:tc>
                    <w:tc>
                      <w:tcPr>
                        <w:tcW w:w="2269"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19" w:name="__UnoMark__19583_938437906"/>
                        <w:bookmarkStart w:id="120" w:name="__UnoMark__19582_938437906"/>
                        <w:bookmarkEnd w:id="119"/>
                        <w:bookmarkEnd w:id="120"/>
                        <w:r>
                          <w:rPr>
                            <w:rFonts w:ascii="Times New Roman" w:hAnsi="Times New Roman"/>
                            <w:color w:val="000000"/>
                            <w:sz w:val="18"/>
                            <w:lang w:val="sk-SK" w:eastAsia="sk-SK"/>
                          </w:rPr>
                          <w:t>spĺňajú podmienky</w:t>
                        </w:r>
                      </w:p>
                    </w:tc>
                    <w:tc>
                      <w:tcPr>
                        <w:tcW w:w="170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21" w:name="__UnoMark__19585_938437906"/>
                        <w:bookmarkStart w:id="122" w:name="__UnoMark__19584_938437906"/>
                        <w:bookmarkEnd w:id="121"/>
                        <w:bookmarkEnd w:id="122"/>
                        <w:r>
                          <w:rPr>
                            <w:rFonts w:ascii="Times New Roman" w:hAnsi="Times New Roman"/>
                            <w:color w:val="000000"/>
                            <w:sz w:val="18"/>
                            <w:lang w:val="sk-SK" w:eastAsia="sk-SK"/>
                          </w:rPr>
                          <w:t>do vybudovania Urgentu II splnia</w:t>
                        </w:r>
                      </w:p>
                    </w:tc>
                    <w:tc>
                      <w:tcPr>
                        <w:tcW w:w="2127"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23" w:name="__UnoMark__19587_938437906"/>
                        <w:bookmarkStart w:id="124" w:name="__UnoMark__19586_938437906"/>
                        <w:bookmarkEnd w:id="123"/>
                        <w:bookmarkEnd w:id="124"/>
                        <w:r>
                          <w:rPr>
                            <w:rFonts w:ascii="Times New Roman" w:hAnsi="Times New Roman"/>
                            <w:color w:val="000000"/>
                            <w:sz w:val="18"/>
                            <w:lang w:val="sk-SK" w:eastAsia="sk-SK"/>
                          </w:rPr>
                          <w:t>spĺňajú podmienky</w:t>
                        </w:r>
                      </w:p>
                    </w:tc>
                    <w:tc>
                      <w:tcPr>
                        <w:tcW w:w="2835" w:type="dxa"/>
                        <w:tcBorders>
                          <w:top w:val="single" w:sz="4" w:space="0" w:color="00000A"/>
                          <w:left w:val="single" w:sz="8" w:space="0" w:color="00000A"/>
                          <w:bottom w:val="single" w:sz="4" w:space="0" w:color="00000A"/>
                          <w:right w:val="single" w:sz="8" w:space="0" w:color="00000A"/>
                        </w:tcBorders>
                        <w:textDirection w:val="lrTb"/>
                        <w:vAlign w:val="center"/>
                      </w:tcPr>
                      <w:p w:rsidR="00A952F0">
                        <w:pPr>
                          <w:widowControl/>
                          <w:bidi w:val="0"/>
                          <w:spacing w:after="0" w:line="240" w:lineRule="auto"/>
                          <w:jc w:val="center"/>
                        </w:pPr>
                        <w:bookmarkStart w:id="125" w:name="__UnoMark__19589_938437906"/>
                        <w:bookmarkStart w:id="126" w:name="__UnoMark__19588_938437906"/>
                        <w:bookmarkEnd w:id="125"/>
                        <w:bookmarkEnd w:id="126"/>
                        <w:r>
                          <w:rPr>
                            <w:rFonts w:ascii="Times New Roman" w:hAnsi="Times New Roman"/>
                            <w:color w:val="000000"/>
                            <w:sz w:val="18"/>
                            <w:lang w:val="sk-SK" w:eastAsia="sk-SK"/>
                          </w:rPr>
                          <w:t>do vybudovania Urgentu II splnia</w:t>
                        </w:r>
                      </w:p>
                    </w:tc>
                  </w:tr>
                  <w:tr>
                    <w:tblPrEx>
                      <w:tblW w:w="14591" w:type="dxa"/>
                      <w:tblInd w:w="60" w:type="dxa"/>
                      <w:tblCellMar>
                        <w:left w:w="50" w:type="dxa"/>
                        <w:right w:w="70" w:type="dxa"/>
                      </w:tblCellMar>
                      <w:tblLook w:val="04A0"/>
                    </w:tblPrEx>
                    <w:trPr>
                      <w:trHeight w:val="590"/>
                    </w:trPr>
                    <w:tc>
                      <w:tcPr>
                        <w:tcW w:w="1832" w:type="dxa"/>
                        <w:tcBorders>
                          <w:top w:val="single" w:sz="4" w:space="0" w:color="00000A"/>
                          <w:left w:val="single" w:sz="8" w:space="0" w:color="00000A"/>
                          <w:bottom w:val="single" w:sz="4" w:space="0" w:color="00000A"/>
                          <w:right w:val="single" w:sz="8" w:space="0" w:color="00000A"/>
                        </w:tcBorders>
                        <w:tcMar>
                          <w:left w:w="50" w:type="dxa"/>
                        </w:tcMar>
                        <w:textDirection w:val="lrTb"/>
                        <w:vAlign w:val="center"/>
                      </w:tcPr>
                      <w:p w:rsidR="00A952F0">
                        <w:pPr>
                          <w:widowControl/>
                          <w:bidi w:val="0"/>
                          <w:spacing w:after="0" w:line="240" w:lineRule="auto"/>
                        </w:pPr>
                        <w:bookmarkStart w:id="127" w:name="__UnoMark__19591_938437906"/>
                        <w:bookmarkStart w:id="128" w:name="__UnoMark__19590_938437906"/>
                        <w:bookmarkEnd w:id="127"/>
                        <w:bookmarkEnd w:id="128"/>
                        <w:r>
                          <w:rPr>
                            <w:rFonts w:ascii="Times New Roman" w:hAnsi="Times New Roman"/>
                            <w:b/>
                            <w:bCs/>
                            <w:color w:val="000000"/>
                            <w:sz w:val="18"/>
                            <w:lang w:val="sk-SK" w:eastAsia="sk-SK"/>
                          </w:rPr>
                          <w:t>Personál urgentný príjem</w:t>
                        </w:r>
                      </w:p>
                    </w:tc>
                    <w:tc>
                      <w:tcPr>
                        <w:tcW w:w="1985"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29" w:name="__UnoMark__19593_938437906"/>
                        <w:bookmarkStart w:id="130" w:name="__UnoMark__19592_938437906"/>
                        <w:bookmarkEnd w:id="129"/>
                        <w:bookmarkEnd w:id="130"/>
                        <w:r>
                          <w:rPr>
                            <w:rFonts w:ascii="Times New Roman" w:hAnsi="Times New Roman"/>
                            <w:color w:val="000000"/>
                            <w:sz w:val="18"/>
                            <w:lang w:val="sk-SK" w:eastAsia="sk-SK"/>
                          </w:rPr>
                          <w:t>do kolaudácie splnené</w:t>
                        </w:r>
                      </w:p>
                    </w:tc>
                    <w:tc>
                      <w:tcPr>
                        <w:tcW w:w="184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31" w:name="__UnoMark__19595_938437906"/>
                        <w:bookmarkStart w:id="132" w:name="__UnoMark__19594_938437906"/>
                        <w:bookmarkEnd w:id="131"/>
                        <w:bookmarkEnd w:id="132"/>
                        <w:r>
                          <w:rPr>
                            <w:rFonts w:ascii="Times New Roman" w:hAnsi="Times New Roman"/>
                            <w:color w:val="000000"/>
                            <w:sz w:val="18"/>
                            <w:lang w:val="sk-SK" w:eastAsia="sk-SK"/>
                          </w:rPr>
                          <w:t>spĺňajú podmienky</w:t>
                        </w:r>
                      </w:p>
                    </w:tc>
                    <w:tc>
                      <w:tcPr>
                        <w:tcW w:w="2269"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33" w:name="__UnoMark__19597_938437906"/>
                        <w:bookmarkStart w:id="134" w:name="__UnoMark__19596_938437906"/>
                        <w:bookmarkEnd w:id="133"/>
                        <w:bookmarkEnd w:id="134"/>
                        <w:r>
                          <w:rPr>
                            <w:rFonts w:ascii="Times New Roman" w:hAnsi="Times New Roman"/>
                            <w:color w:val="000000"/>
                            <w:sz w:val="18"/>
                            <w:lang w:val="sk-SK" w:eastAsia="sk-SK"/>
                          </w:rPr>
                          <w:t>lekár s atestáciou UM za 5 rokov</w:t>
                        </w:r>
                      </w:p>
                    </w:tc>
                    <w:tc>
                      <w:tcPr>
                        <w:tcW w:w="1701"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35" w:name="__UnoMark__19599_938437906"/>
                        <w:bookmarkStart w:id="136" w:name="__UnoMark__19598_938437906"/>
                        <w:bookmarkEnd w:id="135"/>
                        <w:bookmarkEnd w:id="136"/>
                        <w:r>
                          <w:rPr>
                            <w:rFonts w:ascii="Times New Roman" w:hAnsi="Times New Roman"/>
                            <w:color w:val="000000"/>
                            <w:sz w:val="18"/>
                            <w:lang w:val="sk-SK" w:eastAsia="sk-SK"/>
                          </w:rPr>
                          <w:t xml:space="preserve">do kolaudácie splnené </w:t>
                        </w:r>
                      </w:p>
                    </w:tc>
                    <w:tc>
                      <w:tcPr>
                        <w:tcW w:w="2127" w:type="dxa"/>
                        <w:tcBorders>
                          <w:top w:val="single" w:sz="4" w:space="0" w:color="00000A"/>
                          <w:left w:val="single" w:sz="4" w:space="0" w:color="00000A"/>
                          <w:bottom w:val="single" w:sz="4" w:space="0" w:color="00000A"/>
                          <w:right w:val="single" w:sz="4" w:space="0" w:color="00000A"/>
                        </w:tcBorders>
                        <w:tcMar>
                          <w:left w:w="65" w:type="dxa"/>
                        </w:tcMar>
                        <w:textDirection w:val="lrTb"/>
                        <w:vAlign w:val="center"/>
                      </w:tcPr>
                      <w:p w:rsidR="00A952F0">
                        <w:pPr>
                          <w:widowControl/>
                          <w:bidi w:val="0"/>
                          <w:spacing w:after="0" w:line="240" w:lineRule="auto"/>
                          <w:jc w:val="center"/>
                        </w:pPr>
                        <w:bookmarkStart w:id="137" w:name="__UnoMark__19601_938437906"/>
                        <w:bookmarkStart w:id="138" w:name="__UnoMark__19600_938437906"/>
                        <w:bookmarkEnd w:id="137"/>
                        <w:bookmarkEnd w:id="138"/>
                        <w:r>
                          <w:rPr>
                            <w:rFonts w:ascii="Times New Roman" w:hAnsi="Times New Roman"/>
                            <w:color w:val="000000"/>
                            <w:sz w:val="18"/>
                            <w:lang w:val="sk-SK" w:eastAsia="sk-SK"/>
                          </w:rPr>
                          <w:t>spĺňajú podmienky</w:t>
                        </w:r>
                      </w:p>
                    </w:tc>
                    <w:tc>
                      <w:tcPr>
                        <w:tcW w:w="2835" w:type="dxa"/>
                        <w:tcBorders>
                          <w:top w:val="single" w:sz="4" w:space="0" w:color="00000A"/>
                          <w:left w:val="single" w:sz="8" w:space="0" w:color="00000A"/>
                          <w:bottom w:val="single" w:sz="4" w:space="0" w:color="00000A"/>
                          <w:right w:val="single" w:sz="8" w:space="0" w:color="00000A"/>
                        </w:tcBorders>
                        <w:textDirection w:val="lrTb"/>
                        <w:vAlign w:val="center"/>
                      </w:tcPr>
                      <w:p w:rsidR="00A952F0">
                        <w:pPr>
                          <w:widowControl/>
                          <w:bidi w:val="0"/>
                          <w:spacing w:after="0" w:line="240" w:lineRule="auto"/>
                          <w:jc w:val="center"/>
                        </w:pPr>
                        <w:bookmarkStart w:id="139" w:name="__UnoMark__19603_938437906"/>
                        <w:bookmarkStart w:id="140" w:name="__UnoMark__19602_938437906"/>
                        <w:bookmarkEnd w:id="139"/>
                        <w:bookmarkEnd w:id="140"/>
                        <w:r>
                          <w:rPr>
                            <w:rFonts w:ascii="Times New Roman" w:hAnsi="Times New Roman"/>
                            <w:color w:val="000000"/>
                            <w:sz w:val="18"/>
                            <w:lang w:val="sk-SK" w:eastAsia="sk-SK"/>
                          </w:rPr>
                          <w:t xml:space="preserve">do kolaudácie splnené </w:t>
                        </w:r>
                      </w:p>
                    </w:tc>
                  </w:tr>
                  <w:tr>
                    <w:tblPrEx>
                      <w:tblW w:w="14591" w:type="dxa"/>
                      <w:tblInd w:w="60" w:type="dxa"/>
                      <w:tblCellMar>
                        <w:left w:w="50" w:type="dxa"/>
                        <w:right w:w="70" w:type="dxa"/>
                      </w:tblCellMar>
                      <w:tblLook w:val="04A0"/>
                    </w:tblPrEx>
                    <w:trPr>
                      <w:trHeight w:val="590"/>
                    </w:trPr>
                    <w:tc>
                      <w:tcPr>
                        <w:tcW w:w="14590" w:type="dxa"/>
                        <w:gridSpan w:val="7"/>
                        <w:tcBorders>
                          <w:top w:val="single" w:sz="4" w:space="0" w:color="00000A"/>
                          <w:left w:val="single" w:sz="8" w:space="0" w:color="00000A"/>
                          <w:bottom w:val="single" w:sz="4" w:space="0" w:color="00000A"/>
                          <w:right w:val="single" w:sz="8" w:space="0" w:color="00000A"/>
                        </w:tcBorders>
                        <w:tcMar>
                          <w:left w:w="50" w:type="dxa"/>
                        </w:tcMar>
                        <w:textDirection w:val="lrTb"/>
                        <w:vAlign w:val="center"/>
                      </w:tcPr>
                      <w:p w:rsidR="00A952F0">
                        <w:pPr>
                          <w:widowControl/>
                          <w:bidi w:val="0"/>
                          <w:spacing w:after="0" w:line="240" w:lineRule="auto"/>
                        </w:pPr>
                        <w:bookmarkStart w:id="141" w:name="__UnoMark__19604_938437906"/>
                        <w:bookmarkEnd w:id="141"/>
                        <w:r>
                          <w:rPr>
                            <w:rFonts w:ascii="Times New Roman" w:hAnsi="Times New Roman"/>
                            <w:color w:val="000000"/>
                            <w:sz w:val="18"/>
                            <w:lang w:val="sk-SK" w:eastAsia="sk-SK"/>
                          </w:rPr>
                          <w:t>náklady r. 2018: 1,2 mil. + 1,5 mil. + 1,5 mil. + 1,2 mil. + 0,040 mil. = 5,44 mil. eur</w:t>
                        </w:r>
                      </w:p>
                      <w:p w:rsidR="00A952F0">
                        <w:pPr>
                          <w:widowControl/>
                          <w:bidi w:val="0"/>
                          <w:spacing w:after="0" w:line="240" w:lineRule="auto"/>
                        </w:pPr>
                        <w:r>
                          <w:rPr>
                            <w:rFonts w:ascii="Times New Roman" w:hAnsi="Times New Roman"/>
                            <w:color w:val="000000"/>
                            <w:sz w:val="18"/>
                            <w:lang w:val="sk-SK" w:eastAsia="sk-SK"/>
                          </w:rPr>
                          <w:t>náklady r. 2019: 2,1 mil. + 0,560 mil. + 14 mil. + 12 mil. = 28,66 mil. eur</w:t>
                          <w:br/>
                          <w:t>náklady r. 2020: 4,1 mil. eur</w:t>
                        </w:r>
                      </w:p>
                    </w:tc>
                  </w:tr>
                </w:tbl>
                <w:p w:rsidR="00A952F0">
                  <w:pPr>
                    <w:pStyle w:val="FrameContents"/>
                    <w:bidi w:val="0"/>
                  </w:pPr>
                </w:p>
              </w:txbxContent>
            </v:textbox>
            <w10:wrap type="square"/>
          </v:rect>
        </w:pict>
      </w:r>
    </w:p>
    <w:p w:rsidR="00D056F8">
      <w:pPr>
        <w:pStyle w:val="ListParagraph"/>
        <w:bidi w:val="0"/>
        <w:spacing w:after="200"/>
        <w:ind w:left="720"/>
        <w:contextualSpacing/>
        <w:jc w:val="both"/>
        <w:rPr>
          <w:rFonts w:ascii="Times New Roman" w:hAnsi="Times New Roman"/>
          <w:color w:val="FF0000"/>
          <w:sz w:val="22"/>
          <w:szCs w:val="22"/>
        </w:rPr>
      </w:pPr>
      <w:r w:rsidR="004F79A6">
        <w:rPr>
          <w:rFonts w:ascii="Times New Roman" w:hAnsi="Times New Roman"/>
          <w:bCs/>
          <w:szCs w:val="20"/>
        </w:rPr>
        <w:t xml:space="preserve">B.  </w:t>
      </w:r>
      <w:r w:rsidR="004F79A6">
        <w:rPr>
          <w:rFonts w:ascii="Times New Roman" w:hAnsi="Times New Roman"/>
          <w:b/>
          <w:sz w:val="22"/>
          <w:szCs w:val="22"/>
          <w:u w:val="single"/>
        </w:rPr>
        <w:t>Obhliadky mŕtvych</w:t>
      </w:r>
    </w:p>
    <w:p w:rsidR="00D056F8">
      <w:pPr>
        <w:tabs>
          <w:tab w:val="left" w:pos="1080"/>
        </w:tabs>
        <w:bidi w:val="0"/>
        <w:spacing w:after="0" w:line="240" w:lineRule="auto"/>
        <w:jc w:val="both"/>
        <w:rPr>
          <w:rFonts w:ascii="Times New Roman" w:hAnsi="Times New Roman"/>
          <w:bCs/>
          <w:lang w:val="sk-SK" w:eastAsia="sk-SK"/>
        </w:rPr>
      </w:pPr>
      <w:r w:rsidR="004F79A6">
        <w:rPr>
          <w:rFonts w:ascii="Times New Roman" w:hAnsi="Times New Roman"/>
          <w:bCs/>
          <w:lang w:val="sk-SK" w:eastAsia="sk-SK"/>
        </w:rPr>
        <w:t>V súvislosti s vykonávaním prehliadok mŕtvych tiel sa nepredpokladá vplyv na štátny rozpočet. V prípade realizácie verejného obstarávania vykonávania prehliadok mŕtvych tiel mimo zdravotníckeho zariadenia ústavnej zdravotnej starostlivosti vo všetkých samosprávnych krajoch a v ústavnom zdravotníckom zariadení vrátane prepravy lekára sa predpokladá celkový náklad vo výške 1 250 620 eur. Úhrada za vykonanie jednej prehliadky mŕtveho tela bez prepravy lekára sa predpokladá vo výške 40 eur. Ak verejné obstarávanie nebude úspešné, teda v takomto prípade sa prehliadky mŕtvych tiel budú vykonávať na základe rozpisu Úradu pre dohľad nad zdravotnou starostlivosťou, výška úhrady za vykonanie jednej prehliadky mŕtveho tela sa predpokladá v rozmedzí od 30 do 40 eur v závislosti od počtu vykonaných prehliadok mŕtvych tiel jedným lekárom. V takomto prípade pri počte zomretých 23 936 v roku 2015 mimo zariadenia ústavnej zdravotnej starostlivosti za vykonanie prehliadok mŕtvych tiel bez prepravy lekára a vrátane financovania prehliadok mŕtvych tiel v zdravotníckom zariadení ústavnej zdravotnej starostlivosti pri počte zomretých 29 318 sa predpokladá 905 667 eur. Všetky finančné náklady na zabezpečenie a vykonávanie prehliadok mŕtvych tiel vrátane dopravy lekárov bude uhrádzať Úrad pre dohľad nad zdravotnou starostlivosťou zo svojej rozpočtovej kapitoly. Príspevok na činnosti Úradu pre dohľad nad zdravotnou starostlivosťou na rok 2018 je vo výške 19 154 157 eur, na rok 2019 je vo výške 20 007 231 eur a na rok 2020 je vo výške 21 206 803 eur, pričom kompenzácia nákladov na financovanie prehliadok mŕtvych tiel najviac vo výške 1 250 620 eur bude súčasťou uvedených príspevkov na činnosti Úradu pre dohľad nad zdravotnou starostlivosťou. Financovanie prehliadok mŕtvych tiel nevyžaduje zvýšené nároky na rozpočet verejnej správy ani rozpočet zdravotných poisťovní. V súvislosti s novými povinnosťami a sankciami sa nepredpokladajú zvýšené príjmy, vzhľadom ku skutočnosti, že sa predpokladá dodržiavanie novo ustanovených povinností.</w:t>
      </w:r>
    </w:p>
    <w:p w:rsidR="00D056F8">
      <w:pPr>
        <w:tabs>
          <w:tab w:val="left" w:pos="1080"/>
        </w:tabs>
        <w:bidi w:val="0"/>
        <w:spacing w:after="0" w:line="240" w:lineRule="auto"/>
        <w:jc w:val="both"/>
        <w:rPr>
          <w:rFonts w:ascii="Times New Roman" w:hAnsi="Times New Roman"/>
          <w:bCs/>
          <w:lang w:val="sk-SK" w:eastAsia="sk-SK"/>
        </w:rPr>
      </w:pPr>
    </w:p>
    <w:p w:rsidR="00D056F8">
      <w:pPr>
        <w:tabs>
          <w:tab w:val="left" w:pos="1080"/>
        </w:tabs>
        <w:bidi w:val="0"/>
        <w:spacing w:after="0" w:line="240" w:lineRule="auto"/>
        <w:jc w:val="both"/>
        <w:rPr>
          <w:rFonts w:ascii="Times New Roman" w:hAnsi="Times New Roman"/>
          <w:bCs/>
          <w:lang w:val="sk-SK" w:eastAsia="sk-SK"/>
        </w:rPr>
      </w:pPr>
    </w:p>
    <w:p w:rsidR="00D056F8">
      <w:pPr>
        <w:pStyle w:val="ListParagraph"/>
        <w:bidi w:val="0"/>
        <w:spacing w:after="200"/>
        <w:ind w:left="426"/>
        <w:contextualSpacing/>
        <w:jc w:val="both"/>
        <w:rPr>
          <w:rFonts w:ascii="Times New Roman" w:hAnsi="Times New Roman"/>
          <w:b/>
          <w:sz w:val="22"/>
          <w:szCs w:val="22"/>
        </w:rPr>
      </w:pPr>
      <w:r w:rsidR="004F79A6">
        <w:rPr>
          <w:rFonts w:ascii="Times New Roman" w:hAnsi="Times New Roman"/>
          <w:b/>
          <w:sz w:val="22"/>
          <w:szCs w:val="22"/>
        </w:rPr>
        <w:t>C. eHealth</w:t>
      </w:r>
    </w:p>
    <w:p w:rsidR="00D056F8">
      <w:pPr>
        <w:bidi w:val="0"/>
        <w:spacing w:after="0" w:line="240" w:lineRule="auto"/>
        <w:contextualSpacing/>
        <w:jc w:val="both"/>
        <w:rPr>
          <w:rFonts w:ascii="Times New Roman" w:hAnsi="Times New Roman"/>
          <w:lang w:val="sk-SK"/>
        </w:rPr>
      </w:pPr>
    </w:p>
    <w:p w:rsidR="00D056F8">
      <w:pPr>
        <w:bidi w:val="0"/>
        <w:spacing w:after="0" w:line="240" w:lineRule="auto"/>
        <w:contextualSpacing/>
        <w:jc w:val="both"/>
        <w:rPr>
          <w:rFonts w:ascii="Times New Roman" w:hAnsi="Times New Roman"/>
          <w:bCs/>
          <w:lang w:val="sk-SK" w:eastAsia="sk-SK"/>
        </w:rPr>
      </w:pPr>
      <w:r w:rsidR="004F79A6">
        <w:rPr>
          <w:rFonts w:ascii="Times New Roman" w:hAnsi="Times New Roman"/>
          <w:bCs/>
          <w:lang w:val="sk-SK" w:eastAsia="sk-SK"/>
        </w:rPr>
        <w:t>Nepredpokladá sa vplyv na verejné financie.</w:t>
      </w:r>
    </w:p>
    <w:p w:rsidR="00D056F8">
      <w:pPr>
        <w:bidi w:val="0"/>
        <w:spacing w:after="0" w:line="240" w:lineRule="auto"/>
        <w:contextualSpacing/>
        <w:jc w:val="both"/>
        <w:rPr>
          <w:rFonts w:ascii="Times New Roman" w:hAnsi="Times New Roman"/>
          <w:bCs/>
          <w:lang w:val="sk-SK" w:eastAsia="sk-SK"/>
        </w:rPr>
      </w:pPr>
    </w:p>
    <w:p w:rsidR="00D056F8">
      <w:pPr>
        <w:pStyle w:val="ListParagraph"/>
        <w:numPr>
          <w:numId w:val="5"/>
        </w:numPr>
        <w:bidi w:val="0"/>
        <w:spacing w:after="200"/>
        <w:contextualSpacing/>
        <w:jc w:val="both"/>
        <w:rPr>
          <w:rFonts w:ascii="Times New Roman" w:hAnsi="Times New Roman"/>
          <w:b/>
          <w:color w:val="FF0000"/>
          <w:sz w:val="22"/>
          <w:szCs w:val="22"/>
        </w:rPr>
      </w:pPr>
      <w:r w:rsidR="004F79A6">
        <w:rPr>
          <w:rFonts w:ascii="Times New Roman" w:hAnsi="Times New Roman"/>
          <w:b/>
          <w:sz w:val="22"/>
          <w:szCs w:val="22"/>
        </w:rPr>
        <w:t>Ošetrovateľská starostlivosť v zariadeniach sociálnej pomoci</w:t>
      </w:r>
    </w:p>
    <w:p w:rsidR="00D056F8">
      <w:pPr>
        <w:bidi w:val="0"/>
        <w:spacing w:after="0" w:line="240" w:lineRule="auto"/>
        <w:contextualSpacing/>
        <w:jc w:val="both"/>
        <w:rPr>
          <w:rFonts w:ascii="Times New Roman" w:hAnsi="Times New Roman"/>
          <w:b/>
          <w:color w:val="FF0000"/>
          <w:lang w:val="sk-SK"/>
        </w:rPr>
      </w:pPr>
    </w:p>
    <w:p w:rsidR="00D056F8">
      <w:pPr>
        <w:bidi w:val="0"/>
        <w:spacing w:after="0" w:line="240" w:lineRule="auto"/>
        <w:contextualSpacing/>
        <w:jc w:val="both"/>
        <w:rPr>
          <w:rFonts w:ascii="Times New Roman" w:hAnsi="Times New Roman"/>
          <w:bCs/>
          <w:lang w:val="sk-SK" w:eastAsia="sk-SK"/>
        </w:rPr>
      </w:pPr>
      <w:r w:rsidR="004F79A6">
        <w:rPr>
          <w:rFonts w:ascii="Times New Roman" w:hAnsi="Times New Roman"/>
          <w:bCs/>
          <w:lang w:val="sk-SK" w:eastAsia="sk-SK"/>
        </w:rPr>
        <w:t>Predpokladá sa nasledovný počet lôžok, na ktorých sa bude poskytovať ošetrovateľská starostlivosť:</w:t>
      </w:r>
    </w:p>
    <w:p w:rsidR="00D056F8">
      <w:pPr>
        <w:bidi w:val="0"/>
        <w:spacing w:after="0" w:line="240" w:lineRule="auto"/>
        <w:rPr>
          <w:rFonts w:ascii="Times New Roman" w:hAnsi="Times New Roman"/>
          <w:bCs/>
          <w:lang w:val="sk-SK" w:eastAsia="sk-SK"/>
        </w:rPr>
      </w:pPr>
    </w:p>
    <w:tbl>
      <w:tblPr>
        <w:tblStyle w:val="TableNormal"/>
        <w:tblW w:w="9750" w:type="dxa"/>
        <w:tblInd w:w="-6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tblPr>
      <w:tblGrid>
        <w:gridCol w:w="3306"/>
        <w:gridCol w:w="1981"/>
        <w:gridCol w:w="2232"/>
        <w:gridCol w:w="2231"/>
      </w:tblGrid>
      <w:tr>
        <w:tblPrEx>
          <w:tblW w:w="9750" w:type="dxa"/>
          <w:tblInd w:w="-6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Look w:val="04A0"/>
        </w:tblPrEx>
        <w:trPr>
          <w:trHeight w:val="290"/>
        </w:trPr>
        <w:tc>
          <w:tcPr>
            <w:tcW w:w="3305"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 </w:t>
            </w:r>
          </w:p>
        </w:tc>
        <w:tc>
          <w:tcPr>
            <w:tcW w:w="1981"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jc w:val="right"/>
              <w:rPr>
                <w:rFonts w:ascii="Times New Roman" w:hAnsi="Times New Roman"/>
                <w:lang w:val="sk-SK"/>
              </w:rPr>
            </w:pPr>
            <w:r w:rsidR="004F79A6">
              <w:rPr>
                <w:rFonts w:ascii="Times New Roman" w:hAnsi="Times New Roman"/>
                <w:lang w:val="sk-SK"/>
              </w:rPr>
              <w:t>Počet lôžok  v zariadeniach sociálnoprávnej ochrany detí a sociálnej kurately</w:t>
            </w:r>
          </w:p>
        </w:tc>
        <w:tc>
          <w:tcPr>
            <w:tcW w:w="2232"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Počet lôžok  v </w:t>
            </w:r>
            <w:r w:rsidR="004F79A6">
              <w:rPr>
                <w:rFonts w:ascii="Times New Roman" w:hAnsi="Times New Roman"/>
                <w:lang w:val="sk-SK"/>
              </w:rPr>
              <w:t>zariadeniach sociálnych služieb</w:t>
            </w:r>
          </w:p>
        </w:tc>
        <w:tc>
          <w:tcPr>
            <w:tcW w:w="2231" w:type="dxa"/>
            <w:tcBorders>
              <w:top w:val="single" w:sz="4" w:space="0" w:color="00000A"/>
              <w:left w:val="single" w:sz="4" w:space="0" w:color="00000A"/>
              <w:bottom w:val="single" w:sz="4" w:space="0" w:color="00000A"/>
              <w:right w:val="single" w:sz="4" w:space="0" w:color="00000A"/>
            </w:tcBorders>
            <w:tcMar>
              <w:left w:w="-5" w:type="dxa"/>
              <w:right w:w="0" w:type="dxa"/>
            </w:tcMar>
            <w:textDirection w:val="lrTb"/>
            <w:vAlign w:val="top"/>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 xml:space="preserve">Počet ľudí 65+ </w:t>
            </w:r>
          </w:p>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v roku 2016</w:t>
            </w:r>
          </w:p>
        </w:tc>
      </w:tr>
      <w:tr>
        <w:tblPrEx>
          <w:tblW w:w="9750" w:type="dxa"/>
          <w:tblInd w:w="-660" w:type="dxa"/>
          <w:tblCellMar>
            <w:left w:w="60" w:type="dxa"/>
            <w:right w:w="70" w:type="dxa"/>
          </w:tblCellMar>
          <w:tblLook w:val="04A0"/>
        </w:tblPrEx>
        <w:trPr>
          <w:trHeight w:val="290"/>
        </w:trPr>
        <w:tc>
          <w:tcPr>
            <w:tcW w:w="3305"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Bratislavský kraj</w:t>
            </w:r>
          </w:p>
        </w:tc>
        <w:tc>
          <w:tcPr>
            <w:tcW w:w="1981"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lang w:val="sk-SK"/>
              </w:rPr>
            </w:pPr>
            <w:r w:rsidR="004F79A6">
              <w:rPr>
                <w:rFonts w:ascii="Times New Roman" w:hAnsi="Times New Roman"/>
                <w:lang w:val="sk-SK"/>
              </w:rPr>
              <w:t>37</w:t>
            </w:r>
          </w:p>
        </w:tc>
        <w:tc>
          <w:tcPr>
            <w:tcW w:w="2232"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lang w:val="sk-SK"/>
              </w:rPr>
              <w:t>1252</w:t>
            </w:r>
          </w:p>
        </w:tc>
        <w:tc>
          <w:tcPr>
            <w:tcW w:w="2231" w:type="dxa"/>
            <w:tcBorders>
              <w:top w:val="single" w:sz="4" w:space="0" w:color="00000A"/>
              <w:left w:val="single" w:sz="4" w:space="0" w:color="00000A"/>
              <w:bottom w:val="single" w:sz="4" w:space="0" w:color="00000A"/>
              <w:right w:val="single" w:sz="4" w:space="0" w:color="00000A"/>
            </w:tcBorders>
            <w:tcMar>
              <w:left w:w="0" w:type="dxa"/>
              <w:right w:w="0" w:type="dxa"/>
            </w:tcMar>
            <w:textDirection w:val="lrTb"/>
            <w:vAlign w:val="bottom"/>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100 077</w:t>
            </w:r>
          </w:p>
        </w:tc>
      </w:tr>
      <w:tr>
        <w:tblPrEx>
          <w:tblW w:w="9750" w:type="dxa"/>
          <w:tblInd w:w="-660" w:type="dxa"/>
          <w:tblCellMar>
            <w:left w:w="60" w:type="dxa"/>
            <w:right w:w="70" w:type="dxa"/>
          </w:tblCellMar>
          <w:tblLook w:val="04A0"/>
        </w:tblPrEx>
        <w:trPr>
          <w:trHeight w:val="290"/>
        </w:trPr>
        <w:tc>
          <w:tcPr>
            <w:tcW w:w="3305"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Trnavský kraj</w:t>
            </w:r>
          </w:p>
        </w:tc>
        <w:tc>
          <w:tcPr>
            <w:tcW w:w="1981"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lang w:val="sk-SK"/>
              </w:rPr>
            </w:pPr>
            <w:r w:rsidR="004F79A6">
              <w:rPr>
                <w:rFonts w:ascii="Times New Roman" w:hAnsi="Times New Roman"/>
                <w:lang w:val="sk-SK"/>
              </w:rPr>
              <w:t>62</w:t>
            </w:r>
          </w:p>
        </w:tc>
        <w:tc>
          <w:tcPr>
            <w:tcW w:w="2232"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lang w:val="sk-SK"/>
              </w:rPr>
              <w:t>1061</w:t>
            </w:r>
          </w:p>
        </w:tc>
        <w:tc>
          <w:tcPr>
            <w:tcW w:w="2231" w:type="dxa"/>
            <w:tcBorders>
              <w:top w:val="single" w:sz="4" w:space="0" w:color="00000A"/>
              <w:left w:val="single" w:sz="4" w:space="0" w:color="00000A"/>
              <w:bottom w:val="single" w:sz="4" w:space="0" w:color="00000A"/>
              <w:right w:val="single" w:sz="4" w:space="0" w:color="00000A"/>
            </w:tcBorders>
            <w:tcMar>
              <w:left w:w="0" w:type="dxa"/>
              <w:right w:w="0" w:type="dxa"/>
            </w:tcMar>
            <w:textDirection w:val="lrTb"/>
            <w:vAlign w:val="bottom"/>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84 848</w:t>
            </w:r>
          </w:p>
        </w:tc>
      </w:tr>
      <w:tr>
        <w:tblPrEx>
          <w:tblW w:w="9750" w:type="dxa"/>
          <w:tblInd w:w="-660" w:type="dxa"/>
          <w:tblCellMar>
            <w:left w:w="60" w:type="dxa"/>
            <w:right w:w="70" w:type="dxa"/>
          </w:tblCellMar>
          <w:tblLook w:val="04A0"/>
        </w:tblPrEx>
        <w:trPr>
          <w:trHeight w:val="290"/>
        </w:trPr>
        <w:tc>
          <w:tcPr>
            <w:tcW w:w="3305"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Trenčiansky kraj</w:t>
            </w:r>
          </w:p>
        </w:tc>
        <w:tc>
          <w:tcPr>
            <w:tcW w:w="1981"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lang w:val="sk-SK"/>
              </w:rPr>
            </w:pPr>
            <w:r w:rsidR="004F79A6">
              <w:rPr>
                <w:rFonts w:ascii="Times New Roman" w:hAnsi="Times New Roman"/>
                <w:lang w:val="sk-SK"/>
              </w:rPr>
              <w:t>15</w:t>
            </w:r>
          </w:p>
        </w:tc>
        <w:tc>
          <w:tcPr>
            <w:tcW w:w="2232"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lang w:val="sk-SK"/>
              </w:rPr>
              <w:t>1194</w:t>
            </w:r>
          </w:p>
        </w:tc>
        <w:tc>
          <w:tcPr>
            <w:tcW w:w="2231" w:type="dxa"/>
            <w:tcBorders>
              <w:top w:val="single" w:sz="4" w:space="0" w:color="00000A"/>
              <w:left w:val="single" w:sz="4" w:space="0" w:color="00000A"/>
              <w:bottom w:val="single" w:sz="4" w:space="0" w:color="00000A"/>
              <w:right w:val="single" w:sz="4" w:space="0" w:color="00000A"/>
            </w:tcBorders>
            <w:tcMar>
              <w:left w:w="0" w:type="dxa"/>
              <w:right w:w="0" w:type="dxa"/>
            </w:tcMar>
            <w:textDirection w:val="lrTb"/>
            <w:vAlign w:val="bottom"/>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95 430</w:t>
            </w:r>
          </w:p>
        </w:tc>
      </w:tr>
      <w:tr>
        <w:tblPrEx>
          <w:tblW w:w="9750" w:type="dxa"/>
          <w:tblInd w:w="-660" w:type="dxa"/>
          <w:tblCellMar>
            <w:left w:w="60" w:type="dxa"/>
            <w:right w:w="70" w:type="dxa"/>
          </w:tblCellMar>
          <w:tblLook w:val="04A0"/>
        </w:tblPrEx>
        <w:trPr>
          <w:trHeight w:val="290"/>
        </w:trPr>
        <w:tc>
          <w:tcPr>
            <w:tcW w:w="3305"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Nitriansky kraj</w:t>
            </w:r>
          </w:p>
        </w:tc>
        <w:tc>
          <w:tcPr>
            <w:tcW w:w="1981"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lang w:val="sk-SK"/>
              </w:rPr>
            </w:pPr>
            <w:r w:rsidR="004F79A6">
              <w:rPr>
                <w:rFonts w:ascii="Times New Roman" w:hAnsi="Times New Roman"/>
                <w:lang w:val="sk-SK"/>
              </w:rPr>
              <w:t>47</w:t>
            </w:r>
          </w:p>
        </w:tc>
        <w:tc>
          <w:tcPr>
            <w:tcW w:w="2232"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lang w:val="sk-SK"/>
              </w:rPr>
              <w:t>1370</w:t>
            </w:r>
          </w:p>
        </w:tc>
        <w:tc>
          <w:tcPr>
            <w:tcW w:w="2231" w:type="dxa"/>
            <w:tcBorders>
              <w:top w:val="single" w:sz="4" w:space="0" w:color="00000A"/>
              <w:left w:val="single" w:sz="4" w:space="0" w:color="00000A"/>
              <w:bottom w:val="single" w:sz="4" w:space="0" w:color="00000A"/>
              <w:right w:val="single" w:sz="4" w:space="0" w:color="00000A"/>
            </w:tcBorders>
            <w:tcMar>
              <w:left w:w="0" w:type="dxa"/>
              <w:right w:w="0" w:type="dxa"/>
            </w:tcMar>
            <w:textDirection w:val="lrTb"/>
            <w:vAlign w:val="bottom"/>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109 559</w:t>
            </w:r>
          </w:p>
        </w:tc>
      </w:tr>
      <w:tr>
        <w:tblPrEx>
          <w:tblW w:w="9750" w:type="dxa"/>
          <w:tblInd w:w="-660" w:type="dxa"/>
          <w:tblCellMar>
            <w:left w:w="60" w:type="dxa"/>
            <w:right w:w="70" w:type="dxa"/>
          </w:tblCellMar>
          <w:tblLook w:val="04A0"/>
        </w:tblPrEx>
        <w:trPr>
          <w:trHeight w:val="290"/>
        </w:trPr>
        <w:tc>
          <w:tcPr>
            <w:tcW w:w="3305"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Žilinský kraj</w:t>
            </w:r>
          </w:p>
        </w:tc>
        <w:tc>
          <w:tcPr>
            <w:tcW w:w="1981"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lang w:val="sk-SK"/>
              </w:rPr>
            </w:pPr>
            <w:r w:rsidR="004F79A6">
              <w:rPr>
                <w:rFonts w:ascii="Times New Roman" w:hAnsi="Times New Roman"/>
                <w:lang w:val="sk-SK"/>
              </w:rPr>
              <w:t>52</w:t>
            </w:r>
          </w:p>
        </w:tc>
        <w:tc>
          <w:tcPr>
            <w:tcW w:w="2232"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lang w:val="sk-SK"/>
              </w:rPr>
              <w:t>1207</w:t>
            </w:r>
          </w:p>
        </w:tc>
        <w:tc>
          <w:tcPr>
            <w:tcW w:w="2231" w:type="dxa"/>
            <w:tcBorders>
              <w:top w:val="single" w:sz="4" w:space="0" w:color="00000A"/>
              <w:left w:val="single" w:sz="4" w:space="0" w:color="00000A"/>
              <w:bottom w:val="single" w:sz="4" w:space="0" w:color="00000A"/>
              <w:right w:val="single" w:sz="4" w:space="0" w:color="00000A"/>
            </w:tcBorders>
            <w:tcMar>
              <w:left w:w="0" w:type="dxa"/>
              <w:right w:w="0" w:type="dxa"/>
            </w:tcMar>
            <w:textDirection w:val="lrTb"/>
            <w:vAlign w:val="bottom"/>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96 428</w:t>
            </w:r>
          </w:p>
        </w:tc>
      </w:tr>
      <w:tr>
        <w:tblPrEx>
          <w:tblW w:w="9750" w:type="dxa"/>
          <w:tblInd w:w="-660" w:type="dxa"/>
          <w:tblCellMar>
            <w:left w:w="60" w:type="dxa"/>
            <w:right w:w="70" w:type="dxa"/>
          </w:tblCellMar>
          <w:tblLook w:val="04A0"/>
        </w:tblPrEx>
        <w:trPr>
          <w:trHeight w:val="290"/>
        </w:trPr>
        <w:tc>
          <w:tcPr>
            <w:tcW w:w="3305"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Banskobystrický kraj</w:t>
            </w:r>
          </w:p>
        </w:tc>
        <w:tc>
          <w:tcPr>
            <w:tcW w:w="1981"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lang w:val="sk-SK"/>
              </w:rPr>
            </w:pPr>
            <w:r w:rsidR="004F79A6">
              <w:rPr>
                <w:rFonts w:ascii="Times New Roman" w:hAnsi="Times New Roman"/>
                <w:lang w:val="sk-SK"/>
              </w:rPr>
              <w:t>39</w:t>
            </w:r>
          </w:p>
        </w:tc>
        <w:tc>
          <w:tcPr>
            <w:tcW w:w="2232"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lang w:val="sk-SK"/>
              </w:rPr>
              <w:t>1255</w:t>
            </w:r>
          </w:p>
        </w:tc>
        <w:tc>
          <w:tcPr>
            <w:tcW w:w="2231" w:type="dxa"/>
            <w:tcBorders>
              <w:top w:val="single" w:sz="4" w:space="0" w:color="00000A"/>
              <w:left w:val="single" w:sz="4" w:space="0" w:color="00000A"/>
              <w:bottom w:val="single" w:sz="4" w:space="0" w:color="00000A"/>
              <w:right w:val="single" w:sz="4" w:space="0" w:color="00000A"/>
            </w:tcBorders>
            <w:tcMar>
              <w:left w:w="0" w:type="dxa"/>
              <w:right w:w="0" w:type="dxa"/>
            </w:tcMar>
            <w:textDirection w:val="lrTb"/>
            <w:vAlign w:val="bottom"/>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100 284</w:t>
            </w:r>
          </w:p>
        </w:tc>
      </w:tr>
      <w:tr>
        <w:tblPrEx>
          <w:tblW w:w="9750" w:type="dxa"/>
          <w:tblInd w:w="-660" w:type="dxa"/>
          <w:tblCellMar>
            <w:left w:w="60" w:type="dxa"/>
            <w:right w:w="70" w:type="dxa"/>
          </w:tblCellMar>
          <w:tblLook w:val="04A0"/>
        </w:tblPrEx>
        <w:trPr>
          <w:trHeight w:val="290"/>
        </w:trPr>
        <w:tc>
          <w:tcPr>
            <w:tcW w:w="3305"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Prešovský kraj</w:t>
            </w:r>
          </w:p>
        </w:tc>
        <w:tc>
          <w:tcPr>
            <w:tcW w:w="1981"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lang w:val="sk-SK"/>
              </w:rPr>
            </w:pPr>
            <w:r w:rsidR="004F79A6">
              <w:rPr>
                <w:rFonts w:ascii="Times New Roman" w:hAnsi="Times New Roman"/>
                <w:lang w:val="sk-SK"/>
              </w:rPr>
              <w:t>94</w:t>
            </w:r>
          </w:p>
        </w:tc>
        <w:tc>
          <w:tcPr>
            <w:tcW w:w="2232"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lang w:val="sk-SK"/>
              </w:rPr>
              <w:t>1312</w:t>
            </w:r>
          </w:p>
        </w:tc>
        <w:tc>
          <w:tcPr>
            <w:tcW w:w="2231" w:type="dxa"/>
            <w:tcBorders>
              <w:top w:val="single" w:sz="4" w:space="0" w:color="00000A"/>
              <w:left w:val="single" w:sz="4" w:space="0" w:color="00000A"/>
              <w:bottom w:val="single" w:sz="4" w:space="0" w:color="00000A"/>
              <w:right w:val="single" w:sz="4" w:space="0" w:color="00000A"/>
            </w:tcBorders>
            <w:tcMar>
              <w:left w:w="0" w:type="dxa"/>
              <w:right w:w="0" w:type="dxa"/>
            </w:tcMar>
            <w:textDirection w:val="lrTb"/>
            <w:vAlign w:val="bottom"/>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104 868</w:t>
            </w:r>
          </w:p>
        </w:tc>
      </w:tr>
      <w:tr>
        <w:tblPrEx>
          <w:tblW w:w="9750" w:type="dxa"/>
          <w:tblInd w:w="-660" w:type="dxa"/>
          <w:tblCellMar>
            <w:left w:w="60" w:type="dxa"/>
            <w:right w:w="70" w:type="dxa"/>
          </w:tblCellMar>
          <w:tblLook w:val="04A0"/>
        </w:tblPrEx>
        <w:trPr>
          <w:trHeight w:val="300"/>
        </w:trPr>
        <w:tc>
          <w:tcPr>
            <w:tcW w:w="3305"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Košický kraj</w:t>
            </w:r>
          </w:p>
        </w:tc>
        <w:tc>
          <w:tcPr>
            <w:tcW w:w="1981"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lang w:val="sk-SK"/>
              </w:rPr>
            </w:pPr>
            <w:r w:rsidR="004F79A6">
              <w:rPr>
                <w:rFonts w:ascii="Times New Roman" w:hAnsi="Times New Roman"/>
                <w:lang w:val="sk-SK"/>
              </w:rPr>
              <w:t>142</w:t>
            </w:r>
          </w:p>
        </w:tc>
        <w:tc>
          <w:tcPr>
            <w:tcW w:w="2232"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lang w:val="sk-SK"/>
              </w:rPr>
              <w:t>1349</w:t>
            </w:r>
          </w:p>
        </w:tc>
        <w:tc>
          <w:tcPr>
            <w:tcW w:w="2231" w:type="dxa"/>
            <w:tcBorders>
              <w:top w:val="single" w:sz="4" w:space="0" w:color="00000A"/>
              <w:left w:val="single" w:sz="4" w:space="0" w:color="00000A"/>
              <w:bottom w:val="single" w:sz="4" w:space="0" w:color="00000A"/>
              <w:right w:val="single" w:sz="4" w:space="0" w:color="00000A"/>
            </w:tcBorders>
            <w:tcMar>
              <w:left w:w="0" w:type="dxa"/>
              <w:right w:w="0" w:type="dxa"/>
            </w:tcMar>
            <w:textDirection w:val="lrTb"/>
            <w:vAlign w:val="bottom"/>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107 806</w:t>
            </w:r>
          </w:p>
        </w:tc>
      </w:tr>
      <w:tr>
        <w:tblPrEx>
          <w:tblW w:w="9750" w:type="dxa"/>
          <w:tblInd w:w="-660" w:type="dxa"/>
          <w:tblCellMar>
            <w:left w:w="60" w:type="dxa"/>
            <w:right w:w="70" w:type="dxa"/>
          </w:tblCellMar>
          <w:tblLook w:val="04A0"/>
        </w:tblPrEx>
        <w:trPr>
          <w:trHeight w:val="300"/>
        </w:trPr>
        <w:tc>
          <w:tcPr>
            <w:tcW w:w="3305"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color w:val="000000"/>
                <w:lang w:val="sk-SK" w:eastAsia="sk-SK"/>
              </w:rPr>
            </w:pPr>
            <w:r w:rsidR="004F79A6">
              <w:rPr>
                <w:rFonts w:ascii="Times New Roman" w:hAnsi="Times New Roman"/>
                <w:color w:val="000000"/>
                <w:lang w:val="sk-SK" w:eastAsia="sk-SK"/>
              </w:rPr>
              <w:t>Spolu</w:t>
            </w:r>
          </w:p>
        </w:tc>
        <w:tc>
          <w:tcPr>
            <w:tcW w:w="1981"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right"/>
              <w:rPr>
                <w:rFonts w:ascii="Times New Roman" w:hAnsi="Times New Roman"/>
                <w:lang w:val="sk-SK"/>
              </w:rPr>
            </w:pPr>
            <w:r w:rsidR="004F79A6">
              <w:rPr>
                <w:rFonts w:ascii="Times New Roman" w:hAnsi="Times New Roman"/>
                <w:lang w:val="sk-SK"/>
              </w:rPr>
              <w:t>488</w:t>
            </w:r>
          </w:p>
        </w:tc>
        <w:tc>
          <w:tcPr>
            <w:tcW w:w="2232"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10000</w:t>
            </w:r>
          </w:p>
        </w:tc>
        <w:tc>
          <w:tcPr>
            <w:tcW w:w="2231" w:type="dxa"/>
            <w:tcBorders>
              <w:top w:val="single" w:sz="4" w:space="0" w:color="00000A"/>
              <w:left w:val="single" w:sz="4" w:space="0" w:color="00000A"/>
              <w:bottom w:val="single" w:sz="4" w:space="0" w:color="00000A"/>
              <w:right w:val="single" w:sz="4" w:space="0" w:color="00000A"/>
            </w:tcBorders>
            <w:tcMar>
              <w:left w:w="-5" w:type="dxa"/>
              <w:right w:w="0" w:type="dxa"/>
            </w:tcMar>
            <w:textDirection w:val="lrTb"/>
            <w:vAlign w:val="top"/>
          </w:tcPr>
          <w:p w:rsidR="00D056F8">
            <w:pPr>
              <w:bidi w:val="0"/>
              <w:spacing w:after="0" w:line="240" w:lineRule="auto"/>
              <w:jc w:val="right"/>
              <w:rPr>
                <w:rFonts w:ascii="Times New Roman" w:hAnsi="Times New Roman"/>
                <w:color w:val="000000"/>
                <w:lang w:val="sk-SK" w:eastAsia="sk-SK"/>
              </w:rPr>
            </w:pPr>
            <w:r w:rsidR="004F79A6">
              <w:rPr>
                <w:rFonts w:ascii="Times New Roman" w:hAnsi="Times New Roman"/>
                <w:color w:val="000000"/>
                <w:lang w:val="sk-SK" w:eastAsia="sk-SK"/>
              </w:rPr>
              <w:t>799 298</w:t>
            </w:r>
          </w:p>
        </w:tc>
      </w:tr>
    </w:tbl>
    <w:p w:rsidR="00D056F8">
      <w:pPr>
        <w:bidi w:val="0"/>
        <w:spacing w:after="0" w:line="240" w:lineRule="auto"/>
        <w:contextualSpacing/>
        <w:jc w:val="both"/>
        <w:rPr>
          <w:rFonts w:ascii="Times New Roman" w:hAnsi="Times New Roman"/>
          <w:bCs/>
          <w:lang w:val="sk-SK" w:eastAsia="sk-SK"/>
        </w:rPr>
      </w:pPr>
    </w:p>
    <w:p w:rsidR="00D056F8">
      <w:pPr>
        <w:bidi w:val="0"/>
        <w:spacing w:after="0" w:line="240" w:lineRule="auto"/>
        <w:contextualSpacing/>
        <w:jc w:val="both"/>
        <w:rPr>
          <w:rFonts w:ascii="Times New Roman" w:hAnsi="Times New Roman"/>
          <w:bCs/>
          <w:lang w:val="sk-SK" w:eastAsia="sk-SK"/>
        </w:rPr>
      </w:pPr>
      <w:r w:rsidR="004F79A6">
        <w:rPr>
          <w:rFonts w:ascii="Times New Roman" w:hAnsi="Times New Roman"/>
          <w:bCs/>
          <w:lang w:val="sk-SK" w:eastAsia="sk-SK"/>
        </w:rPr>
        <w:t>Postup výpočtu (vplyv na 1 kalendárny rok): 10 488 lôžok x 3,30 eur x 365 dní = 12 632 796 eur</w:t>
      </w:r>
    </w:p>
    <w:p w:rsidR="00D056F8">
      <w:pPr>
        <w:bidi w:val="0"/>
        <w:spacing w:after="0" w:line="240" w:lineRule="auto"/>
        <w:contextualSpacing/>
        <w:jc w:val="both"/>
        <w:rPr>
          <w:rFonts w:ascii="Times New Roman" w:hAnsi="Times New Roman"/>
          <w:bCs/>
          <w:lang w:val="sk-SK" w:eastAsia="sk-SK"/>
        </w:rPr>
      </w:pPr>
    </w:p>
    <w:p w:rsidR="00D056F8">
      <w:pPr>
        <w:bidi w:val="0"/>
        <w:spacing w:after="0" w:line="240" w:lineRule="auto"/>
        <w:jc w:val="both"/>
        <w:rPr>
          <w:rFonts w:ascii="Times New Roman" w:hAnsi="Times New Roman"/>
          <w:lang w:val="sk-SK"/>
        </w:rPr>
      </w:pPr>
      <w:r w:rsidR="004F79A6">
        <w:rPr>
          <w:rFonts w:ascii="Times New Roman" w:hAnsi="Times New Roman"/>
          <w:lang w:val="sk-SK"/>
        </w:rPr>
        <w:t>Počet lôžok sa stanovil na základe počtu obyvateľov nad 65 rokov, po zohľadnení počtu osôb, ktoré spĺňajú indikačné kritériá na poskytovanie ošetrovateľskej starostlivosti vychádza distribúcia 10 tis. klientov/lôžok (nami stanovená regulovaná sumárna hranica dočasná), ktoré by mali byť zdravotnými poisťovňami uznané na preplácanie paušálnej úhrady za poskytovanú ošetrovateľskú starostlivosť.</w:t>
      </w:r>
    </w:p>
    <w:p w:rsidR="00957DF3">
      <w:pPr>
        <w:bidi w:val="0"/>
        <w:spacing w:after="0" w:line="240" w:lineRule="auto"/>
        <w:jc w:val="both"/>
        <w:rPr>
          <w:rFonts w:ascii="Times New Roman" w:hAnsi="Times New Roman"/>
          <w:lang w:val="sk-SK"/>
        </w:rPr>
      </w:pPr>
    </w:p>
    <w:p w:rsidR="00D056F8">
      <w:pPr>
        <w:pStyle w:val="ListParagraph"/>
        <w:numPr>
          <w:numId w:val="5"/>
        </w:numPr>
        <w:tabs>
          <w:tab w:val="left" w:pos="1080"/>
        </w:tabs>
        <w:bidi w:val="0"/>
        <w:jc w:val="both"/>
        <w:rPr>
          <w:rFonts w:ascii="Times New Roman" w:hAnsi="Times New Roman"/>
          <w:b/>
          <w:bCs/>
          <w:sz w:val="22"/>
          <w:szCs w:val="22"/>
          <w:u w:val="single"/>
        </w:rPr>
      </w:pPr>
      <w:r w:rsidR="004F79A6">
        <w:rPr>
          <w:rFonts w:ascii="Times New Roman" w:hAnsi="Times New Roman"/>
          <w:b/>
          <w:sz w:val="22"/>
          <w:szCs w:val="22"/>
          <w:u w:val="single"/>
        </w:rPr>
        <w:t>Odvodová odpočítateľná položka a prerozdeľovací systém</w:t>
      </w:r>
    </w:p>
    <w:p w:rsidR="00D056F8">
      <w:pPr>
        <w:tabs>
          <w:tab w:val="left" w:pos="1080"/>
        </w:tabs>
        <w:bidi w:val="0"/>
        <w:spacing w:after="0" w:line="240" w:lineRule="auto"/>
        <w:jc w:val="both"/>
        <w:rPr>
          <w:rFonts w:ascii="Times New Roman" w:hAnsi="Times New Roman"/>
          <w:bCs/>
          <w:lang w:val="sk-SK" w:eastAsia="sk-SK"/>
        </w:rPr>
      </w:pPr>
    </w:p>
    <w:p w:rsidR="00D056F8">
      <w:pPr>
        <w:tabs>
          <w:tab w:val="left" w:pos="1080"/>
        </w:tabs>
        <w:bidi w:val="0"/>
        <w:spacing w:after="0" w:line="240" w:lineRule="auto"/>
        <w:jc w:val="both"/>
        <w:rPr>
          <w:rFonts w:ascii="Times New Roman" w:hAnsi="Times New Roman"/>
          <w:bCs/>
          <w:lang w:val="sk-SK" w:eastAsia="sk-SK"/>
        </w:rPr>
      </w:pPr>
      <w:r w:rsidR="004F79A6">
        <w:rPr>
          <w:rFonts w:ascii="Times New Roman" w:hAnsi="Times New Roman"/>
          <w:bCs/>
          <w:lang w:val="sk-SK" w:eastAsia="sk-SK"/>
        </w:rPr>
        <w:t>Vplyv na verejné financie (príjmy verejného zdravotného poistenia) z titulu úpravy možnosti vstupu do systému pre osoby – zamestnancov s nízkymi príjmami bez trvalého pobytu sa nepredpokladá, nakoľko na ich príjmy by bola v plnej miere uplatnená odpočítateľná položka a povinnosť odviesť poistné na verejné zdravotné poistenie by nevznikla.</w:t>
      </w:r>
    </w:p>
    <w:p w:rsidR="00D056F8">
      <w:pPr>
        <w:tabs>
          <w:tab w:val="left" w:pos="1080"/>
        </w:tabs>
        <w:bidi w:val="0"/>
        <w:spacing w:after="0" w:line="240" w:lineRule="auto"/>
        <w:jc w:val="both"/>
        <w:rPr>
          <w:rFonts w:ascii="Times New Roman" w:hAnsi="Times New Roman"/>
          <w:bCs/>
          <w:lang w:val="sk-SK" w:eastAsia="sk-SK"/>
        </w:rPr>
      </w:pPr>
    </w:p>
    <w:p w:rsidR="00D056F8">
      <w:pPr>
        <w:tabs>
          <w:tab w:val="left" w:pos="1080"/>
        </w:tabs>
        <w:bidi w:val="0"/>
        <w:spacing w:after="0" w:line="240" w:lineRule="auto"/>
        <w:jc w:val="both"/>
        <w:rPr>
          <w:rFonts w:ascii="Times New Roman" w:hAnsi="Times New Roman"/>
          <w:bCs/>
          <w:lang w:val="sk-SK" w:eastAsia="sk-SK"/>
        </w:rPr>
      </w:pPr>
      <w:r w:rsidR="004F79A6">
        <w:rPr>
          <w:rFonts w:ascii="Times New Roman" w:hAnsi="Times New Roman"/>
          <w:bCs/>
          <w:lang w:val="sk-SK" w:eastAsia="sk-SK"/>
        </w:rPr>
        <w:t>Vplyv na verejné financie (príjmy verejného zdravotného poistenia) z titulu úpravy vyčíslenia odpočítateľnej položky v ročnom zúčtovaní poistného je pozitívny (nárast príjmov verejného zdravotného poistenia) a je vyčíslený ako kvalifikovaný odhad Všeobecnej zdravotnej poisťovne, a. s. podľa údajov z uplatnenia odpočítateľnej položky v minulých obdobiach.</w:t>
      </w:r>
    </w:p>
    <w:p w:rsidR="00D056F8">
      <w:pPr>
        <w:tabs>
          <w:tab w:val="left" w:pos="1080"/>
        </w:tabs>
        <w:bidi w:val="0"/>
        <w:spacing w:after="0" w:line="240" w:lineRule="auto"/>
        <w:jc w:val="both"/>
        <w:rPr>
          <w:rFonts w:ascii="Times New Roman" w:hAnsi="Times New Roman"/>
          <w:bCs/>
          <w:lang w:val="sk-SK" w:eastAsia="sk-SK"/>
        </w:rPr>
      </w:pPr>
      <w:r w:rsidR="004F79A6">
        <w:rPr>
          <w:rFonts w:ascii="Times New Roman" w:hAnsi="Times New Roman"/>
          <w:bCs/>
          <w:lang w:val="sk-SK" w:eastAsia="sk-SK"/>
        </w:rPr>
        <w:t xml:space="preserve">Celková výška pozitívneho dopadu na príjmy verejného zdravotného poistenia predstavuje sumu </w:t>
      </w:r>
      <w:r w:rsidR="004F79A6">
        <w:rPr>
          <w:rFonts w:ascii="Times New Roman" w:hAnsi="Times New Roman"/>
          <w:b/>
          <w:bCs/>
          <w:lang w:val="sk-SK" w:eastAsia="sk-SK"/>
        </w:rPr>
        <w:t>15 mil. eur</w:t>
      </w:r>
      <w:r w:rsidR="004F79A6">
        <w:rPr>
          <w:rFonts w:ascii="Times New Roman" w:hAnsi="Times New Roman"/>
          <w:bCs/>
          <w:lang w:val="sk-SK" w:eastAsia="sk-SK"/>
        </w:rPr>
        <w:t xml:space="preserve"> ročne.</w:t>
      </w:r>
    </w:p>
    <w:p w:rsidR="00D056F8">
      <w:pPr>
        <w:tabs>
          <w:tab w:val="left" w:pos="1080"/>
        </w:tabs>
        <w:bidi w:val="0"/>
        <w:spacing w:after="0" w:line="240" w:lineRule="auto"/>
        <w:jc w:val="both"/>
        <w:rPr>
          <w:rFonts w:ascii="Times New Roman" w:hAnsi="Times New Roman"/>
          <w:bCs/>
          <w:lang w:val="sk-SK" w:eastAsia="sk-SK"/>
        </w:rPr>
      </w:pPr>
    </w:p>
    <w:p w:rsidR="00D056F8">
      <w:pPr>
        <w:tabs>
          <w:tab w:val="left" w:pos="1080"/>
        </w:tabs>
        <w:bidi w:val="0"/>
        <w:spacing w:after="0" w:line="240" w:lineRule="auto"/>
        <w:jc w:val="both"/>
        <w:rPr>
          <w:rFonts w:ascii="Times New Roman" w:hAnsi="Times New Roman"/>
          <w:bCs/>
          <w:lang w:val="sk-SK" w:eastAsia="sk-SK"/>
        </w:rPr>
      </w:pPr>
    </w:p>
    <w:p w:rsidR="00D056F8">
      <w:pPr>
        <w:tabs>
          <w:tab w:val="left" w:pos="1080"/>
        </w:tabs>
        <w:bidi w:val="0"/>
        <w:spacing w:after="0" w:line="240" w:lineRule="auto"/>
        <w:jc w:val="both"/>
        <w:rPr>
          <w:rFonts w:ascii="Times New Roman" w:hAnsi="Times New Roman"/>
          <w:bCs/>
          <w:sz w:val="24"/>
          <w:szCs w:val="20"/>
          <w:lang w:val="sk-SK" w:eastAsia="sk-SK"/>
        </w:rPr>
      </w:pPr>
    </w:p>
    <w:p w:rsidR="00D056F8">
      <w:pPr>
        <w:tabs>
          <w:tab w:val="left" w:pos="1080"/>
        </w:tabs>
        <w:bidi w:val="0"/>
        <w:spacing w:after="0" w:line="240" w:lineRule="auto"/>
        <w:jc w:val="both"/>
        <w:rPr>
          <w:rFonts w:ascii="Times New Roman" w:hAnsi="Times New Roman"/>
          <w:bCs/>
          <w:sz w:val="24"/>
          <w:szCs w:val="20"/>
          <w:lang w:val="sk-SK" w:eastAsia="sk-SK"/>
        </w:rPr>
        <w:sectPr w:rsidSect="00957DF3">
          <w:headerReference w:type="default" r:id="rId7"/>
          <w:footerReference w:type="default" r:id="rId8"/>
          <w:pgSz w:w="11906" w:h="16838"/>
          <w:pgMar w:top="1417" w:right="1417" w:bottom="1276" w:left="1417" w:header="708" w:footer="708" w:gutter="0"/>
          <w:lnNumType w:distance="0"/>
          <w:cols w:space="708"/>
          <w:formProt w:val="0"/>
          <w:noEndnote w:val="0"/>
          <w:bidi w:val="0"/>
          <w:docGrid w:linePitch="360" w:charSpace="-2049"/>
        </w:sectPr>
      </w:pPr>
    </w:p>
    <w:p w:rsidR="00D056F8">
      <w:pPr>
        <w:tabs>
          <w:tab w:val="left" w:pos="1080"/>
        </w:tabs>
        <w:bidi w:val="0"/>
        <w:spacing w:after="0" w:line="240" w:lineRule="auto"/>
        <w:jc w:val="right"/>
        <w:rPr>
          <w:rFonts w:ascii="Times New Roman" w:hAnsi="Times New Roman"/>
          <w:bCs/>
          <w:sz w:val="24"/>
          <w:szCs w:val="24"/>
          <w:lang w:val="sk-SK" w:eastAsia="sk-SK"/>
        </w:rPr>
      </w:pPr>
      <w:r w:rsidR="004F79A6">
        <w:rPr>
          <w:rFonts w:ascii="Times New Roman" w:hAnsi="Times New Roman"/>
          <w:bCs/>
          <w:sz w:val="24"/>
          <w:szCs w:val="24"/>
          <w:lang w:val="sk-SK" w:eastAsia="sk-SK"/>
        </w:rPr>
        <w:t xml:space="preserve">Tabuľka č. 3 </w:t>
      </w:r>
    </w:p>
    <w:p w:rsidR="00D056F8">
      <w:pPr>
        <w:widowControl/>
        <w:bidi w:val="0"/>
        <w:spacing w:after="0" w:line="240" w:lineRule="auto"/>
        <w:rPr>
          <w:rFonts w:ascii="Times New Roman" w:hAnsi="Times New Roman"/>
          <w:lang w:val="sk-SK"/>
        </w:rPr>
      </w:pPr>
    </w:p>
    <w:p w:rsidR="00D056F8">
      <w:pPr>
        <w:widowControl/>
        <w:bidi w:val="0"/>
        <w:spacing w:after="0" w:line="240" w:lineRule="auto"/>
        <w:rPr>
          <w:rFonts w:ascii="Times New Roman" w:hAnsi="Times New Roman"/>
          <w:lang w:val="sk-SK"/>
        </w:rPr>
      </w:pPr>
    </w:p>
    <w:p w:rsidR="00D056F8">
      <w:pPr>
        <w:widowControl/>
        <w:bidi w:val="0"/>
        <w:spacing w:after="0" w:line="240" w:lineRule="auto"/>
        <w:rPr>
          <w:rFonts w:ascii="Times New Roman" w:hAnsi="Times New Roman"/>
          <w:lang w:val="sk-SK"/>
        </w:rPr>
      </w:pPr>
    </w:p>
    <w:p w:rsidR="00D056F8">
      <w:pPr>
        <w:bidi w:val="0"/>
        <w:spacing w:after="0" w:line="240" w:lineRule="auto"/>
        <w:rPr>
          <w:rFonts w:ascii="Times New Roman" w:hAnsi="Times New Roman"/>
          <w:lang w:val="sk-SK"/>
        </w:rPr>
      </w:pPr>
    </w:p>
    <w:tbl>
      <w:tblPr>
        <w:tblStyle w:val="TableNormal"/>
        <w:tblW w:w="14560" w:type="dxa"/>
        <w:tblInd w:w="10" w:type="dxa"/>
        <w:tblCellMar>
          <w:left w:w="70" w:type="dxa"/>
          <w:right w:w="70" w:type="dxa"/>
        </w:tblCellMar>
        <w:tblLook w:val="04A0"/>
      </w:tblPr>
      <w:tblGrid>
        <w:gridCol w:w="2020"/>
        <w:gridCol w:w="1400"/>
        <w:gridCol w:w="1399"/>
        <w:gridCol w:w="1400"/>
        <w:gridCol w:w="1399"/>
        <w:gridCol w:w="1900"/>
        <w:gridCol w:w="1641"/>
        <w:gridCol w:w="3401"/>
      </w:tblGrid>
      <w:tr>
        <w:tblPrEx>
          <w:tblW w:w="14560" w:type="dxa"/>
          <w:tblInd w:w="10" w:type="dxa"/>
          <w:tblCellMar>
            <w:left w:w="70" w:type="dxa"/>
            <w:right w:w="70" w:type="dxa"/>
          </w:tblCellMar>
          <w:tblLook w:val="04A0"/>
        </w:tblPrEx>
        <w:trPr>
          <w:trHeight w:hRule="exact" w:val="23"/>
        </w:trPr>
        <w:tc>
          <w:tcPr>
            <w:tcW w:w="201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jc w:val="right"/>
              <w:rPr>
                <w:rFonts w:ascii="Times New Roman" w:hAnsi="Times New Roman"/>
                <w:b/>
                <w:bCs/>
                <w:color w:val="FF0000"/>
                <w:sz w:val="28"/>
                <w:szCs w:val="28"/>
                <w:lang w:val="sk-SK" w:eastAsia="sk-SK"/>
              </w:rPr>
            </w:pPr>
          </w:p>
        </w:tc>
        <w:tc>
          <w:tcPr>
            <w:tcW w:w="139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sz w:val="20"/>
                <w:szCs w:val="20"/>
                <w:lang w:val="sk-SK" w:eastAsia="sk-SK"/>
              </w:rPr>
            </w:pPr>
          </w:p>
        </w:tc>
        <w:tc>
          <w:tcPr>
            <w:tcW w:w="139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sz w:val="20"/>
                <w:szCs w:val="20"/>
                <w:lang w:val="sk-SK" w:eastAsia="sk-SK"/>
              </w:rPr>
            </w:pPr>
          </w:p>
        </w:tc>
        <w:tc>
          <w:tcPr>
            <w:tcW w:w="140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sz w:val="20"/>
                <w:szCs w:val="20"/>
                <w:lang w:val="sk-SK" w:eastAsia="sk-SK"/>
              </w:rPr>
            </w:pPr>
          </w:p>
        </w:tc>
        <w:tc>
          <w:tcPr>
            <w:tcW w:w="1399"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sz w:val="20"/>
                <w:szCs w:val="20"/>
                <w:lang w:val="sk-SK" w:eastAsia="sk-SK"/>
              </w:rPr>
            </w:pPr>
          </w:p>
        </w:tc>
        <w:tc>
          <w:tcPr>
            <w:tcW w:w="1900"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sz w:val="20"/>
                <w:szCs w:val="20"/>
                <w:lang w:val="sk-SK" w:eastAsia="sk-SK"/>
              </w:rPr>
            </w:pPr>
          </w:p>
        </w:tc>
        <w:tc>
          <w:tcPr>
            <w:tcW w:w="1641"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sz w:val="20"/>
                <w:szCs w:val="20"/>
                <w:lang w:val="sk-SK" w:eastAsia="sk-SK"/>
              </w:rPr>
            </w:pPr>
          </w:p>
        </w:tc>
        <w:tc>
          <w:tcPr>
            <w:tcW w:w="3401" w:type="dxa"/>
            <w:tcBorders>
              <w:top w:val="none" w:sz="0" w:space="0" w:color="auto"/>
              <w:left w:val="none" w:sz="0" w:space="0" w:color="auto"/>
              <w:bottom w:val="none" w:sz="0" w:space="0" w:color="auto"/>
              <w:right w:val="none" w:sz="0" w:space="0" w:color="auto"/>
            </w:tcBorders>
            <w:textDirection w:val="lrTb"/>
            <w:vAlign w:val="bottom"/>
          </w:tcPr>
          <w:p w:rsidR="00D056F8">
            <w:pPr>
              <w:widowControl/>
              <w:bidi w:val="0"/>
              <w:spacing w:after="0" w:line="240" w:lineRule="auto"/>
              <w:rPr>
                <w:rFonts w:ascii="Times New Roman" w:hAnsi="Times New Roman"/>
                <w:sz w:val="20"/>
                <w:szCs w:val="20"/>
                <w:lang w:val="sk-SK" w:eastAsia="sk-SK"/>
              </w:rPr>
            </w:pPr>
          </w:p>
        </w:tc>
      </w:tr>
    </w:tbl>
    <w:p w:rsidR="00D056F8">
      <w:pPr>
        <w:widowControl/>
        <w:bidi w:val="0"/>
        <w:spacing w:after="0" w:line="240" w:lineRule="auto"/>
        <w:rPr>
          <w:rFonts w:ascii="Times New Roman" w:hAnsi="Times New Roman"/>
          <w:bCs/>
          <w:sz w:val="24"/>
          <w:szCs w:val="24"/>
          <w:lang w:val="sk-SK" w:eastAsia="sk-SK"/>
        </w:rPr>
      </w:pPr>
    </w:p>
    <w:p w:rsidR="00D056F8">
      <w:pPr>
        <w:widowControl/>
        <w:bidi w:val="0"/>
        <w:spacing w:after="0" w:line="240" w:lineRule="auto"/>
        <w:rPr>
          <w:rFonts w:ascii="Times New Roman" w:hAnsi="Times New Roman"/>
          <w:bCs/>
          <w:sz w:val="24"/>
          <w:szCs w:val="24"/>
          <w:lang w:val="sk-SK" w:eastAsia="sk-SK"/>
        </w:rPr>
      </w:pPr>
    </w:p>
    <w:p w:rsidR="00D056F8">
      <w:pPr>
        <w:tabs>
          <w:tab w:val="left" w:pos="1080"/>
        </w:tabs>
        <w:bidi w:val="0"/>
        <w:spacing w:after="0" w:line="240" w:lineRule="auto"/>
        <w:jc w:val="both"/>
        <w:rPr>
          <w:rFonts w:ascii="Times New Roman" w:hAnsi="Times New Roman"/>
          <w:bCs/>
          <w:sz w:val="24"/>
          <w:szCs w:val="20"/>
          <w:lang w:val="sk-SK" w:eastAsia="sk-SK"/>
        </w:rPr>
      </w:pPr>
    </w:p>
    <w:tbl>
      <w:tblPr>
        <w:tblStyle w:val="TableNormal"/>
        <w:tblpPr w:leftFromText="141" w:rightFromText="141" w:horzAnchor="margin" w:tblpXSpec="center" w:tblpY="533"/>
        <w:tblW w:w="1395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Pr>
      <w:tblGrid>
        <w:gridCol w:w="4948"/>
        <w:gridCol w:w="1500"/>
        <w:gridCol w:w="1499"/>
        <w:gridCol w:w="1500"/>
        <w:gridCol w:w="1502"/>
        <w:gridCol w:w="3001"/>
      </w:tblGrid>
      <w:tr>
        <w:tblPrEx>
          <w:tblW w:w="1395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PrEx>
        <w:trPr>
          <w:cantSplit/>
          <w:trHeight w:val="255"/>
          <w:jc w:val="center"/>
        </w:trPr>
        <w:tc>
          <w:tcPr>
            <w:tcW w:w="4949" w:type="dxa"/>
            <w:vMerge w:val="restart"/>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center"/>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Príjmy (v eurách)</w:t>
            </w:r>
          </w:p>
        </w:tc>
        <w:tc>
          <w:tcPr>
            <w:tcW w:w="6001" w:type="dxa"/>
            <w:gridSpan w:val="4"/>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Vplyv na rozpočet verejnej správy</w:t>
            </w:r>
          </w:p>
        </w:tc>
        <w:tc>
          <w:tcPr>
            <w:tcW w:w="2999"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center"/>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poznámka</w:t>
            </w:r>
          </w:p>
        </w:tc>
      </w:tr>
      <w:tr>
        <w:tblPrEx>
          <w:tblW w:w="13950" w:type="dxa"/>
          <w:jc w:val="center"/>
          <w:tblCellMar>
            <w:left w:w="60" w:type="dxa"/>
            <w:right w:w="70" w:type="dxa"/>
          </w:tblCellMar>
        </w:tblPrEx>
        <w:trPr>
          <w:cantSplit/>
          <w:trHeight w:val="255"/>
          <w:jc w:val="center"/>
        </w:trPr>
        <w:tc>
          <w:tcPr>
            <w:tcW w:w="4949" w:type="dxa"/>
            <w:vMerge/>
            <w:tcBorders>
              <w:top w:val="single" w:sz="4" w:space="0" w:color="00000A"/>
              <w:left w:val="single" w:sz="4" w:space="0" w:color="00000A"/>
              <w:bottom w:val="single" w:sz="4" w:space="0" w:color="00000A"/>
              <w:right w:val="single" w:sz="4" w:space="0" w:color="00000A"/>
            </w:tcBorders>
            <w:tcMar>
              <w:left w:w="60" w:type="dxa"/>
            </w:tcMar>
            <w:textDirection w:val="lrTb"/>
            <w:vAlign w:val="center"/>
          </w:tcPr>
          <w:p w:rsidR="00D056F8">
            <w:pPr>
              <w:bidi w:val="0"/>
              <w:spacing w:after="0" w:line="240" w:lineRule="auto"/>
              <w:rPr>
                <w:rFonts w:ascii="Times New Roman" w:hAnsi="Times New Roman"/>
                <w:b/>
                <w:bCs/>
                <w:color w:val="FFFFFF"/>
                <w:lang w:val="sk-SK" w:eastAsia="sk-SK"/>
              </w:rPr>
            </w:pPr>
          </w:p>
        </w:tc>
        <w:tc>
          <w:tcPr>
            <w:tcW w:w="1500"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2017</w:t>
            </w:r>
          </w:p>
        </w:tc>
        <w:tc>
          <w:tcPr>
            <w:tcW w:w="1499"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2018</w:t>
            </w:r>
          </w:p>
        </w:tc>
        <w:tc>
          <w:tcPr>
            <w:tcW w:w="1500"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2019</w:t>
            </w:r>
          </w:p>
        </w:tc>
        <w:tc>
          <w:tcPr>
            <w:tcW w:w="1499"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2020</w:t>
            </w:r>
          </w:p>
        </w:tc>
        <w:tc>
          <w:tcPr>
            <w:tcW w:w="3002" w:type="dxa"/>
            <w:tcBorders>
              <w:top w:val="single" w:sz="4" w:space="0" w:color="00000A"/>
              <w:left w:val="single" w:sz="4" w:space="0" w:color="00000A"/>
              <w:bottom w:val="single" w:sz="4" w:space="0" w:color="00000A"/>
              <w:right w:val="single" w:sz="4" w:space="0" w:color="00000A"/>
            </w:tcBorders>
            <w:tcMar>
              <w:left w:w="60" w:type="dxa"/>
            </w:tcMar>
            <w:textDirection w:val="lrTb"/>
            <w:vAlign w:val="center"/>
          </w:tcPr>
          <w:p w:rsidR="00D056F8">
            <w:pPr>
              <w:bidi w:val="0"/>
              <w:spacing w:after="0" w:line="240" w:lineRule="auto"/>
              <w:rPr>
                <w:rFonts w:ascii="Times New Roman" w:hAnsi="Times New Roman"/>
                <w:b/>
                <w:bCs/>
                <w:color w:val="FFFFFF"/>
                <w:lang w:val="sk-SK" w:eastAsia="sk-SK"/>
              </w:rPr>
            </w:pPr>
          </w:p>
        </w:tc>
      </w:tr>
      <w:tr>
        <w:tblPrEx>
          <w:tblW w:w="13950" w:type="dxa"/>
          <w:jc w:val="center"/>
          <w:tblCellMar>
            <w:left w:w="60" w:type="dxa"/>
            <w:right w:w="70" w:type="dxa"/>
          </w:tblCellMar>
        </w:tblPrEx>
        <w:trPr>
          <w:trHeight w:val="255"/>
          <w:jc w:val="center"/>
        </w:trPr>
        <w:tc>
          <w:tcPr>
            <w:tcW w:w="4949"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b/>
                <w:bCs/>
                <w:vertAlign w:val="superscript"/>
                <w:lang w:val="sk-SK" w:eastAsia="sk-SK"/>
              </w:rPr>
            </w:pPr>
            <w:r w:rsidR="004F79A6">
              <w:rPr>
                <w:rFonts w:ascii="Times New Roman" w:hAnsi="Times New Roman"/>
                <w:b/>
                <w:bCs/>
                <w:lang w:val="sk-SK" w:eastAsia="sk-SK"/>
              </w:rPr>
              <w:t>Daňové príjmy (100)</w:t>
            </w:r>
            <w:r w:rsidR="004F79A6">
              <w:rPr>
                <w:rFonts w:ascii="Times New Roman" w:hAnsi="Times New Roman"/>
                <w:b/>
                <w:bCs/>
                <w:vertAlign w:val="superscript"/>
                <w:lang w:val="sk-SK" w:eastAsia="sk-SK"/>
              </w:rPr>
              <w:t>1</w:t>
            </w:r>
          </w:p>
        </w:tc>
        <w:tc>
          <w:tcPr>
            <w:tcW w:w="1500"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0</w:t>
            </w:r>
          </w:p>
        </w:tc>
        <w:tc>
          <w:tcPr>
            <w:tcW w:w="1499"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15 000 000</w:t>
            </w:r>
          </w:p>
          <w:p w:rsidR="00D056F8">
            <w:pPr>
              <w:bidi w:val="0"/>
              <w:spacing w:after="0" w:line="240" w:lineRule="auto"/>
              <w:jc w:val="center"/>
              <w:rPr>
                <w:rFonts w:ascii="Times New Roman" w:hAnsi="Times New Roman"/>
                <w:b/>
                <w:bCs/>
                <w:lang w:val="sk-SK" w:eastAsia="sk-SK"/>
              </w:rPr>
            </w:pPr>
          </w:p>
        </w:tc>
        <w:tc>
          <w:tcPr>
            <w:tcW w:w="1500"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15 000 000</w:t>
            </w:r>
          </w:p>
          <w:p w:rsidR="00D056F8">
            <w:pPr>
              <w:bidi w:val="0"/>
              <w:spacing w:after="0" w:line="240" w:lineRule="auto"/>
              <w:jc w:val="center"/>
              <w:rPr>
                <w:rFonts w:ascii="Times New Roman" w:hAnsi="Times New Roman"/>
                <w:b/>
                <w:bCs/>
                <w:lang w:val="sk-SK" w:eastAsia="sk-SK"/>
              </w:rPr>
            </w:pPr>
          </w:p>
        </w:tc>
        <w:tc>
          <w:tcPr>
            <w:tcW w:w="1499"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15 000 000</w:t>
            </w:r>
          </w:p>
          <w:p w:rsidR="00D056F8">
            <w:pPr>
              <w:bidi w:val="0"/>
              <w:spacing w:after="0" w:line="240" w:lineRule="auto"/>
              <w:jc w:val="center"/>
              <w:rPr>
                <w:rFonts w:ascii="Times New Roman" w:hAnsi="Times New Roman"/>
                <w:b/>
                <w:bCs/>
                <w:lang w:val="sk-SK" w:eastAsia="sk-SK"/>
              </w:rPr>
            </w:pPr>
          </w:p>
        </w:tc>
        <w:tc>
          <w:tcPr>
            <w:tcW w:w="3002"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154 004 – poistné na verejné zdravotné poistenie </w:t>
            </w:r>
          </w:p>
        </w:tc>
      </w:tr>
      <w:tr>
        <w:tblPrEx>
          <w:tblW w:w="13950" w:type="dxa"/>
          <w:jc w:val="center"/>
          <w:tblCellMar>
            <w:left w:w="60" w:type="dxa"/>
            <w:right w:w="70" w:type="dxa"/>
          </w:tblCellMar>
        </w:tblPrEx>
        <w:trPr>
          <w:trHeight w:val="255"/>
          <w:jc w:val="center"/>
        </w:trPr>
        <w:tc>
          <w:tcPr>
            <w:tcW w:w="4949"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Nedaňové príjmy (200)</w:t>
            </w:r>
            <w:r w:rsidR="004F79A6">
              <w:rPr>
                <w:rFonts w:ascii="Times New Roman" w:hAnsi="Times New Roman"/>
                <w:b/>
                <w:bCs/>
                <w:vertAlign w:val="superscript"/>
                <w:lang w:val="sk-SK" w:eastAsia="sk-SK"/>
              </w:rPr>
              <w:t>1</w:t>
            </w:r>
          </w:p>
        </w:tc>
        <w:tc>
          <w:tcPr>
            <w:tcW w:w="1500"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p>
        </w:tc>
        <w:tc>
          <w:tcPr>
            <w:tcW w:w="1499"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p>
        </w:tc>
        <w:tc>
          <w:tcPr>
            <w:tcW w:w="1500"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p>
        </w:tc>
        <w:tc>
          <w:tcPr>
            <w:tcW w:w="1499"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p>
        </w:tc>
        <w:tc>
          <w:tcPr>
            <w:tcW w:w="3002"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 </w:t>
            </w:r>
          </w:p>
        </w:tc>
      </w:tr>
      <w:tr>
        <w:tblPrEx>
          <w:tblW w:w="13950" w:type="dxa"/>
          <w:jc w:val="center"/>
          <w:tblCellMar>
            <w:left w:w="60" w:type="dxa"/>
            <w:right w:w="70" w:type="dxa"/>
          </w:tblCellMar>
        </w:tblPrEx>
        <w:trPr>
          <w:trHeight w:val="255"/>
          <w:jc w:val="center"/>
        </w:trPr>
        <w:tc>
          <w:tcPr>
            <w:tcW w:w="4949"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Granty a transfery (300)</w:t>
            </w:r>
            <w:r w:rsidR="004F79A6">
              <w:rPr>
                <w:rFonts w:ascii="Times New Roman" w:hAnsi="Times New Roman"/>
                <w:b/>
                <w:bCs/>
                <w:vertAlign w:val="superscript"/>
                <w:lang w:val="sk-SK" w:eastAsia="sk-SK"/>
              </w:rPr>
              <w:t>1</w:t>
            </w:r>
          </w:p>
        </w:tc>
        <w:tc>
          <w:tcPr>
            <w:tcW w:w="1500"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p>
        </w:tc>
        <w:tc>
          <w:tcPr>
            <w:tcW w:w="1499"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p>
        </w:tc>
        <w:tc>
          <w:tcPr>
            <w:tcW w:w="1500"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p>
        </w:tc>
        <w:tc>
          <w:tcPr>
            <w:tcW w:w="1499"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jc w:val="center"/>
              <w:rPr>
                <w:rFonts w:ascii="Times New Roman" w:hAnsi="Times New Roman"/>
                <w:b/>
                <w:bCs/>
                <w:lang w:val="sk-SK" w:eastAsia="sk-SK"/>
              </w:rPr>
            </w:pPr>
          </w:p>
        </w:tc>
        <w:tc>
          <w:tcPr>
            <w:tcW w:w="3002"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 </w:t>
            </w:r>
          </w:p>
        </w:tc>
      </w:tr>
      <w:tr>
        <w:tblPrEx>
          <w:tblW w:w="13950" w:type="dxa"/>
          <w:jc w:val="center"/>
          <w:tblCellMar>
            <w:left w:w="60" w:type="dxa"/>
            <w:right w:w="70" w:type="dxa"/>
          </w:tblCellMar>
        </w:tblPrEx>
        <w:trPr>
          <w:trHeight w:val="255"/>
          <w:jc w:val="center"/>
        </w:trPr>
        <w:tc>
          <w:tcPr>
            <w:tcW w:w="4949"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Príjmy z transakcií s finančnými aktívami a finančnými pasívami (400)</w:t>
            </w:r>
          </w:p>
        </w:tc>
        <w:tc>
          <w:tcPr>
            <w:tcW w:w="1500"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 </w:t>
            </w:r>
          </w:p>
        </w:tc>
        <w:tc>
          <w:tcPr>
            <w:tcW w:w="1499"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 </w:t>
            </w:r>
          </w:p>
        </w:tc>
        <w:tc>
          <w:tcPr>
            <w:tcW w:w="1500"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 </w:t>
            </w:r>
          </w:p>
        </w:tc>
        <w:tc>
          <w:tcPr>
            <w:tcW w:w="1499"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 </w:t>
            </w:r>
          </w:p>
        </w:tc>
        <w:tc>
          <w:tcPr>
            <w:tcW w:w="3002"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 </w:t>
            </w:r>
          </w:p>
        </w:tc>
      </w:tr>
      <w:tr>
        <w:tblPrEx>
          <w:tblW w:w="13950" w:type="dxa"/>
          <w:jc w:val="center"/>
          <w:tblCellMar>
            <w:left w:w="60" w:type="dxa"/>
            <w:right w:w="70" w:type="dxa"/>
          </w:tblCellMar>
        </w:tblPrEx>
        <w:trPr>
          <w:trHeight w:val="255"/>
          <w:jc w:val="center"/>
        </w:trPr>
        <w:tc>
          <w:tcPr>
            <w:tcW w:w="4949"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Prijaté úvery, pôžičky a návratné finančné výpomoci (500)</w:t>
            </w:r>
          </w:p>
        </w:tc>
        <w:tc>
          <w:tcPr>
            <w:tcW w:w="1500"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 </w:t>
            </w:r>
          </w:p>
        </w:tc>
        <w:tc>
          <w:tcPr>
            <w:tcW w:w="1499"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 </w:t>
            </w:r>
          </w:p>
        </w:tc>
        <w:tc>
          <w:tcPr>
            <w:tcW w:w="1500"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 </w:t>
            </w:r>
          </w:p>
        </w:tc>
        <w:tc>
          <w:tcPr>
            <w:tcW w:w="1499" w:type="dxa"/>
            <w:tcBorders>
              <w:top w:val="single" w:sz="4" w:space="0" w:color="00000A"/>
              <w:left w:val="single" w:sz="4" w:space="0" w:color="00000A"/>
              <w:bottom w:val="single" w:sz="4" w:space="0" w:color="00000A"/>
              <w:right w:val="single" w:sz="4" w:space="0" w:color="00000A"/>
            </w:tcBorders>
            <w:shd w:val="clear" w:color="auto" w:fill="FFFF99"/>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 </w:t>
            </w:r>
          </w:p>
        </w:tc>
        <w:tc>
          <w:tcPr>
            <w:tcW w:w="3002" w:type="dxa"/>
            <w:tcBorders>
              <w:top w:val="single" w:sz="4" w:space="0" w:color="00000A"/>
              <w:left w:val="single" w:sz="4" w:space="0" w:color="00000A"/>
              <w:bottom w:val="single" w:sz="4" w:space="0" w:color="00000A"/>
              <w:right w:val="single" w:sz="4" w:space="0" w:color="00000A"/>
            </w:tcBorders>
            <w:tcMar>
              <w:left w:w="60" w:type="dxa"/>
            </w:tcMar>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 </w:t>
            </w:r>
          </w:p>
        </w:tc>
      </w:tr>
      <w:tr>
        <w:tblPrEx>
          <w:tblW w:w="13950" w:type="dxa"/>
          <w:jc w:val="center"/>
          <w:tblCellMar>
            <w:left w:w="60" w:type="dxa"/>
            <w:right w:w="70" w:type="dxa"/>
          </w:tblCellMar>
        </w:tblPrEx>
        <w:trPr>
          <w:trHeight w:val="255"/>
          <w:jc w:val="center"/>
        </w:trPr>
        <w:tc>
          <w:tcPr>
            <w:tcW w:w="4949"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Dopad na príjmy verejnej správy celkom</w:t>
            </w:r>
          </w:p>
        </w:tc>
        <w:tc>
          <w:tcPr>
            <w:tcW w:w="1500"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0</w:t>
            </w:r>
          </w:p>
        </w:tc>
        <w:tc>
          <w:tcPr>
            <w:tcW w:w="1499"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15 000 000</w:t>
            </w:r>
          </w:p>
        </w:tc>
        <w:tc>
          <w:tcPr>
            <w:tcW w:w="1500"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15 000 000</w:t>
            </w:r>
          </w:p>
        </w:tc>
        <w:tc>
          <w:tcPr>
            <w:tcW w:w="1499"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15 000 000</w:t>
            </w:r>
          </w:p>
        </w:tc>
        <w:tc>
          <w:tcPr>
            <w:tcW w:w="3002"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 </w:t>
            </w:r>
          </w:p>
        </w:tc>
      </w:tr>
    </w:tbl>
    <w:p w:rsidR="00D056F8">
      <w:pPr>
        <w:tabs>
          <w:tab w:val="left" w:pos="1080"/>
        </w:tabs>
        <w:bidi w:val="0"/>
        <w:spacing w:after="0" w:line="240" w:lineRule="auto"/>
        <w:jc w:val="both"/>
        <w:rPr>
          <w:rFonts w:ascii="Times New Roman" w:hAnsi="Times New Roman"/>
          <w:bCs/>
          <w:sz w:val="20"/>
          <w:szCs w:val="20"/>
          <w:lang w:val="sk-SK" w:eastAsia="sk-SK"/>
        </w:rPr>
      </w:pPr>
      <w:r w:rsidR="004F79A6">
        <w:rPr>
          <w:rFonts w:ascii="Times New Roman" w:hAnsi="Times New Roman"/>
          <w:bCs/>
          <w:sz w:val="20"/>
          <w:szCs w:val="20"/>
          <w:lang w:val="sk-SK" w:eastAsia="sk-SK"/>
        </w:rPr>
        <w:t>1 –  príjmy rozpísať až do položiek platnej ekonomickej klasifikácie</w:t>
      </w:r>
    </w:p>
    <w:p w:rsidR="00D056F8">
      <w:pPr>
        <w:tabs>
          <w:tab w:val="left" w:pos="1080"/>
        </w:tabs>
        <w:bidi w:val="0"/>
        <w:spacing w:after="0" w:line="240" w:lineRule="auto"/>
        <w:jc w:val="both"/>
        <w:rPr>
          <w:rFonts w:ascii="Times New Roman" w:hAnsi="Times New Roman"/>
          <w:bCs/>
          <w:sz w:val="24"/>
          <w:szCs w:val="20"/>
          <w:lang w:val="sk-SK" w:eastAsia="sk-SK"/>
        </w:rPr>
      </w:pPr>
    </w:p>
    <w:p w:rsidR="00D056F8">
      <w:pPr>
        <w:tabs>
          <w:tab w:val="left" w:pos="1080"/>
        </w:tabs>
        <w:bidi w:val="0"/>
        <w:spacing w:after="0" w:line="240" w:lineRule="auto"/>
        <w:jc w:val="both"/>
        <w:rPr>
          <w:rFonts w:ascii="Times New Roman" w:hAnsi="Times New Roman"/>
          <w:b/>
          <w:bCs/>
          <w:sz w:val="24"/>
          <w:szCs w:val="20"/>
          <w:lang w:val="sk-SK" w:eastAsia="sk-SK"/>
        </w:rPr>
      </w:pPr>
      <w:r w:rsidR="004F79A6">
        <w:rPr>
          <w:rFonts w:ascii="Times New Roman" w:hAnsi="Times New Roman"/>
          <w:b/>
          <w:bCs/>
          <w:sz w:val="24"/>
          <w:szCs w:val="20"/>
          <w:lang w:val="sk-SK" w:eastAsia="sk-SK"/>
        </w:rPr>
        <w:t>Poznámka:</w:t>
      </w:r>
    </w:p>
    <w:p w:rsidR="00D056F8">
      <w:pPr>
        <w:tabs>
          <w:tab w:val="left" w:pos="1080"/>
        </w:tabs>
        <w:bidi w:val="0"/>
        <w:spacing w:after="0" w:line="240" w:lineRule="auto"/>
        <w:jc w:val="both"/>
        <w:rPr>
          <w:rFonts w:ascii="Times New Roman" w:hAnsi="Times New Roman"/>
          <w:bCs/>
          <w:sz w:val="24"/>
          <w:szCs w:val="20"/>
          <w:lang w:val="sk-SK" w:eastAsia="sk-SK"/>
        </w:rPr>
      </w:pPr>
      <w:r w:rsidR="004F79A6">
        <w:rPr>
          <w:rFonts w:ascii="Times New Roman" w:hAnsi="Times New Roman"/>
          <w:bCs/>
          <w:sz w:val="24"/>
          <w:szCs w:val="20"/>
          <w:lang w:val="sk-SK" w:eastAsia="sk-SK"/>
        </w:rPr>
        <w:t>Ak sa vplyv týka viacerých subjektov verejnej správy, vypĺňa sa samostatná tabuľka za každý subjekt.</w:t>
      </w:r>
    </w:p>
    <w:p w:rsidR="00D056F8">
      <w:pPr>
        <w:widowControl/>
        <w:bidi w:val="0"/>
        <w:rPr>
          <w:rFonts w:ascii="Times New Roman" w:hAnsi="Times New Roman"/>
          <w:bCs/>
          <w:sz w:val="24"/>
          <w:szCs w:val="20"/>
          <w:lang w:val="sk-SK" w:eastAsia="sk-SK"/>
        </w:rPr>
      </w:pPr>
      <w:r w:rsidR="004F79A6">
        <w:br w:type="page"/>
      </w:r>
    </w:p>
    <w:p w:rsidR="00D056F8">
      <w:pPr>
        <w:tabs>
          <w:tab w:val="left" w:pos="1080"/>
        </w:tabs>
        <w:bidi w:val="0"/>
        <w:spacing w:after="0" w:line="240" w:lineRule="auto"/>
        <w:ind w:right="-32"/>
        <w:jc w:val="right"/>
        <w:rPr>
          <w:rFonts w:ascii="Times New Roman" w:hAnsi="Times New Roman"/>
          <w:bCs/>
          <w:sz w:val="24"/>
          <w:szCs w:val="24"/>
          <w:lang w:val="sk-SK" w:eastAsia="sk-SK"/>
        </w:rPr>
      </w:pPr>
      <w:r w:rsidR="004F79A6">
        <w:rPr>
          <w:rFonts w:ascii="Times New Roman" w:hAnsi="Times New Roman"/>
          <w:bCs/>
          <w:sz w:val="24"/>
          <w:szCs w:val="24"/>
          <w:lang w:val="sk-SK" w:eastAsia="sk-SK"/>
        </w:rPr>
        <w:t xml:space="preserve">Tabuľka č. 4 </w:t>
      </w:r>
    </w:p>
    <w:p w:rsidR="00D056F8">
      <w:pPr>
        <w:bidi w:val="0"/>
        <w:spacing w:after="0" w:line="240" w:lineRule="auto"/>
        <w:rPr>
          <w:rFonts w:ascii="Times New Roman" w:hAnsi="Times New Roman"/>
          <w:lang w:val="sk-SK" w:eastAsia="sk-SK"/>
        </w:rPr>
      </w:pPr>
    </w:p>
    <w:p w:rsidR="00D056F8">
      <w:pPr>
        <w:tabs>
          <w:tab w:val="left" w:pos="1080"/>
        </w:tabs>
        <w:bidi w:val="0"/>
        <w:spacing w:after="0" w:line="240" w:lineRule="auto"/>
        <w:ind w:left="-900"/>
        <w:jc w:val="both"/>
        <w:rPr>
          <w:rFonts w:ascii="Times New Roman" w:hAnsi="Times New Roman"/>
          <w:bCs/>
          <w:sz w:val="20"/>
          <w:szCs w:val="20"/>
          <w:lang w:val="sk-SK" w:eastAsia="sk-SK"/>
        </w:rPr>
      </w:pPr>
      <w:r>
        <w:rPr>
          <w:noProof/>
        </w:rPr>
        <w:pict>
          <v:rect id="Frame2" o:spid="_x0000_s1026" style="width:744pt;height:279.8pt;margin-top:0.1pt;margin-left:27.95pt;mso-position-horizontal-relative:page;mso-wrap-distance-left:7.05pt;mso-wrap-distance-right:7.05pt;position:absolute;visibility:visible;z-index:251659264" filled="f" stroked="f">
            <v:textbox style="mso-fit-shape-to-text:t" inset="0,0,0,0">
              <w:txbxContent>
                <w:tbl>
                  <w:tblPr>
                    <w:tblStyle w:val="TableNormal"/>
                    <w:tblW w:w="14879" w:type="dxa"/>
                    <w:tblInd w:w="64" w:type="dxa"/>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60" w:type="dxa"/>
                      <w:right w:w="70" w:type="dxa"/>
                    </w:tblCellMar>
                  </w:tblPr>
                  <w:tblGrid>
                    <w:gridCol w:w="6659"/>
                    <w:gridCol w:w="739"/>
                    <w:gridCol w:w="1540"/>
                    <w:gridCol w:w="1540"/>
                    <w:gridCol w:w="1545"/>
                    <w:gridCol w:w="2856"/>
                  </w:tblGrid>
                  <w:tr>
                    <w:tblPrEx>
                      <w:tblW w:w="14879" w:type="dxa"/>
                      <w:tblInd w:w="64" w:type="dxa"/>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60" w:type="dxa"/>
                        <w:right w:w="70" w:type="dxa"/>
                      </w:tblCellMar>
                    </w:tblPrEx>
                    <w:trPr>
                      <w:cantSplit/>
                      <w:trHeight w:val="255"/>
                    </w:trPr>
                    <w:tc>
                      <w:tcPr>
                        <w:tcW w:w="6658" w:type="dxa"/>
                        <w:vMerge w:val="restart"/>
                        <w:tcBorders>
                          <w:top w:val="single" w:sz="4" w:space="0" w:color="00000A"/>
                          <w:left w:val="single" w:sz="4" w:space="0" w:color="00000A"/>
                          <w:bottom w:val="single" w:sz="4" w:space="0" w:color="000001"/>
                          <w:right w:val="single" w:sz="4" w:space="0" w:color="00000A"/>
                        </w:tcBorders>
                        <w:shd w:val="clear" w:color="auto" w:fill="BFBFBF"/>
                        <w:tcMar>
                          <w:left w:w="60" w:type="dxa"/>
                        </w:tcMar>
                        <w:textDirection w:val="lrTb"/>
                        <w:vAlign w:val="center"/>
                      </w:tcPr>
                      <w:p w:rsidR="00A952F0">
                        <w:pPr>
                          <w:bidi w:val="0"/>
                          <w:spacing w:after="0" w:line="240" w:lineRule="auto"/>
                          <w:jc w:val="center"/>
                        </w:pPr>
                        <w:r>
                          <w:rPr>
                            <w:rFonts w:ascii="Times New Roman" w:hAnsi="Times New Roman"/>
                            <w:b/>
                            <w:bCs/>
                            <w:lang w:val="sk-SK" w:eastAsia="sk-SK"/>
                          </w:rPr>
                          <w:t>Výdavky (v eurách)</w:t>
                        </w:r>
                      </w:p>
                    </w:tc>
                    <w:tc>
                      <w:tcPr>
                        <w:tcW w:w="5364" w:type="dxa"/>
                        <w:gridSpan w:val="4"/>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A952F0">
                        <w:pPr>
                          <w:bidi w:val="0"/>
                          <w:spacing w:after="0" w:line="240" w:lineRule="auto"/>
                          <w:jc w:val="center"/>
                        </w:pPr>
                        <w:r>
                          <w:rPr>
                            <w:rFonts w:ascii="Times New Roman" w:hAnsi="Times New Roman"/>
                            <w:b/>
                            <w:bCs/>
                            <w:lang w:val="sk-SK" w:eastAsia="sk-SK"/>
                          </w:rPr>
                          <w:t>Vplyv na rozpočet verejnej správy</w:t>
                        </w:r>
                      </w:p>
                    </w:tc>
                    <w:tc>
                      <w:tcPr>
                        <w:tcW w:w="2856"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center"/>
                      </w:tcPr>
                      <w:p w:rsidR="00A952F0">
                        <w:pPr>
                          <w:bidi w:val="0"/>
                          <w:spacing w:after="0" w:line="240" w:lineRule="auto"/>
                          <w:jc w:val="center"/>
                        </w:pPr>
                        <w:r>
                          <w:rPr>
                            <w:rFonts w:ascii="Times New Roman" w:hAnsi="Times New Roman"/>
                            <w:b/>
                            <w:bCs/>
                            <w:lang w:val="sk-SK" w:eastAsia="sk-SK"/>
                          </w:rPr>
                          <w:t>poznámka</w:t>
                        </w:r>
                      </w:p>
                    </w:tc>
                  </w:tr>
                  <w:tr>
                    <w:tblPrEx>
                      <w:tblW w:w="14879" w:type="dxa"/>
                      <w:tblInd w:w="64" w:type="dxa"/>
                      <w:tblCellMar>
                        <w:left w:w="60" w:type="dxa"/>
                        <w:right w:w="70" w:type="dxa"/>
                      </w:tblCellMar>
                    </w:tblPrEx>
                    <w:trPr>
                      <w:cantSplit/>
                      <w:trHeight w:val="255"/>
                    </w:trPr>
                    <w:tc>
                      <w:tcPr>
                        <w:tcW w:w="6658" w:type="dxa"/>
                        <w:vMerge/>
                        <w:tcBorders>
                          <w:top w:val="single" w:sz="4" w:space="0" w:color="00000A"/>
                          <w:left w:val="single" w:sz="4" w:space="0" w:color="00000A"/>
                          <w:bottom w:val="single" w:sz="4" w:space="0" w:color="000001"/>
                          <w:right w:val="single" w:sz="4" w:space="0" w:color="00000A"/>
                        </w:tcBorders>
                        <w:tcMar>
                          <w:left w:w="60" w:type="dxa"/>
                        </w:tcMar>
                        <w:textDirection w:val="lrTb"/>
                        <w:vAlign w:val="center"/>
                      </w:tcPr>
                      <w:p w:rsidR="00A952F0">
                        <w:pPr>
                          <w:bidi w:val="0"/>
                          <w:spacing w:after="0" w:line="240" w:lineRule="auto"/>
                          <w:rPr>
                            <w:rFonts w:ascii="Times New Roman" w:hAnsi="Times New Roman"/>
                            <w:b/>
                            <w:bCs/>
                            <w:color w:val="FFFFFF"/>
                            <w:lang w:val="sk-SK" w:eastAsia="sk-SK"/>
                          </w:rPr>
                        </w:pPr>
                      </w:p>
                    </w:tc>
                    <w:tc>
                      <w:tcPr>
                        <w:tcW w:w="739"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A952F0">
                        <w:pPr>
                          <w:bidi w:val="0"/>
                          <w:spacing w:after="0" w:line="240" w:lineRule="auto"/>
                          <w:jc w:val="center"/>
                        </w:pPr>
                        <w:r>
                          <w:rPr>
                            <w:rFonts w:ascii="Times New Roman" w:hAnsi="Times New Roman"/>
                            <w:b/>
                            <w:bCs/>
                            <w:lang w:val="sk-SK" w:eastAsia="sk-SK"/>
                          </w:rPr>
                          <w:t>2017</w:t>
                        </w:r>
                      </w:p>
                    </w:tc>
                    <w:tc>
                      <w:tcPr>
                        <w:tcW w:w="1540"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A952F0">
                        <w:pPr>
                          <w:bidi w:val="0"/>
                          <w:spacing w:after="0" w:line="240" w:lineRule="auto"/>
                          <w:jc w:val="center"/>
                        </w:pPr>
                        <w:r>
                          <w:rPr>
                            <w:rFonts w:ascii="Times New Roman" w:hAnsi="Times New Roman"/>
                            <w:b/>
                            <w:bCs/>
                            <w:lang w:val="sk-SK" w:eastAsia="sk-SK"/>
                          </w:rPr>
                          <w:t>2018</w:t>
                        </w:r>
                      </w:p>
                    </w:tc>
                    <w:tc>
                      <w:tcPr>
                        <w:tcW w:w="1540"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A952F0">
                        <w:pPr>
                          <w:bidi w:val="0"/>
                          <w:spacing w:after="0" w:line="240" w:lineRule="auto"/>
                          <w:jc w:val="center"/>
                        </w:pPr>
                        <w:r>
                          <w:rPr>
                            <w:rFonts w:ascii="Times New Roman" w:hAnsi="Times New Roman"/>
                            <w:b/>
                            <w:bCs/>
                            <w:lang w:val="sk-SK" w:eastAsia="sk-SK"/>
                          </w:rPr>
                          <w:t>2019</w:t>
                        </w:r>
                      </w:p>
                    </w:tc>
                    <w:tc>
                      <w:tcPr>
                        <w:tcW w:w="1545"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A952F0">
                        <w:pPr>
                          <w:bidi w:val="0"/>
                          <w:spacing w:after="0" w:line="240" w:lineRule="auto"/>
                          <w:jc w:val="center"/>
                        </w:pPr>
                        <w:r>
                          <w:rPr>
                            <w:rFonts w:ascii="Times New Roman" w:hAnsi="Times New Roman"/>
                            <w:b/>
                            <w:bCs/>
                            <w:lang w:val="sk-SK" w:eastAsia="sk-SK"/>
                          </w:rPr>
                          <w:t>20210</w:t>
                        </w:r>
                      </w:p>
                    </w:tc>
                    <w:tc>
                      <w:tcPr>
                        <w:tcW w:w="2856" w:type="dxa"/>
                        <w:tcBorders>
                          <w:top w:val="single" w:sz="4" w:space="0" w:color="00000A"/>
                          <w:left w:val="single" w:sz="4" w:space="0" w:color="00000A"/>
                          <w:bottom w:val="single" w:sz="4" w:space="0" w:color="00000A"/>
                          <w:right w:val="single" w:sz="4" w:space="0" w:color="00000A"/>
                        </w:tcBorders>
                        <w:tcMar>
                          <w:left w:w="60" w:type="dxa"/>
                        </w:tcMar>
                        <w:textDirection w:val="lrTb"/>
                        <w:vAlign w:val="center"/>
                      </w:tcPr>
                      <w:p w:rsidR="00A952F0">
                        <w:pPr>
                          <w:bidi w:val="0"/>
                          <w:spacing w:after="0" w:line="240" w:lineRule="auto"/>
                          <w:rPr>
                            <w:rFonts w:ascii="Times New Roman" w:hAnsi="Times New Roman"/>
                            <w:b/>
                            <w:bCs/>
                            <w:color w:val="FFFFFF"/>
                            <w:lang w:val="sk-SK" w:eastAsia="sk-SK"/>
                          </w:rPr>
                        </w:pP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A952F0">
                        <w:pPr>
                          <w:bidi w:val="0"/>
                          <w:spacing w:after="0" w:line="240" w:lineRule="auto"/>
                        </w:pPr>
                        <w:r>
                          <w:rPr>
                            <w:rFonts w:ascii="Times New Roman" w:hAnsi="Times New Roman"/>
                            <w:b/>
                            <w:bCs/>
                            <w:lang w:val="sk-SK" w:eastAsia="sk-SK"/>
                          </w:rPr>
                          <w:t>Bežné výdavky (600)</w:t>
                        </w:r>
                      </w:p>
                    </w:tc>
                    <w:tc>
                      <w:tcPr>
                        <w:tcW w:w="739"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b/>
                            <w:bCs/>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b/>
                            <w:bCs/>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b/>
                            <w:bCs/>
                            <w:lang w:val="sk-SK" w:eastAsia="sk-SK"/>
                          </w:rPr>
                        </w:pPr>
                      </w:p>
                    </w:tc>
                    <w:tc>
                      <w:tcPr>
                        <w:tcW w:w="1545"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b/>
                            <w:bCs/>
                            <w:lang w:val="sk-SK" w:eastAsia="sk-SK"/>
                          </w:rPr>
                        </w:pP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pPr>
                        <w:r>
                          <w:rPr>
                            <w:rFonts w:ascii="Times New Roman" w:hAnsi="Times New Roman"/>
                            <w:lang w:val="sk-SK" w:eastAsia="sk-SK"/>
                          </w:rPr>
                          <w:t> </w:t>
                        </w: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A952F0">
                        <w:pPr>
                          <w:bidi w:val="0"/>
                          <w:spacing w:after="0" w:line="240" w:lineRule="auto"/>
                        </w:pPr>
                        <w:r>
                          <w:rPr>
                            <w:rFonts w:ascii="Times New Roman" w:hAnsi="Times New Roman"/>
                            <w:lang w:val="sk-SK" w:eastAsia="sk-SK"/>
                          </w:rPr>
                          <w:t xml:space="preserve">  Mzdy, platy, služobné príjmy a ostatné osobné vyrovnania (610)</w:t>
                        </w:r>
                      </w:p>
                    </w:tc>
                    <w:tc>
                      <w:tcPr>
                        <w:tcW w:w="739"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5"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pPr>
                        <w:r>
                          <w:rPr>
                            <w:rFonts w:ascii="Times New Roman" w:hAnsi="Times New Roman"/>
                            <w:lang w:val="sk-SK" w:eastAsia="sk-SK"/>
                          </w:rPr>
                          <w:t> </w:t>
                        </w: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A952F0">
                        <w:pPr>
                          <w:bidi w:val="0"/>
                          <w:spacing w:after="0" w:line="240" w:lineRule="auto"/>
                        </w:pPr>
                        <w:r>
                          <w:rPr>
                            <w:rFonts w:ascii="Times New Roman" w:hAnsi="Times New Roman"/>
                            <w:lang w:val="sk-SK" w:eastAsia="sk-SK"/>
                          </w:rPr>
                          <w:t xml:space="preserve">  Poistné a príspevok do poisťovní (620)</w:t>
                        </w:r>
                      </w:p>
                    </w:tc>
                    <w:tc>
                      <w:tcPr>
                        <w:tcW w:w="739"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5"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pPr>
                        <w:r>
                          <w:rPr>
                            <w:rFonts w:ascii="Times New Roman" w:hAnsi="Times New Roman"/>
                            <w:lang w:val="sk-SK" w:eastAsia="sk-SK"/>
                          </w:rPr>
                          <w:t> </w:t>
                        </w: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A952F0">
                        <w:pPr>
                          <w:bidi w:val="0"/>
                          <w:spacing w:after="0" w:line="240" w:lineRule="auto"/>
                        </w:pPr>
                        <w:r>
                          <w:rPr>
                            <w:rFonts w:ascii="Times New Roman" w:hAnsi="Times New Roman"/>
                            <w:lang w:val="sk-SK" w:eastAsia="sk-SK"/>
                          </w:rPr>
                          <w:t>Tovary a služby (630)</w:t>
                        </w:r>
                        <w:r>
                          <w:rPr>
                            <w:rFonts w:ascii="Times New Roman" w:hAnsi="Times New Roman"/>
                            <w:vertAlign w:val="superscript"/>
                            <w:lang w:val="sk-SK" w:eastAsia="sk-SK"/>
                          </w:rPr>
                          <w:t xml:space="preserve">2  </w:t>
                        </w:r>
                        <w:r>
                          <w:rPr>
                            <w:rFonts w:ascii="Times New Roman" w:hAnsi="Times New Roman"/>
                            <w:lang w:val="sk-SK" w:eastAsia="sk-SK"/>
                          </w:rPr>
                          <w:t>v tom</w:t>
                        </w:r>
                      </w:p>
                    </w:tc>
                    <w:tc>
                      <w:tcPr>
                        <w:tcW w:w="739"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5"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rPr>
                            <w:rFonts w:ascii="Times New Roman" w:hAnsi="Times New Roman"/>
                            <w:lang w:val="sk-SK" w:eastAsia="sk-SK"/>
                          </w:rPr>
                        </w:pP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center"/>
                      </w:tcPr>
                      <w:p w:rsidR="00A952F0">
                        <w:pPr>
                          <w:pStyle w:val="ListParagraph"/>
                          <w:numPr>
                            <w:numId w:val="6"/>
                          </w:numPr>
                          <w:bidi w:val="0"/>
                          <w:rPr>
                            <w:rFonts w:ascii="Times New Roman" w:hAnsi="Times New Roman"/>
                          </w:rPr>
                        </w:pPr>
                        <w:r>
                          <w:rPr>
                            <w:rFonts w:ascii="Times New Roman" w:hAnsi="Times New Roman"/>
                            <w:b/>
                            <w:bCs/>
                            <w:i/>
                            <w:iCs/>
                            <w:sz w:val="20"/>
                          </w:rPr>
                          <w:t>paušálna platba - urgenty</w:t>
                        </w:r>
                      </w:p>
                    </w:tc>
                    <w:tc>
                      <w:tcPr>
                        <w:tcW w:w="739"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center"/>
                      </w:tcPr>
                      <w:p w:rsidR="00A952F0">
                        <w:pPr>
                          <w:bidi w:val="0"/>
                          <w:spacing w:after="0" w:line="240" w:lineRule="auto"/>
                          <w:jc w:val="right"/>
                        </w:pPr>
                        <w:r>
                          <w:rPr>
                            <w:rFonts w:ascii="Times New Roman" w:hAnsi="Times New Roman"/>
                            <w:color w:val="000000"/>
                            <w:sz w:val="20"/>
                            <w:szCs w:val="24"/>
                            <w:lang w:val="sk-SK"/>
                          </w:rPr>
                          <w:t>6 853 725,51</w:t>
                        </w:r>
                      </w:p>
                    </w:tc>
                    <w:tc>
                      <w:tcPr>
                        <w:tcW w:w="1540" w:type="dxa"/>
                        <w:tcBorders>
                          <w:top w:val="single" w:sz="4" w:space="0" w:color="00000A"/>
                          <w:left w:val="single" w:sz="4" w:space="0" w:color="00000A"/>
                          <w:bottom w:val="single" w:sz="4" w:space="0" w:color="00000A"/>
                          <w:right w:val="single" w:sz="4" w:space="0" w:color="00000A"/>
                        </w:tcBorders>
                        <w:textDirection w:val="lrTb"/>
                        <w:vAlign w:val="center"/>
                      </w:tcPr>
                      <w:p w:rsidR="00A952F0">
                        <w:pPr>
                          <w:bidi w:val="0"/>
                          <w:spacing w:after="0" w:line="240" w:lineRule="auto"/>
                          <w:jc w:val="right"/>
                        </w:pPr>
                        <w:r>
                          <w:rPr>
                            <w:rFonts w:ascii="Times New Roman" w:hAnsi="Times New Roman"/>
                            <w:color w:val="000000"/>
                            <w:sz w:val="20"/>
                            <w:szCs w:val="24"/>
                            <w:lang w:val="sk-SK"/>
                          </w:rPr>
                          <w:t>14 054 817,51</w:t>
                        </w:r>
                      </w:p>
                    </w:tc>
                    <w:tc>
                      <w:tcPr>
                        <w:tcW w:w="1545" w:type="dxa"/>
                        <w:tcBorders>
                          <w:top w:val="single" w:sz="4" w:space="0" w:color="00000A"/>
                          <w:left w:val="single" w:sz="4" w:space="0" w:color="00000A"/>
                          <w:bottom w:val="single" w:sz="4" w:space="0" w:color="00000A"/>
                          <w:right w:val="single" w:sz="4" w:space="0" w:color="00000A"/>
                        </w:tcBorders>
                        <w:textDirection w:val="lrTb"/>
                        <w:vAlign w:val="center"/>
                      </w:tcPr>
                      <w:p w:rsidR="00A952F0">
                        <w:pPr>
                          <w:bidi w:val="0"/>
                          <w:spacing w:after="0" w:line="240" w:lineRule="auto"/>
                          <w:jc w:val="right"/>
                        </w:pPr>
                        <w:r>
                          <w:rPr>
                            <w:rFonts w:ascii="Times New Roman" w:hAnsi="Times New Roman"/>
                            <w:color w:val="000000"/>
                            <w:sz w:val="20"/>
                            <w:szCs w:val="24"/>
                            <w:lang w:val="sk-SK"/>
                          </w:rPr>
                          <w:t>18 748 221,51</w:t>
                        </w: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pPr>
                        <w:r>
                          <w:rPr>
                            <w:rFonts w:ascii="Times New Roman" w:hAnsi="Times New Roman"/>
                            <w:sz w:val="20"/>
                            <w:szCs w:val="20"/>
                            <w:lang w:eastAsia="sk-SK"/>
                          </w:rPr>
                          <w:t>platby zdravotných poisťovní za služby - poskytovanie zdravotnej starostlivosti</w:t>
                        </w: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center"/>
                      </w:tcPr>
                      <w:p w:rsidR="00A952F0">
                        <w:pPr>
                          <w:pStyle w:val="ListParagraph"/>
                          <w:numPr>
                            <w:numId w:val="6"/>
                          </w:numPr>
                          <w:bidi w:val="0"/>
                          <w:rPr>
                            <w:rFonts w:ascii="Times New Roman" w:hAnsi="Times New Roman"/>
                          </w:rPr>
                        </w:pPr>
                        <w:r>
                          <w:rPr>
                            <w:rFonts w:ascii="Times New Roman" w:hAnsi="Times New Roman"/>
                            <w:b/>
                            <w:bCs/>
                            <w:i/>
                            <w:iCs/>
                            <w:sz w:val="20"/>
                          </w:rPr>
                          <w:t>paušálna platba – ošetrovateľská starostlivosť</w:t>
                        </w:r>
                      </w:p>
                    </w:tc>
                    <w:tc>
                      <w:tcPr>
                        <w:tcW w:w="739"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center"/>
                      </w:tcPr>
                      <w:p w:rsidR="00A952F0">
                        <w:pPr>
                          <w:bidi w:val="0"/>
                          <w:spacing w:after="0" w:line="240" w:lineRule="auto"/>
                          <w:jc w:val="right"/>
                        </w:pPr>
                        <w:r>
                          <w:rPr>
                            <w:rFonts w:ascii="Times New Roman" w:hAnsi="Times New Roman"/>
                            <w:bCs/>
                            <w:sz w:val="20"/>
                            <w:szCs w:val="20"/>
                            <w:lang w:val="sk-SK" w:eastAsia="sk-SK"/>
                          </w:rPr>
                          <w:t>12 632 796</w:t>
                        </w:r>
                      </w:p>
                    </w:tc>
                    <w:tc>
                      <w:tcPr>
                        <w:tcW w:w="1540" w:type="dxa"/>
                        <w:tcBorders>
                          <w:top w:val="single" w:sz="4" w:space="0" w:color="00000A"/>
                          <w:left w:val="single" w:sz="4" w:space="0" w:color="00000A"/>
                          <w:bottom w:val="single" w:sz="4" w:space="0" w:color="00000A"/>
                          <w:right w:val="single" w:sz="4" w:space="0" w:color="00000A"/>
                        </w:tcBorders>
                        <w:textDirection w:val="lrTb"/>
                        <w:vAlign w:val="center"/>
                      </w:tcPr>
                      <w:p w:rsidR="00A952F0">
                        <w:pPr>
                          <w:bidi w:val="0"/>
                          <w:spacing w:after="0" w:line="240" w:lineRule="auto"/>
                          <w:jc w:val="right"/>
                        </w:pPr>
                        <w:r>
                          <w:rPr>
                            <w:rFonts w:ascii="Times New Roman" w:hAnsi="Times New Roman"/>
                            <w:bCs/>
                            <w:sz w:val="20"/>
                            <w:szCs w:val="20"/>
                            <w:lang w:val="sk-SK" w:eastAsia="sk-SK"/>
                          </w:rPr>
                          <w:t>12 632 796</w:t>
                        </w:r>
                      </w:p>
                    </w:tc>
                    <w:tc>
                      <w:tcPr>
                        <w:tcW w:w="1545" w:type="dxa"/>
                        <w:tcBorders>
                          <w:top w:val="single" w:sz="4" w:space="0" w:color="00000A"/>
                          <w:left w:val="single" w:sz="4" w:space="0" w:color="00000A"/>
                          <w:bottom w:val="single" w:sz="4" w:space="0" w:color="00000A"/>
                          <w:right w:val="single" w:sz="4" w:space="0" w:color="00000A"/>
                        </w:tcBorders>
                        <w:textDirection w:val="lrTb"/>
                        <w:vAlign w:val="center"/>
                      </w:tcPr>
                      <w:p w:rsidR="00A952F0">
                        <w:pPr>
                          <w:bidi w:val="0"/>
                          <w:spacing w:after="0" w:line="240" w:lineRule="auto"/>
                          <w:jc w:val="right"/>
                        </w:pPr>
                        <w:r>
                          <w:rPr>
                            <w:rFonts w:ascii="Times New Roman" w:hAnsi="Times New Roman"/>
                            <w:bCs/>
                            <w:sz w:val="20"/>
                            <w:szCs w:val="20"/>
                            <w:lang w:val="sk-SK" w:eastAsia="sk-SK"/>
                          </w:rPr>
                          <w:t>12 632 796</w:t>
                        </w: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pPr>
                        <w:r>
                          <w:rPr>
                            <w:rFonts w:ascii="Times New Roman" w:hAnsi="Times New Roman"/>
                            <w:sz w:val="20"/>
                            <w:szCs w:val="20"/>
                            <w:lang w:eastAsia="sk-SK"/>
                          </w:rPr>
                          <w:t>platby zdravotných poisťovní za služby - poskytovanie zdravotnej starostlivosti</w:t>
                        </w: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A952F0">
                        <w:pPr>
                          <w:bidi w:val="0"/>
                          <w:spacing w:after="0" w:line="240" w:lineRule="auto"/>
                        </w:pPr>
                        <w:r>
                          <w:rPr>
                            <w:rFonts w:ascii="Times New Roman" w:hAnsi="Times New Roman"/>
                            <w:lang w:val="sk-SK" w:eastAsia="sk-SK"/>
                          </w:rPr>
                          <w:t xml:space="preserve">  Bežné transfery (640)</w:t>
                        </w:r>
                        <w:r>
                          <w:rPr>
                            <w:rFonts w:ascii="Times New Roman" w:hAnsi="Times New Roman"/>
                            <w:vertAlign w:val="superscript"/>
                            <w:lang w:val="sk-SK" w:eastAsia="sk-SK"/>
                          </w:rPr>
                          <w:t>2</w:t>
                        </w:r>
                      </w:p>
                    </w:tc>
                    <w:tc>
                      <w:tcPr>
                        <w:tcW w:w="739"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5"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pPr>
                        <w:r>
                          <w:rPr>
                            <w:rFonts w:ascii="Times New Roman" w:hAnsi="Times New Roman"/>
                            <w:lang w:val="sk-SK" w:eastAsia="sk-SK"/>
                          </w:rPr>
                          <w:t> </w:t>
                        </w: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center"/>
                      </w:tcPr>
                      <w:p w:rsidR="00A952F0">
                        <w:pPr>
                          <w:bidi w:val="0"/>
                          <w:spacing w:after="0" w:line="240" w:lineRule="auto"/>
                        </w:pPr>
                        <w:r>
                          <w:rPr>
                            <w:rFonts w:ascii="Times New Roman" w:hAnsi="Times New Roman"/>
                            <w:lang w:val="sk-SK" w:eastAsia="sk-SK"/>
                          </w:rPr>
                          <w:t xml:space="preserve">  Splácanie úrokov a ostatné platby súvisiace s </w:t>
                        </w:r>
                        <w:r>
                          <w:rPr>
                            <w:rFonts w:ascii="Times New Roman" w:hAnsi="Times New Roman"/>
                            <w:lang w:val="sk-SK"/>
                          </w:rPr>
                          <w:t xml:space="preserve"> </w:t>
                        </w:r>
                        <w:r>
                          <w:rPr>
                            <w:rFonts w:ascii="Times New Roman" w:hAnsi="Times New Roman"/>
                            <w:lang w:val="sk-SK" w:eastAsia="sk-SK"/>
                          </w:rPr>
                          <w:t>úverom, pôžičkou, návratnou finančnou výpomocou a finančným prenájmom (650)</w:t>
                        </w:r>
                        <w:r>
                          <w:rPr>
                            <w:rFonts w:ascii="Times New Roman" w:hAnsi="Times New Roman"/>
                            <w:vertAlign w:val="superscript"/>
                            <w:lang w:val="sk-SK" w:eastAsia="sk-SK"/>
                          </w:rPr>
                          <w:t>2</w:t>
                        </w:r>
                      </w:p>
                    </w:tc>
                    <w:tc>
                      <w:tcPr>
                        <w:tcW w:w="739"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5"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rPr>
                            <w:rFonts w:ascii="Times New Roman" w:hAnsi="Times New Roman"/>
                            <w:lang w:val="sk-SK" w:eastAsia="sk-SK"/>
                          </w:rPr>
                        </w:pP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A952F0">
                        <w:pPr>
                          <w:bidi w:val="0"/>
                          <w:spacing w:after="0" w:line="240" w:lineRule="auto"/>
                        </w:pPr>
                        <w:r>
                          <w:rPr>
                            <w:rFonts w:ascii="Times New Roman" w:hAnsi="Times New Roman"/>
                            <w:b/>
                            <w:bCs/>
                            <w:lang w:val="sk-SK" w:eastAsia="sk-SK"/>
                          </w:rPr>
                          <w:t>Kapitálové výdavky (700)</w:t>
                        </w:r>
                      </w:p>
                    </w:tc>
                    <w:tc>
                      <w:tcPr>
                        <w:tcW w:w="739"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b/>
                            <w:bCs/>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b/>
                            <w:bCs/>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b/>
                            <w:bCs/>
                            <w:lang w:val="sk-SK" w:eastAsia="sk-SK"/>
                          </w:rPr>
                        </w:pPr>
                      </w:p>
                    </w:tc>
                    <w:tc>
                      <w:tcPr>
                        <w:tcW w:w="1545"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b/>
                            <w:bCs/>
                            <w:lang w:val="sk-SK" w:eastAsia="sk-SK"/>
                          </w:rPr>
                        </w:pP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pPr>
                        <w:r>
                          <w:rPr>
                            <w:rFonts w:ascii="Times New Roman" w:hAnsi="Times New Roman"/>
                            <w:lang w:val="sk-SK" w:eastAsia="sk-SK"/>
                          </w:rPr>
                          <w:t> </w:t>
                        </w: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A952F0">
                        <w:pPr>
                          <w:bidi w:val="0"/>
                          <w:spacing w:after="0" w:line="240" w:lineRule="auto"/>
                        </w:pPr>
                        <w:r>
                          <w:rPr>
                            <w:rFonts w:ascii="Times New Roman" w:hAnsi="Times New Roman"/>
                            <w:lang w:val="sk-SK" w:eastAsia="sk-SK"/>
                          </w:rPr>
                          <w:t xml:space="preserve">  Obstarávanie kapitálových aktív (710)</w:t>
                        </w:r>
                        <w:r>
                          <w:rPr>
                            <w:rFonts w:ascii="Times New Roman" w:hAnsi="Times New Roman"/>
                            <w:vertAlign w:val="superscript"/>
                            <w:lang w:val="sk-SK" w:eastAsia="sk-SK"/>
                          </w:rPr>
                          <w:t>2</w:t>
                        </w:r>
                      </w:p>
                    </w:tc>
                    <w:tc>
                      <w:tcPr>
                        <w:tcW w:w="739"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pPr>
                        <w:r>
                          <w:rPr>
                            <w:rFonts w:ascii="Times New Roman" w:hAnsi="Times New Roman"/>
                            <w:lang w:val="sk-SK" w:eastAsia="sk-SK"/>
                          </w:rPr>
                          <w:t>5 440 000</w:t>
                        </w: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pPr>
                        <w:r>
                          <w:rPr>
                            <w:rFonts w:ascii="Times New Roman" w:hAnsi="Times New Roman"/>
                            <w:lang w:val="sk-SK" w:eastAsia="sk-SK"/>
                          </w:rPr>
                          <w:t>28 660 000</w:t>
                        </w:r>
                      </w:p>
                    </w:tc>
                    <w:tc>
                      <w:tcPr>
                        <w:tcW w:w="1545"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pPr>
                        <w:r>
                          <w:rPr>
                            <w:rFonts w:ascii="Times New Roman" w:hAnsi="Times New Roman"/>
                            <w:lang w:val="sk-SK" w:eastAsia="sk-SK"/>
                          </w:rPr>
                          <w:t>4 100 000</w:t>
                        </w: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pPr>
                        <w:r>
                          <w:rPr>
                            <w:rFonts w:ascii="Times New Roman" w:hAnsi="Times New Roman"/>
                            <w:lang w:val="sk-SK" w:eastAsia="sk-SK"/>
                          </w:rPr>
                          <w:t> </w:t>
                        </w: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A952F0">
                        <w:pPr>
                          <w:bidi w:val="0"/>
                          <w:spacing w:after="0" w:line="240" w:lineRule="auto"/>
                        </w:pPr>
                        <w:r>
                          <w:rPr>
                            <w:rFonts w:ascii="Times New Roman" w:hAnsi="Times New Roman"/>
                            <w:lang w:val="sk-SK" w:eastAsia="sk-SK"/>
                          </w:rPr>
                          <w:t xml:space="preserve">  Kapitálové transfery (720)</w:t>
                        </w:r>
                        <w:r>
                          <w:rPr>
                            <w:rFonts w:ascii="Times New Roman" w:hAnsi="Times New Roman"/>
                            <w:vertAlign w:val="superscript"/>
                            <w:lang w:val="sk-SK" w:eastAsia="sk-SK"/>
                          </w:rPr>
                          <w:t>2</w:t>
                        </w:r>
                      </w:p>
                    </w:tc>
                    <w:tc>
                      <w:tcPr>
                        <w:tcW w:w="739"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1545" w:type="dxa"/>
                        <w:tcBorders>
                          <w:top w:val="single" w:sz="4" w:space="0" w:color="00000A"/>
                          <w:left w:val="single" w:sz="4" w:space="0" w:color="00000A"/>
                          <w:bottom w:val="single" w:sz="4" w:space="0" w:color="00000A"/>
                          <w:right w:val="single" w:sz="4" w:space="0" w:color="00000A"/>
                        </w:tcBorders>
                        <w:textDirection w:val="lrTb"/>
                        <w:vAlign w:val="top"/>
                      </w:tcPr>
                      <w:p w:rsidR="00A952F0">
                        <w:pPr>
                          <w:bidi w:val="0"/>
                          <w:spacing w:after="0" w:line="240" w:lineRule="auto"/>
                          <w:jc w:val="center"/>
                          <w:rPr>
                            <w:rFonts w:ascii="Times New Roman" w:hAnsi="Times New Roman"/>
                            <w:lang w:val="sk-SK" w:eastAsia="sk-SK"/>
                          </w:rPr>
                        </w:pP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pPr>
                        <w:r>
                          <w:rPr>
                            <w:rFonts w:ascii="Times New Roman" w:hAnsi="Times New Roman"/>
                            <w:lang w:val="sk-SK" w:eastAsia="sk-SK"/>
                          </w:rPr>
                          <w:t> </w:t>
                        </w: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A952F0">
                        <w:pPr>
                          <w:bidi w:val="0"/>
                          <w:spacing w:after="0" w:line="240" w:lineRule="auto"/>
                        </w:pPr>
                        <w:r>
                          <w:rPr>
                            <w:rFonts w:ascii="Times New Roman" w:hAnsi="Times New Roman"/>
                            <w:b/>
                            <w:bCs/>
                            <w:lang w:val="sk-SK" w:eastAsia="sk-SK"/>
                          </w:rPr>
                          <w:t>Výdavky z transakcií s finančnými aktívami a finančnými pasívami (800)</w:t>
                        </w:r>
                      </w:p>
                    </w:tc>
                    <w:tc>
                      <w:tcPr>
                        <w:tcW w:w="739" w:type="dxa"/>
                        <w:tcBorders>
                          <w:top w:val="single" w:sz="4" w:space="0" w:color="00000A"/>
                          <w:left w:val="single" w:sz="4" w:space="0" w:color="00000A"/>
                          <w:bottom w:val="single" w:sz="4" w:space="0" w:color="00000A"/>
                          <w:right w:val="single" w:sz="4" w:space="0" w:color="00000A"/>
                        </w:tcBorders>
                        <w:shd w:val="clear" w:color="auto" w:fill="FFFFFF"/>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shd w:val="clear" w:color="auto" w:fill="FFFFFF"/>
                        <w:textDirection w:val="lrTb"/>
                        <w:vAlign w:val="top"/>
                      </w:tcPr>
                      <w:p w:rsidR="00A952F0">
                        <w:pPr>
                          <w:bidi w:val="0"/>
                          <w:spacing w:after="0" w:line="240" w:lineRule="auto"/>
                          <w:jc w:val="center"/>
                          <w:rPr>
                            <w:rFonts w:ascii="Times New Roman" w:hAnsi="Times New Roman"/>
                            <w:lang w:val="sk-SK" w:eastAsia="sk-SK"/>
                          </w:rPr>
                        </w:pPr>
                      </w:p>
                    </w:tc>
                    <w:tc>
                      <w:tcPr>
                        <w:tcW w:w="1540" w:type="dxa"/>
                        <w:tcBorders>
                          <w:top w:val="single" w:sz="4" w:space="0" w:color="00000A"/>
                          <w:left w:val="single" w:sz="4" w:space="0" w:color="00000A"/>
                          <w:bottom w:val="single" w:sz="4" w:space="0" w:color="00000A"/>
                          <w:right w:val="single" w:sz="4" w:space="0" w:color="00000A"/>
                        </w:tcBorders>
                        <w:shd w:val="clear" w:color="auto" w:fill="FFFFFF"/>
                        <w:textDirection w:val="lrTb"/>
                        <w:vAlign w:val="top"/>
                      </w:tcPr>
                      <w:p w:rsidR="00A952F0">
                        <w:pPr>
                          <w:bidi w:val="0"/>
                          <w:spacing w:after="0" w:line="240" w:lineRule="auto"/>
                          <w:jc w:val="center"/>
                        </w:pPr>
                        <w:r>
                          <w:rPr>
                            <w:rFonts w:ascii="Times New Roman" w:hAnsi="Times New Roman"/>
                            <w:lang w:val="sk-SK" w:eastAsia="sk-SK"/>
                          </w:rPr>
                          <w:t> </w:t>
                        </w:r>
                      </w:p>
                    </w:tc>
                    <w:tc>
                      <w:tcPr>
                        <w:tcW w:w="1545" w:type="dxa"/>
                        <w:tcBorders>
                          <w:top w:val="single" w:sz="4" w:space="0" w:color="00000A"/>
                          <w:left w:val="single" w:sz="4" w:space="0" w:color="00000A"/>
                          <w:bottom w:val="single" w:sz="4" w:space="0" w:color="00000A"/>
                          <w:right w:val="single" w:sz="4" w:space="0" w:color="00000A"/>
                        </w:tcBorders>
                        <w:shd w:val="clear" w:color="auto" w:fill="FFFFFF"/>
                        <w:textDirection w:val="lrTb"/>
                        <w:vAlign w:val="top"/>
                      </w:tcPr>
                      <w:p w:rsidR="00A952F0">
                        <w:pPr>
                          <w:bidi w:val="0"/>
                          <w:spacing w:after="0" w:line="240" w:lineRule="auto"/>
                          <w:jc w:val="center"/>
                        </w:pPr>
                        <w:r>
                          <w:rPr>
                            <w:rFonts w:ascii="Times New Roman" w:hAnsi="Times New Roman"/>
                            <w:lang w:val="sk-SK" w:eastAsia="sk-SK"/>
                          </w:rPr>
                          <w:t> </w:t>
                        </w:r>
                      </w:p>
                    </w:tc>
                    <w:tc>
                      <w:tcPr>
                        <w:tcW w:w="2856" w:type="dxa"/>
                        <w:tcBorders>
                          <w:top w:val="single" w:sz="4" w:space="0" w:color="00000A"/>
                          <w:left w:val="single" w:sz="4" w:space="0" w:color="00000A"/>
                          <w:bottom w:val="single" w:sz="4" w:space="0" w:color="00000A"/>
                          <w:right w:val="single" w:sz="4" w:space="0" w:color="00000A"/>
                        </w:tcBorders>
                        <w:textDirection w:val="lrTb"/>
                        <w:vAlign w:val="bottom"/>
                      </w:tcPr>
                      <w:p w:rsidR="00A952F0">
                        <w:pPr>
                          <w:bidi w:val="0"/>
                          <w:spacing w:after="0" w:line="240" w:lineRule="auto"/>
                        </w:pPr>
                        <w:r>
                          <w:rPr>
                            <w:rFonts w:ascii="Times New Roman" w:hAnsi="Times New Roman"/>
                            <w:lang w:val="sk-SK" w:eastAsia="sk-SK"/>
                          </w:rPr>
                          <w:t> </w:t>
                        </w:r>
                      </w:p>
                    </w:tc>
                  </w:tr>
                  <w:tr>
                    <w:tblPrEx>
                      <w:tblW w:w="14879" w:type="dxa"/>
                      <w:tblInd w:w="64" w:type="dxa"/>
                      <w:tblCellMar>
                        <w:left w:w="60" w:type="dxa"/>
                        <w:right w:w="70" w:type="dxa"/>
                      </w:tblCellMar>
                    </w:tblPrEx>
                    <w:trPr>
                      <w:trHeight w:val="255"/>
                    </w:trPr>
                    <w:tc>
                      <w:tcPr>
                        <w:tcW w:w="6658"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A952F0">
                        <w:pPr>
                          <w:bidi w:val="0"/>
                          <w:spacing w:after="0" w:line="240" w:lineRule="auto"/>
                        </w:pPr>
                        <w:r>
                          <w:rPr>
                            <w:rFonts w:ascii="Times New Roman" w:hAnsi="Times New Roman"/>
                            <w:b/>
                            <w:bCs/>
                            <w:lang w:val="sk-SK" w:eastAsia="sk-SK"/>
                          </w:rPr>
                          <w:t>Dopad na výdavky verejnej správy celkom</w:t>
                        </w:r>
                      </w:p>
                    </w:tc>
                    <w:tc>
                      <w:tcPr>
                        <w:tcW w:w="739"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center"/>
                      </w:tcPr>
                      <w:p w:rsidR="00A952F0">
                        <w:pPr>
                          <w:bidi w:val="0"/>
                          <w:spacing w:after="0" w:line="240" w:lineRule="auto"/>
                          <w:jc w:val="right"/>
                        </w:pPr>
                        <w:r>
                          <w:rPr>
                            <w:rFonts w:ascii="Times New Roman" w:hAnsi="Times New Roman"/>
                            <w:b/>
                            <w:color w:val="000000"/>
                            <w:lang w:val="sk-SK"/>
                          </w:rPr>
                          <w:t>0</w:t>
                        </w:r>
                      </w:p>
                    </w:tc>
                    <w:tc>
                      <w:tcPr>
                        <w:tcW w:w="1540"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bottom"/>
                      </w:tcPr>
                      <w:p w:rsidR="00A952F0">
                        <w:pPr>
                          <w:widowControl/>
                          <w:bidi w:val="0"/>
                          <w:spacing w:after="0" w:line="240" w:lineRule="auto"/>
                          <w:jc w:val="right"/>
                        </w:pPr>
                        <w:r>
                          <w:rPr>
                            <w:rFonts w:ascii="Times New Roman" w:hAnsi="Times New Roman"/>
                            <w:b/>
                            <w:color w:val="000000"/>
                          </w:rPr>
                          <w:t>24 926 521,51</w:t>
                        </w:r>
                      </w:p>
                    </w:tc>
                    <w:tc>
                      <w:tcPr>
                        <w:tcW w:w="1540"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bottom"/>
                      </w:tcPr>
                      <w:p w:rsidR="00A952F0">
                        <w:pPr>
                          <w:bidi w:val="0"/>
                          <w:spacing w:after="0" w:line="240" w:lineRule="auto"/>
                          <w:jc w:val="right"/>
                        </w:pPr>
                        <w:r>
                          <w:rPr>
                            <w:rFonts w:ascii="Times New Roman" w:hAnsi="Times New Roman"/>
                            <w:b/>
                            <w:color w:val="000000"/>
                          </w:rPr>
                          <w:t>55 347 613,51</w:t>
                        </w:r>
                      </w:p>
                    </w:tc>
                    <w:tc>
                      <w:tcPr>
                        <w:tcW w:w="1545"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bottom"/>
                      </w:tcPr>
                      <w:p w:rsidR="00A952F0">
                        <w:pPr>
                          <w:bidi w:val="0"/>
                          <w:spacing w:after="0" w:line="240" w:lineRule="auto"/>
                          <w:jc w:val="right"/>
                        </w:pPr>
                        <w:r>
                          <w:rPr>
                            <w:rFonts w:ascii="Times New Roman" w:hAnsi="Times New Roman"/>
                            <w:b/>
                            <w:color w:val="000000"/>
                          </w:rPr>
                          <w:t>35 481 017,51</w:t>
                        </w:r>
                      </w:p>
                    </w:tc>
                    <w:tc>
                      <w:tcPr>
                        <w:tcW w:w="2856"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bottom"/>
                      </w:tcPr>
                      <w:p w:rsidR="00A952F0">
                        <w:pPr>
                          <w:bidi w:val="0"/>
                          <w:spacing w:after="0" w:line="240" w:lineRule="auto"/>
                        </w:pPr>
                        <w:r>
                          <w:rPr>
                            <w:rFonts w:ascii="Times New Roman" w:hAnsi="Times New Roman"/>
                            <w:lang w:val="sk-SK" w:eastAsia="sk-SK"/>
                          </w:rPr>
                          <w:t> </w:t>
                        </w:r>
                      </w:p>
                    </w:tc>
                  </w:tr>
                </w:tbl>
                <w:p w:rsidR="00A952F0">
                  <w:pPr>
                    <w:pStyle w:val="FrameContents"/>
                    <w:bidi w:val="0"/>
                  </w:pPr>
                </w:p>
              </w:txbxContent>
            </v:textbox>
            <w10:wrap type="square"/>
          </v:rect>
        </w:pict>
      </w:r>
      <w:r w:rsidR="004F79A6">
        <w:rPr>
          <w:rFonts w:ascii="Times New Roman" w:hAnsi="Times New Roman"/>
          <w:bCs/>
          <w:sz w:val="20"/>
          <w:szCs w:val="20"/>
          <w:lang w:val="sk-SK" w:eastAsia="sk-SK"/>
        </w:rPr>
        <w:t xml:space="preserve">       2 -  výdavky rozpísať až do položiek platnej ekonomickej klasifikácie</w:t>
      </w:r>
    </w:p>
    <w:p w:rsidR="00D056F8">
      <w:pPr>
        <w:tabs>
          <w:tab w:val="left" w:pos="1080"/>
        </w:tabs>
        <w:bidi w:val="0"/>
        <w:spacing w:after="0" w:line="240" w:lineRule="auto"/>
        <w:ind w:left="-900"/>
        <w:jc w:val="both"/>
        <w:rPr>
          <w:rFonts w:ascii="Times New Roman" w:hAnsi="Times New Roman"/>
          <w:bCs/>
          <w:sz w:val="24"/>
          <w:szCs w:val="20"/>
          <w:lang w:val="sk-SK" w:eastAsia="sk-SK"/>
        </w:rPr>
      </w:pPr>
    </w:p>
    <w:p w:rsidR="00D056F8">
      <w:pPr>
        <w:tabs>
          <w:tab w:val="left" w:pos="1080"/>
        </w:tabs>
        <w:bidi w:val="0"/>
        <w:spacing w:after="0" w:line="240" w:lineRule="auto"/>
        <w:ind w:left="-900"/>
        <w:jc w:val="both"/>
        <w:rPr>
          <w:rFonts w:ascii="Times New Roman" w:hAnsi="Times New Roman"/>
          <w:bCs/>
          <w:sz w:val="20"/>
          <w:szCs w:val="20"/>
          <w:lang w:val="sk-SK" w:eastAsia="sk-SK"/>
        </w:rPr>
      </w:pPr>
      <w:r w:rsidR="004F79A6">
        <w:rPr>
          <w:rFonts w:ascii="Times New Roman" w:hAnsi="Times New Roman"/>
          <w:b/>
          <w:bCs/>
          <w:sz w:val="24"/>
          <w:szCs w:val="20"/>
          <w:lang w:val="sk-SK" w:eastAsia="sk-SK"/>
        </w:rPr>
        <w:t xml:space="preserve">Poznámka: </w:t>
      </w:r>
      <w:r w:rsidR="004F79A6">
        <w:rPr>
          <w:rFonts w:ascii="Times New Roman" w:hAnsi="Times New Roman"/>
          <w:bCs/>
          <w:sz w:val="24"/>
          <w:szCs w:val="20"/>
          <w:lang w:val="sk-SK" w:eastAsia="sk-SK"/>
        </w:rPr>
        <w:t>Ak sa vplyv týka viacerých subjektov verejnej správy, vypĺňa sa samostatná tabuľka za každý subjekt.</w:t>
      </w:r>
    </w:p>
    <w:p w:rsidR="00D056F8">
      <w:pPr>
        <w:tabs>
          <w:tab w:val="left" w:pos="1080"/>
        </w:tabs>
        <w:bidi w:val="0"/>
        <w:spacing w:after="0" w:line="240" w:lineRule="auto"/>
        <w:ind w:left="-900"/>
        <w:jc w:val="both"/>
        <w:rPr>
          <w:rFonts w:ascii="Times New Roman" w:hAnsi="Times New Roman"/>
          <w:bCs/>
          <w:sz w:val="20"/>
          <w:szCs w:val="20"/>
          <w:lang w:val="sk-SK" w:eastAsia="sk-SK"/>
        </w:rPr>
      </w:pPr>
    </w:p>
    <w:p w:rsidR="00D056F8">
      <w:pPr>
        <w:tabs>
          <w:tab w:val="left" w:pos="1080"/>
        </w:tabs>
        <w:bidi w:val="0"/>
        <w:spacing w:after="0" w:line="240" w:lineRule="auto"/>
        <w:ind w:left="-900"/>
        <w:jc w:val="both"/>
        <w:rPr>
          <w:rFonts w:ascii="Times New Roman" w:hAnsi="Times New Roman"/>
          <w:bCs/>
          <w:sz w:val="20"/>
          <w:szCs w:val="20"/>
          <w:lang w:val="sk-SK" w:eastAsia="sk-SK"/>
        </w:rPr>
      </w:pPr>
    </w:p>
    <w:p w:rsidR="00D056F8">
      <w:pPr>
        <w:tabs>
          <w:tab w:val="left" w:pos="1080"/>
        </w:tabs>
        <w:bidi w:val="0"/>
        <w:spacing w:after="0" w:line="240" w:lineRule="auto"/>
        <w:ind w:left="-900"/>
        <w:jc w:val="both"/>
        <w:rPr>
          <w:rFonts w:ascii="Times New Roman" w:hAnsi="Times New Roman"/>
          <w:bCs/>
          <w:sz w:val="20"/>
          <w:szCs w:val="20"/>
          <w:lang w:val="sk-SK" w:eastAsia="sk-SK"/>
        </w:rPr>
      </w:pPr>
    </w:p>
    <w:p w:rsidR="00D056F8">
      <w:pPr>
        <w:tabs>
          <w:tab w:val="left" w:pos="1080"/>
        </w:tabs>
        <w:bidi w:val="0"/>
        <w:spacing w:after="0" w:line="240" w:lineRule="auto"/>
        <w:jc w:val="right"/>
        <w:rPr>
          <w:rFonts w:ascii="Times New Roman" w:hAnsi="Times New Roman"/>
          <w:bCs/>
          <w:sz w:val="24"/>
          <w:szCs w:val="24"/>
          <w:lang w:val="sk-SK" w:eastAsia="sk-SK"/>
        </w:rPr>
      </w:pPr>
      <w:r w:rsidR="004F79A6">
        <w:rPr>
          <w:rFonts w:ascii="Times New Roman" w:hAnsi="Times New Roman"/>
          <w:bCs/>
          <w:sz w:val="24"/>
          <w:szCs w:val="24"/>
          <w:lang w:val="sk-SK" w:eastAsia="sk-SK"/>
        </w:rPr>
        <w:t xml:space="preserve">                </w:t>
      </w:r>
    </w:p>
    <w:p w:rsidR="00D056F8">
      <w:pPr>
        <w:widowControl/>
        <w:bidi w:val="0"/>
        <w:rPr>
          <w:rFonts w:ascii="Times New Roman" w:hAnsi="Times New Roman"/>
          <w:bCs/>
          <w:sz w:val="24"/>
          <w:szCs w:val="24"/>
          <w:lang w:val="sk-SK" w:eastAsia="sk-SK"/>
        </w:rPr>
      </w:pPr>
      <w:r w:rsidR="004F79A6">
        <w:br w:type="page"/>
      </w:r>
    </w:p>
    <w:p w:rsidR="00D056F8">
      <w:pPr>
        <w:tabs>
          <w:tab w:val="left" w:pos="1080"/>
        </w:tabs>
        <w:bidi w:val="0"/>
        <w:spacing w:after="0" w:line="240" w:lineRule="auto"/>
        <w:jc w:val="right"/>
        <w:rPr>
          <w:rFonts w:ascii="Times New Roman" w:hAnsi="Times New Roman"/>
          <w:bCs/>
          <w:sz w:val="24"/>
          <w:szCs w:val="24"/>
          <w:lang w:val="sk-SK" w:eastAsia="sk-SK"/>
        </w:rPr>
      </w:pPr>
    </w:p>
    <w:p w:rsidR="00D056F8">
      <w:pPr>
        <w:tabs>
          <w:tab w:val="left" w:pos="1080"/>
        </w:tabs>
        <w:bidi w:val="0"/>
        <w:spacing w:after="0" w:line="240" w:lineRule="auto"/>
        <w:jc w:val="right"/>
        <w:rPr>
          <w:rFonts w:ascii="Times New Roman" w:hAnsi="Times New Roman"/>
          <w:bCs/>
          <w:sz w:val="24"/>
          <w:szCs w:val="24"/>
          <w:lang w:val="sk-SK" w:eastAsia="sk-SK"/>
        </w:rPr>
      </w:pPr>
      <w:r w:rsidR="004F79A6">
        <w:rPr>
          <w:rFonts w:ascii="Times New Roman" w:hAnsi="Times New Roman"/>
          <w:bCs/>
          <w:sz w:val="24"/>
          <w:szCs w:val="24"/>
          <w:lang w:val="sk-SK" w:eastAsia="sk-SK"/>
        </w:rPr>
        <w:t xml:space="preserve"> Tabuľka č. 5 </w:t>
      </w:r>
    </w:p>
    <w:p w:rsidR="00D056F8">
      <w:pPr>
        <w:tabs>
          <w:tab w:val="left" w:pos="1080"/>
        </w:tabs>
        <w:bidi w:val="0"/>
        <w:spacing w:after="0" w:line="240" w:lineRule="auto"/>
        <w:jc w:val="both"/>
        <w:rPr>
          <w:rFonts w:ascii="Times New Roman" w:hAnsi="Times New Roman"/>
          <w:bCs/>
          <w:sz w:val="24"/>
          <w:szCs w:val="20"/>
          <w:lang w:val="sk-SK" w:eastAsia="sk-SK"/>
        </w:rPr>
      </w:pPr>
    </w:p>
    <w:tbl>
      <w:tblPr>
        <w:tblStyle w:val="TableNormal"/>
        <w:tblW w:w="15434" w:type="dxa"/>
        <w:tblInd w:w="-7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Pr>
      <w:tblGrid>
        <w:gridCol w:w="6188"/>
        <w:gridCol w:w="1698"/>
        <w:gridCol w:w="1789"/>
        <w:gridCol w:w="720"/>
        <w:gridCol w:w="1698"/>
        <w:gridCol w:w="1722"/>
        <w:gridCol w:w="630"/>
        <w:gridCol w:w="989"/>
      </w:tblGrid>
      <w:tr>
        <w:tblPrEx>
          <w:tblW w:w="15434" w:type="dxa"/>
          <w:tblInd w:w="-7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0" w:type="dxa"/>
            <w:right w:w="70" w:type="dxa"/>
          </w:tblCellMar>
        </w:tblPrEx>
        <w:trPr>
          <w:cantSplit/>
          <w:trHeight w:val="255"/>
        </w:trPr>
        <w:tc>
          <w:tcPr>
            <w:tcW w:w="6187" w:type="dxa"/>
            <w:vMerge w:val="restart"/>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center"/>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Zamestnanosť</w:t>
            </w:r>
          </w:p>
        </w:tc>
        <w:tc>
          <w:tcPr>
            <w:tcW w:w="7627" w:type="dxa"/>
            <w:gridSpan w:val="5"/>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Vplyv na rozpočet verejnej správy</w:t>
            </w:r>
          </w:p>
        </w:tc>
        <w:tc>
          <w:tcPr>
            <w:tcW w:w="1619" w:type="dxa"/>
            <w:gridSpan w:val="2"/>
            <w:vMerge w:val="restart"/>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center"/>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poznámka</w:t>
            </w:r>
          </w:p>
        </w:tc>
      </w:tr>
      <w:tr>
        <w:tblPrEx>
          <w:tblW w:w="15434" w:type="dxa"/>
          <w:tblInd w:w="-789" w:type="dxa"/>
          <w:tblCellMar>
            <w:left w:w="60" w:type="dxa"/>
            <w:right w:w="70" w:type="dxa"/>
          </w:tblCellMar>
        </w:tblPrEx>
        <w:trPr>
          <w:cantSplit/>
          <w:trHeight w:val="255"/>
        </w:trPr>
        <w:tc>
          <w:tcPr>
            <w:tcW w:w="6187" w:type="dxa"/>
            <w:vMerge/>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center"/>
          </w:tcPr>
          <w:p w:rsidR="00D056F8">
            <w:pPr>
              <w:bidi w:val="0"/>
              <w:spacing w:after="0" w:line="240" w:lineRule="auto"/>
              <w:rPr>
                <w:rFonts w:ascii="Times New Roman" w:hAnsi="Times New Roman"/>
                <w:b/>
                <w:bCs/>
                <w:lang w:val="sk-SK" w:eastAsia="sk-SK"/>
              </w:rPr>
            </w:pPr>
          </w:p>
        </w:tc>
        <w:tc>
          <w:tcPr>
            <w:tcW w:w="1698"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2017</w:t>
            </w:r>
          </w:p>
        </w:tc>
        <w:tc>
          <w:tcPr>
            <w:tcW w:w="1789"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2018</w:t>
            </w:r>
          </w:p>
        </w:tc>
        <w:tc>
          <w:tcPr>
            <w:tcW w:w="2418" w:type="dxa"/>
            <w:gridSpan w:val="2"/>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2019</w:t>
            </w:r>
          </w:p>
        </w:tc>
        <w:tc>
          <w:tcPr>
            <w:tcW w:w="1722"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2020</w:t>
            </w:r>
          </w:p>
        </w:tc>
        <w:tc>
          <w:tcPr>
            <w:tcW w:w="1619" w:type="dxa"/>
            <w:gridSpan w:val="2"/>
            <w:vMerge/>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center"/>
          </w:tcPr>
          <w:p w:rsidR="00D056F8">
            <w:pPr>
              <w:bidi w:val="0"/>
              <w:spacing w:after="0" w:line="240" w:lineRule="auto"/>
              <w:rPr>
                <w:rFonts w:ascii="Times New Roman" w:hAnsi="Times New Roman"/>
                <w:b/>
                <w:bCs/>
                <w:color w:val="FFFFFF"/>
                <w:lang w:val="sk-SK" w:eastAsia="sk-SK"/>
              </w:rPr>
            </w:pPr>
          </w:p>
        </w:tc>
      </w:tr>
      <w:tr>
        <w:tblPrEx>
          <w:tblW w:w="15434" w:type="dxa"/>
          <w:tblInd w:w="-789" w:type="dxa"/>
          <w:tblCellMar>
            <w:left w:w="60" w:type="dxa"/>
            <w:right w:w="70" w:type="dxa"/>
          </w:tblCellMar>
        </w:tblPrEx>
        <w:trPr>
          <w:trHeight w:val="255"/>
        </w:trPr>
        <w:tc>
          <w:tcPr>
            <w:tcW w:w="6187"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Počet zamestnancov celkom</w:t>
            </w:r>
          </w:p>
        </w:tc>
        <w:tc>
          <w:tcPr>
            <w:tcW w:w="1698"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789"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2418" w:type="dxa"/>
            <w:gridSpan w:val="2"/>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722"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619"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 </w:t>
            </w:r>
          </w:p>
        </w:tc>
      </w:tr>
      <w:tr>
        <w:tblPrEx>
          <w:tblW w:w="15434" w:type="dxa"/>
          <w:tblInd w:w="-789" w:type="dxa"/>
          <w:tblCellMar>
            <w:left w:w="60" w:type="dxa"/>
            <w:right w:w="70" w:type="dxa"/>
          </w:tblCellMar>
        </w:tblPrEx>
        <w:trPr>
          <w:trHeight w:val="255"/>
        </w:trPr>
        <w:tc>
          <w:tcPr>
            <w:tcW w:w="6187"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 xml:space="preserve">   z toho vplyv na ŠR</w:t>
            </w:r>
          </w:p>
        </w:tc>
        <w:tc>
          <w:tcPr>
            <w:tcW w:w="1698"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789"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2418" w:type="dxa"/>
            <w:gridSpan w:val="2"/>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722"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619"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r>
      <w:tr>
        <w:tblPrEx>
          <w:tblW w:w="15434" w:type="dxa"/>
          <w:tblInd w:w="-789" w:type="dxa"/>
          <w:tblCellMar>
            <w:left w:w="60" w:type="dxa"/>
            <w:right w:w="70" w:type="dxa"/>
          </w:tblCellMar>
        </w:tblPrEx>
        <w:trPr>
          <w:trHeight w:val="255"/>
        </w:trPr>
        <w:tc>
          <w:tcPr>
            <w:tcW w:w="6187"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Priemerný mzdový výdavok (v eurách)</w:t>
            </w:r>
          </w:p>
        </w:tc>
        <w:tc>
          <w:tcPr>
            <w:tcW w:w="1698"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789"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2418" w:type="dxa"/>
            <w:gridSpan w:val="2"/>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722"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619"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 </w:t>
            </w:r>
          </w:p>
        </w:tc>
      </w:tr>
      <w:tr>
        <w:tblPrEx>
          <w:tblW w:w="15434" w:type="dxa"/>
          <w:tblInd w:w="-789" w:type="dxa"/>
          <w:tblCellMar>
            <w:left w:w="60" w:type="dxa"/>
            <w:right w:w="70" w:type="dxa"/>
          </w:tblCellMar>
        </w:tblPrEx>
        <w:trPr>
          <w:trHeight w:val="255"/>
        </w:trPr>
        <w:tc>
          <w:tcPr>
            <w:tcW w:w="6187"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lang w:val="sk-SK" w:eastAsia="sk-SK"/>
              </w:rPr>
            </w:pPr>
            <w:r w:rsidR="004F79A6">
              <w:rPr>
                <w:rFonts w:ascii="Times New Roman" w:hAnsi="Times New Roman"/>
                <w:b/>
                <w:bCs/>
                <w:lang w:val="sk-SK" w:eastAsia="sk-SK"/>
              </w:rPr>
              <w:t xml:space="preserve">   z toho vplyv na ŠR</w:t>
            </w:r>
          </w:p>
        </w:tc>
        <w:tc>
          <w:tcPr>
            <w:tcW w:w="1698"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r w:rsidR="004F79A6">
              <w:rPr>
                <w:rFonts w:ascii="Times New Roman" w:hAnsi="Times New Roman"/>
                <w:lang w:val="sk-SK" w:eastAsia="sk-SK"/>
              </w:rPr>
              <w:t> </w:t>
            </w:r>
          </w:p>
        </w:tc>
        <w:tc>
          <w:tcPr>
            <w:tcW w:w="1789"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r w:rsidR="004F79A6">
              <w:rPr>
                <w:rFonts w:ascii="Times New Roman" w:hAnsi="Times New Roman"/>
                <w:lang w:val="sk-SK" w:eastAsia="sk-SK"/>
              </w:rPr>
              <w:t> </w:t>
            </w:r>
          </w:p>
        </w:tc>
        <w:tc>
          <w:tcPr>
            <w:tcW w:w="2418" w:type="dxa"/>
            <w:gridSpan w:val="2"/>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r w:rsidR="004F79A6">
              <w:rPr>
                <w:rFonts w:ascii="Times New Roman" w:hAnsi="Times New Roman"/>
                <w:lang w:val="sk-SK" w:eastAsia="sk-SK"/>
              </w:rPr>
              <w:t> </w:t>
            </w:r>
          </w:p>
        </w:tc>
        <w:tc>
          <w:tcPr>
            <w:tcW w:w="1722"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r w:rsidR="004F79A6">
              <w:rPr>
                <w:rFonts w:ascii="Times New Roman" w:hAnsi="Times New Roman"/>
                <w:lang w:val="sk-SK" w:eastAsia="sk-SK"/>
              </w:rPr>
              <w:t> </w:t>
            </w:r>
          </w:p>
        </w:tc>
        <w:tc>
          <w:tcPr>
            <w:tcW w:w="1619"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 </w:t>
            </w:r>
          </w:p>
        </w:tc>
      </w:tr>
      <w:tr>
        <w:tblPrEx>
          <w:tblW w:w="15434" w:type="dxa"/>
          <w:tblInd w:w="-789" w:type="dxa"/>
          <w:tblCellMar>
            <w:left w:w="60" w:type="dxa"/>
            <w:right w:w="70" w:type="dxa"/>
          </w:tblCellMar>
        </w:tblPrEx>
        <w:trPr>
          <w:trHeight w:val="255"/>
        </w:trPr>
        <w:tc>
          <w:tcPr>
            <w:tcW w:w="6187" w:type="dxa"/>
            <w:tcBorders>
              <w:top w:val="single" w:sz="4" w:space="0" w:color="00000A"/>
              <w:left w:val="single" w:sz="4" w:space="0" w:color="00000A"/>
              <w:bottom w:val="single" w:sz="4" w:space="0" w:color="00000A"/>
              <w:right w:val="single" w:sz="4" w:space="0" w:color="00000A"/>
            </w:tcBorders>
            <w:shd w:val="clear" w:color="auto" w:fill="BFBFBF"/>
            <w:tcMar>
              <w:left w:w="60" w:type="dxa"/>
            </w:tcMar>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Osobné výdavky celkom (v eurách)</w:t>
            </w:r>
          </w:p>
        </w:tc>
        <w:tc>
          <w:tcPr>
            <w:tcW w:w="1698"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0</w:t>
            </w:r>
          </w:p>
        </w:tc>
        <w:tc>
          <w:tcPr>
            <w:tcW w:w="1789"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0</w:t>
            </w:r>
          </w:p>
        </w:tc>
        <w:tc>
          <w:tcPr>
            <w:tcW w:w="2418" w:type="dxa"/>
            <w:gridSpan w:val="2"/>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0</w:t>
            </w:r>
          </w:p>
        </w:tc>
        <w:tc>
          <w:tcPr>
            <w:tcW w:w="1722" w:type="dxa"/>
            <w:tcBorders>
              <w:top w:val="single" w:sz="4" w:space="0" w:color="00000A"/>
              <w:left w:val="single" w:sz="4" w:space="0" w:color="00000A"/>
              <w:bottom w:val="single" w:sz="4" w:space="0" w:color="00000A"/>
              <w:right w:val="single" w:sz="4" w:space="0" w:color="00000A"/>
            </w:tcBorders>
            <w:shd w:val="clear" w:color="auto" w:fill="BFBFBF"/>
            <w:textDirection w:val="lrTb"/>
            <w:vAlign w:val="top"/>
          </w:tcPr>
          <w:p w:rsidR="00D056F8">
            <w:pPr>
              <w:bidi w:val="0"/>
              <w:spacing w:after="0" w:line="240" w:lineRule="auto"/>
              <w:jc w:val="center"/>
              <w:rPr>
                <w:rFonts w:ascii="Times New Roman" w:hAnsi="Times New Roman"/>
                <w:b/>
                <w:bCs/>
                <w:lang w:val="sk-SK" w:eastAsia="sk-SK"/>
              </w:rPr>
            </w:pPr>
            <w:r w:rsidR="004F79A6">
              <w:rPr>
                <w:rFonts w:ascii="Times New Roman" w:hAnsi="Times New Roman"/>
                <w:b/>
                <w:bCs/>
                <w:lang w:val="sk-SK" w:eastAsia="sk-SK"/>
              </w:rPr>
              <w:t>0</w:t>
            </w:r>
          </w:p>
        </w:tc>
        <w:tc>
          <w:tcPr>
            <w:tcW w:w="1619" w:type="dxa"/>
            <w:gridSpan w:val="2"/>
            <w:tcBorders>
              <w:top w:val="single" w:sz="4" w:space="0" w:color="00000A"/>
              <w:left w:val="single" w:sz="4" w:space="0" w:color="00000A"/>
              <w:bottom w:val="single" w:sz="4" w:space="0" w:color="00000A"/>
              <w:right w:val="single" w:sz="4" w:space="0" w:color="00000A"/>
            </w:tcBorders>
            <w:shd w:val="clear" w:color="auto" w:fill="BFBFBF"/>
            <w:textDirection w:val="lrTb"/>
            <w:vAlign w:val="bottom"/>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 </w:t>
            </w:r>
          </w:p>
        </w:tc>
      </w:tr>
      <w:tr>
        <w:tblPrEx>
          <w:tblW w:w="15434" w:type="dxa"/>
          <w:tblInd w:w="-789" w:type="dxa"/>
          <w:tblCellMar>
            <w:left w:w="60" w:type="dxa"/>
            <w:right w:w="70" w:type="dxa"/>
          </w:tblCellMar>
        </w:tblPrEx>
        <w:trPr>
          <w:trHeight w:val="255"/>
        </w:trPr>
        <w:tc>
          <w:tcPr>
            <w:tcW w:w="6187"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Mzdy, platy, služobné príjmy a ostatné osobné vyrovnania (610)</w:t>
            </w:r>
          </w:p>
        </w:tc>
        <w:tc>
          <w:tcPr>
            <w:tcW w:w="1698"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789"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2418" w:type="dxa"/>
            <w:gridSpan w:val="2"/>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722"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619"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 </w:t>
            </w:r>
          </w:p>
        </w:tc>
      </w:tr>
      <w:tr>
        <w:tblPrEx>
          <w:tblW w:w="15434" w:type="dxa"/>
          <w:tblInd w:w="-789" w:type="dxa"/>
          <w:tblCellMar>
            <w:left w:w="60" w:type="dxa"/>
            <w:right w:w="70" w:type="dxa"/>
          </w:tblCellMar>
        </w:tblPrEx>
        <w:trPr>
          <w:trHeight w:val="255"/>
        </w:trPr>
        <w:tc>
          <w:tcPr>
            <w:tcW w:w="6187"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lang w:val="sk-SK" w:eastAsia="sk-SK"/>
              </w:rPr>
            </w:pPr>
            <w:r w:rsidR="004F79A6">
              <w:rPr>
                <w:rFonts w:ascii="Times New Roman" w:hAnsi="Times New Roman"/>
                <w:b/>
                <w:bCs/>
                <w:lang w:val="sk-SK" w:eastAsia="sk-SK"/>
              </w:rPr>
              <w:t xml:space="preserve">   z toho vplyv na ŠR</w:t>
            </w:r>
          </w:p>
        </w:tc>
        <w:tc>
          <w:tcPr>
            <w:tcW w:w="1698"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p>
        </w:tc>
        <w:tc>
          <w:tcPr>
            <w:tcW w:w="1789"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p>
        </w:tc>
        <w:tc>
          <w:tcPr>
            <w:tcW w:w="2418" w:type="dxa"/>
            <w:gridSpan w:val="2"/>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p>
        </w:tc>
        <w:tc>
          <w:tcPr>
            <w:tcW w:w="1722"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p>
        </w:tc>
        <w:tc>
          <w:tcPr>
            <w:tcW w:w="1619"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 </w:t>
            </w:r>
          </w:p>
        </w:tc>
      </w:tr>
      <w:tr>
        <w:tblPrEx>
          <w:tblW w:w="15434" w:type="dxa"/>
          <w:tblInd w:w="-789" w:type="dxa"/>
          <w:tblCellMar>
            <w:left w:w="60" w:type="dxa"/>
            <w:right w:w="70" w:type="dxa"/>
          </w:tblCellMar>
        </w:tblPrEx>
        <w:trPr>
          <w:trHeight w:val="255"/>
        </w:trPr>
        <w:tc>
          <w:tcPr>
            <w:tcW w:w="6187"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Poistné a príspevok do poisťovní (620)</w:t>
            </w:r>
          </w:p>
        </w:tc>
        <w:tc>
          <w:tcPr>
            <w:tcW w:w="1698"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789"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2418" w:type="dxa"/>
            <w:gridSpan w:val="2"/>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722"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b/>
                <w:bCs/>
                <w:lang w:val="sk-SK" w:eastAsia="sk-SK"/>
              </w:rPr>
            </w:pPr>
          </w:p>
        </w:tc>
        <w:tc>
          <w:tcPr>
            <w:tcW w:w="1619"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 </w:t>
            </w:r>
          </w:p>
        </w:tc>
      </w:tr>
      <w:tr>
        <w:tblPrEx>
          <w:tblW w:w="15434" w:type="dxa"/>
          <w:tblInd w:w="-789" w:type="dxa"/>
          <w:tblCellMar>
            <w:left w:w="60" w:type="dxa"/>
            <w:right w:w="70" w:type="dxa"/>
          </w:tblCellMar>
        </w:tblPrEx>
        <w:trPr>
          <w:trHeight w:val="255"/>
        </w:trPr>
        <w:tc>
          <w:tcPr>
            <w:tcW w:w="6187" w:type="dxa"/>
            <w:tcBorders>
              <w:top w:val="single" w:sz="4" w:space="0" w:color="00000A"/>
              <w:left w:val="single" w:sz="4" w:space="0" w:color="00000A"/>
              <w:bottom w:val="single" w:sz="4" w:space="0" w:color="00000A"/>
              <w:right w:val="single" w:sz="4" w:space="0" w:color="00000A"/>
            </w:tcBorders>
            <w:tcMar>
              <w:left w:w="60" w:type="dxa"/>
            </w:tcMar>
            <w:textDirection w:val="lrTb"/>
            <w:vAlign w:val="top"/>
          </w:tcPr>
          <w:p w:rsidR="00D056F8">
            <w:pPr>
              <w:bidi w:val="0"/>
              <w:spacing w:after="0" w:line="240" w:lineRule="auto"/>
              <w:rPr>
                <w:rFonts w:ascii="Times New Roman" w:hAnsi="Times New Roman"/>
                <w:lang w:val="sk-SK" w:eastAsia="sk-SK"/>
              </w:rPr>
            </w:pPr>
            <w:r w:rsidR="004F79A6">
              <w:rPr>
                <w:rFonts w:ascii="Times New Roman" w:hAnsi="Times New Roman"/>
                <w:b/>
                <w:bCs/>
                <w:lang w:val="sk-SK" w:eastAsia="sk-SK"/>
              </w:rPr>
              <w:t xml:space="preserve">   z toho vplyv na ŠR</w:t>
            </w:r>
          </w:p>
        </w:tc>
        <w:tc>
          <w:tcPr>
            <w:tcW w:w="1698"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p>
        </w:tc>
        <w:tc>
          <w:tcPr>
            <w:tcW w:w="1789"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p>
        </w:tc>
        <w:tc>
          <w:tcPr>
            <w:tcW w:w="2418" w:type="dxa"/>
            <w:gridSpan w:val="2"/>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p>
        </w:tc>
        <w:tc>
          <w:tcPr>
            <w:tcW w:w="1722"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jc w:val="center"/>
              <w:rPr>
                <w:rFonts w:ascii="Times New Roman" w:hAnsi="Times New Roman"/>
                <w:lang w:val="sk-SK" w:eastAsia="sk-SK"/>
              </w:rPr>
            </w:pPr>
          </w:p>
        </w:tc>
        <w:tc>
          <w:tcPr>
            <w:tcW w:w="1619"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 </w:t>
            </w:r>
          </w:p>
        </w:tc>
      </w:tr>
      <w:tr>
        <w:tblPrEx>
          <w:tblW w:w="15434" w:type="dxa"/>
          <w:tblInd w:w="-789" w:type="dxa"/>
          <w:tblCellMar>
            <w:left w:w="60" w:type="dxa"/>
            <w:right w:w="70" w:type="dxa"/>
          </w:tblCellMar>
        </w:tblPrEx>
        <w:trPr>
          <w:trHeight w:val="255"/>
        </w:trPr>
        <w:tc>
          <w:tcPr>
            <w:tcW w:w="6187" w:type="dxa"/>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c>
          <w:tcPr>
            <w:tcW w:w="1698" w:type="dxa"/>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c>
          <w:tcPr>
            <w:tcW w:w="1789" w:type="dxa"/>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c>
          <w:tcPr>
            <w:tcW w:w="2418"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c>
          <w:tcPr>
            <w:tcW w:w="1722" w:type="dxa"/>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c>
          <w:tcPr>
            <w:tcW w:w="1619"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r>
      <w:tr>
        <w:tblPrEx>
          <w:tblW w:w="15434" w:type="dxa"/>
          <w:tblInd w:w="-789" w:type="dxa"/>
          <w:tblCellMar>
            <w:left w:w="60" w:type="dxa"/>
            <w:right w:w="70" w:type="dxa"/>
          </w:tblCellMar>
        </w:tblPrEx>
        <w:trPr>
          <w:trHeight w:val="255"/>
        </w:trPr>
        <w:tc>
          <w:tcPr>
            <w:tcW w:w="6187" w:type="dxa"/>
            <w:tcBorders>
              <w:top w:val="single" w:sz="4" w:space="0" w:color="00000A"/>
              <w:left w:val="single" w:sz="4" w:space="0" w:color="00000A"/>
              <w:bottom w:val="single" w:sz="4" w:space="0" w:color="00000A"/>
              <w:right w:val="single" w:sz="4" w:space="0" w:color="00000A"/>
            </w:tcBorders>
            <w:textDirection w:val="lrTb"/>
            <w:vAlign w:val="top"/>
          </w:tcPr>
          <w:p w:rsidR="00D056F8">
            <w:pPr>
              <w:bidi w:val="0"/>
              <w:spacing w:after="0" w:line="240" w:lineRule="auto"/>
              <w:rPr>
                <w:rFonts w:ascii="Times New Roman" w:hAnsi="Times New Roman"/>
                <w:b/>
                <w:bCs/>
                <w:lang w:val="sk-SK" w:eastAsia="sk-SK"/>
              </w:rPr>
            </w:pPr>
            <w:r w:rsidR="004F79A6">
              <w:rPr>
                <w:rFonts w:ascii="Times New Roman" w:hAnsi="Times New Roman"/>
                <w:b/>
                <w:bCs/>
                <w:lang w:val="sk-SK" w:eastAsia="sk-SK"/>
              </w:rPr>
              <w:t>Poznámky:</w:t>
            </w:r>
          </w:p>
        </w:tc>
        <w:tc>
          <w:tcPr>
            <w:tcW w:w="1698" w:type="dxa"/>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c>
          <w:tcPr>
            <w:tcW w:w="1789" w:type="dxa"/>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c>
          <w:tcPr>
            <w:tcW w:w="2418"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c>
          <w:tcPr>
            <w:tcW w:w="1722" w:type="dxa"/>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c>
          <w:tcPr>
            <w:tcW w:w="1619"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r>
      <w:tr>
        <w:tblPrEx>
          <w:tblW w:w="15434" w:type="dxa"/>
          <w:tblInd w:w="-789" w:type="dxa"/>
          <w:tblCellMar>
            <w:left w:w="60" w:type="dxa"/>
            <w:right w:w="70" w:type="dxa"/>
          </w:tblCellMar>
        </w:tblPrEx>
        <w:trPr>
          <w:trHeight w:val="255"/>
        </w:trPr>
        <w:tc>
          <w:tcPr>
            <w:tcW w:w="13814" w:type="dxa"/>
            <w:gridSpan w:val="6"/>
            <w:tcBorders>
              <w:top w:val="single" w:sz="4" w:space="0" w:color="00000A"/>
              <w:left w:val="single" w:sz="4" w:space="0" w:color="00000A"/>
              <w:bottom w:val="single" w:sz="4" w:space="0" w:color="00000A"/>
              <w:right w:val="single" w:sz="4" w:space="0" w:color="00000A"/>
            </w:tcBorders>
            <w:textDirection w:val="lrTb"/>
            <w:vAlign w:val="top"/>
          </w:tcPr>
          <w:p w:rsidR="00D056F8">
            <w:pPr>
              <w:tabs>
                <w:tab w:val="left" w:pos="1080"/>
              </w:tabs>
              <w:bidi w:val="0"/>
              <w:spacing w:after="0" w:line="240" w:lineRule="auto"/>
              <w:jc w:val="both"/>
              <w:rPr>
                <w:rFonts w:ascii="Times New Roman" w:hAnsi="Times New Roman"/>
                <w:bCs/>
                <w:lang w:val="sk-SK" w:eastAsia="sk-SK"/>
              </w:rPr>
            </w:pPr>
            <w:r w:rsidR="004F79A6">
              <w:rPr>
                <w:rFonts w:ascii="Times New Roman" w:hAnsi="Times New Roman"/>
                <w:bCs/>
                <w:lang w:val="sk-SK"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Priemerný mzdový výdavok je tvorený podielom mzdových výdavkov na jedného zamestnanca na jeden kalendárny mesiac bežného roka.</w:t>
            </w:r>
          </w:p>
        </w:tc>
        <w:tc>
          <w:tcPr>
            <w:tcW w:w="1619"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r>
      <w:tr>
        <w:tblPrEx>
          <w:tblW w:w="15434" w:type="dxa"/>
          <w:tblInd w:w="-789" w:type="dxa"/>
          <w:tblCellMar>
            <w:left w:w="60" w:type="dxa"/>
            <w:right w:w="70" w:type="dxa"/>
          </w:tblCellMar>
        </w:tblPrEx>
        <w:trPr>
          <w:trHeight w:val="255"/>
        </w:trPr>
        <w:tc>
          <w:tcPr>
            <w:tcW w:w="10394" w:type="dxa"/>
            <w:gridSpan w:val="4"/>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r w:rsidR="004F79A6">
              <w:rPr>
                <w:rFonts w:ascii="Times New Roman" w:hAnsi="Times New Roman"/>
                <w:lang w:val="sk-SK" w:eastAsia="sk-SK"/>
              </w:rPr>
              <w:t>Kategórie 610 a 620 sú z tejto prílohy prenášané do príslušných kategórií prílohy „výdavky“.</w:t>
            </w:r>
          </w:p>
        </w:tc>
        <w:tc>
          <w:tcPr>
            <w:tcW w:w="1698" w:type="dxa"/>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c>
          <w:tcPr>
            <w:tcW w:w="2352" w:type="dxa"/>
            <w:gridSpan w:val="2"/>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c>
          <w:tcPr>
            <w:tcW w:w="989" w:type="dxa"/>
            <w:tcBorders>
              <w:top w:val="single" w:sz="4" w:space="0" w:color="00000A"/>
              <w:left w:val="single" w:sz="4" w:space="0" w:color="00000A"/>
              <w:bottom w:val="single" w:sz="4" w:space="0" w:color="00000A"/>
              <w:right w:val="single" w:sz="4" w:space="0" w:color="00000A"/>
            </w:tcBorders>
            <w:textDirection w:val="lrTb"/>
            <w:vAlign w:val="bottom"/>
          </w:tcPr>
          <w:p w:rsidR="00D056F8">
            <w:pPr>
              <w:bidi w:val="0"/>
              <w:spacing w:after="0" w:line="240" w:lineRule="auto"/>
              <w:rPr>
                <w:rFonts w:ascii="Times New Roman" w:hAnsi="Times New Roman"/>
                <w:lang w:val="sk-SK" w:eastAsia="sk-SK"/>
              </w:rPr>
            </w:pPr>
          </w:p>
        </w:tc>
      </w:tr>
    </w:tbl>
    <w:p w:rsidR="00D056F8">
      <w:pPr>
        <w:bidi w:val="0"/>
        <w:spacing w:after="0" w:line="240" w:lineRule="auto"/>
      </w:pPr>
    </w:p>
    <w:sectPr>
      <w:headerReference w:type="default" r:id="rId9"/>
      <w:footerReference w:type="default" r:id="rId10"/>
      <w:pgSz w:w="16838" w:h="11906" w:orient="landscape"/>
      <w:pgMar w:top="1418" w:right="1418" w:bottom="1418" w:left="1418" w:header="709" w:footer="709" w:gutter="0"/>
      <w:lnNumType w:distance="0"/>
      <w:cols w:space="708"/>
      <w:formProt w:val="0"/>
      <w:noEndnote w:val="0"/>
      <w:bidi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Liberation Sans">
    <w:altName w:val="Arial"/>
    <w:charset w:val="01"/>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1" w:csb1="00000000"/>
  </w:font>
  <w:font w:name="FreeSans">
    <w:altName w:val="Times New Roman"/>
    <w:charset w:val="00"/>
    <w:family w:val="auto"/>
    <w:pitch w:val="variable"/>
    <w:sig w:usb0="00000000" w:usb1="00000000" w:usb2="00000000" w:usb3="00000000" w:csb0="00000001" w:csb1="00000000"/>
  </w:font>
  <w:font w:name="Arial Narrow">
    <w:panose1 w:val="00000000000000000000"/>
    <w:charset w:val="EE"/>
    <w:family w:val="swiss"/>
    <w:pitch w:val="variable"/>
    <w:sig w:usb0="00000000" w:usb1="00000000" w:usb2="00000000" w:usb3="00000000" w:csb0="0000009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F0" w:rsidP="00957DF3">
    <w:pPr>
      <w:pStyle w:val="Footer"/>
      <w:bidi w:val="0"/>
      <w:jc w:val="right"/>
    </w:pPr>
    <w:r>
      <w:fldChar w:fldCharType="begin"/>
    </w:r>
    <w:r>
      <w:instrText>PAGE   \* MERGEFORMAT</w:instrText>
    </w:r>
    <w:r>
      <w:fldChar w:fldCharType="separate"/>
    </w:r>
    <w:r w:rsidRPr="009C1248" w:rsidR="009C1248">
      <w:rPr>
        <w:noProof/>
        <w:lang w:val="sk-SK"/>
      </w:rPr>
      <w:t>1</w:t>
    </w:r>
    <w:r>
      <w:fldChar w:fldCharType="end"/>
    </w:r>
  </w:p>
  <w:p w:rsidR="00A952F0">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F0" w:rsidP="00957DF3">
    <w:pPr>
      <w:pStyle w:val="Footer"/>
      <w:bidi w:val="0"/>
      <w:jc w:val="right"/>
    </w:pPr>
    <w:r>
      <w:fldChar w:fldCharType="begin"/>
    </w:r>
    <w:r>
      <w:instrText>PAGE   \* MERGEFORMAT</w:instrText>
    </w:r>
    <w:r>
      <w:fldChar w:fldCharType="separate"/>
    </w:r>
    <w:r w:rsidRPr="009C1248" w:rsidR="009C1248">
      <w:rPr>
        <w:noProof/>
        <w:lang w:val="sk-SK"/>
      </w:rPr>
      <w:t>14</w:t>
    </w:r>
    <w:r>
      <w:fldChar w:fldCharType="end"/>
    </w:r>
  </w:p>
  <w:p w:rsidR="00A952F0">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F0" w:rsidP="00957DF3">
    <w:pPr>
      <w:pStyle w:val="Footer"/>
      <w:bidi w:val="0"/>
      <w:jc w:val="right"/>
    </w:pPr>
    <w:r>
      <w:fldChar w:fldCharType="begin"/>
    </w:r>
    <w:r>
      <w:instrText>PAGE   \* MERGEFORMAT</w:instrText>
    </w:r>
    <w:r>
      <w:fldChar w:fldCharType="separate"/>
    </w:r>
    <w:r w:rsidRPr="009C1248" w:rsidR="009C1248">
      <w:rPr>
        <w:noProof/>
        <w:lang w:val="sk-SK"/>
      </w:rPr>
      <w:t>17</w:t>
    </w:r>
    <w:r>
      <w:fldChar w:fldCharType="end"/>
    </w:r>
  </w:p>
  <w:p w:rsidR="00A952F0">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F0">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2F0">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51189"/>
    <w:multiLevelType w:val="multilevel"/>
    <w:tmpl w:val="E1867CEE"/>
    <w:lvl w:ilvl="0">
      <w:start w:val="18"/>
      <w:numFmt w:val="bullet"/>
      <w:lvlText w:val="-"/>
      <w:lvlJc w:val="left"/>
      <w:pPr>
        <w:ind w:left="720" w:hanging="360"/>
      </w:pPr>
      <w:rPr>
        <w:rFonts w:ascii="Times New Roman" w:hAnsi="Times New Roman"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DD205F"/>
    <w:multiLevelType w:val="multilevel"/>
    <w:tmpl w:val="1C7ADDB2"/>
    <w:lvl w:ilvl="0">
      <w:start w:val="1"/>
      <w:numFmt w:val="upperLetter"/>
      <w:lvlText w:val="%1."/>
      <w:lvlJc w:val="left"/>
      <w:pPr>
        <w:ind w:left="720" w:hanging="360"/>
      </w:pPr>
      <w:rPr>
        <w:rFonts w:cs="Times New Roman"/>
        <w:b/>
        <w:color w:val="00000A"/>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DF16911"/>
    <w:multiLevelType w:val="multilevel"/>
    <w:tmpl w:val="231070C2"/>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3">
    <w:nsid w:val="40387281"/>
    <w:multiLevelType w:val="multilevel"/>
    <w:tmpl w:val="02B06FF6"/>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7FF5737"/>
    <w:multiLevelType w:val="multilevel"/>
    <w:tmpl w:val="430C7E26"/>
    <w:lvl w:ilvl="0">
      <w:start w:val="1"/>
      <w:numFmt w:val="upperLetter"/>
      <w:lvlText w:val="%1."/>
      <w:lvlJc w:val="left"/>
      <w:pPr>
        <w:ind w:left="720" w:hanging="360"/>
      </w:pPr>
      <w:rPr>
        <w:rFonts w:cs="Times New Roman"/>
        <w:b/>
        <w:color w:val="00000A"/>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52D3216B"/>
    <w:multiLevelType w:val="multilevel"/>
    <w:tmpl w:val="80DE54CA"/>
    <w:lvl w:ilvl="0">
      <w:start w:val="1"/>
      <w:numFmt w:val="bullet"/>
      <w:lvlText w:val="-"/>
      <w:lvlJc w:val="left"/>
      <w:pPr>
        <w:ind w:left="720" w:hanging="360"/>
      </w:pPr>
      <w:rPr>
        <w:rFonts w:ascii="Times New Roman" w:hAnsi="Times New Roman" w:hint="default"/>
        <w:b/>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C326E99"/>
    <w:multiLevelType w:val="multilevel"/>
    <w:tmpl w:val="73EE12A2"/>
    <w:lvl w:ilvl="0">
      <w:start w:val="4"/>
      <w:numFmt w:val="upperLetter"/>
      <w:lvlText w:val="%1."/>
      <w:lvlJc w:val="left"/>
      <w:pPr>
        <w:ind w:left="720" w:hanging="360"/>
      </w:pPr>
      <w:rPr>
        <w:rFonts w:cs="Times New Roman"/>
        <w:b/>
        <w:color w:val="00000A"/>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5"/>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compat/>
  <w:rsids>
    <w:rsidRoot w:val="00D056F8"/>
    <w:rsid w:val="002E0EC6"/>
    <w:rsid w:val="003A421E"/>
    <w:rsid w:val="004E7B36"/>
    <w:rsid w:val="004F79A6"/>
    <w:rsid w:val="0052628D"/>
    <w:rsid w:val="00541E8F"/>
    <w:rsid w:val="00877870"/>
    <w:rsid w:val="008C7A1C"/>
    <w:rsid w:val="008F3F94"/>
    <w:rsid w:val="00957DF3"/>
    <w:rsid w:val="00987FE6"/>
    <w:rsid w:val="009C1248"/>
    <w:rsid w:val="00A952F0"/>
    <w:rsid w:val="00B45A31"/>
    <w:rsid w:val="00C14AC3"/>
    <w:rsid w:val="00D056F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autoSpaceDE/>
      <w:autoSpaceDN/>
      <w:adjustRightInd/>
      <w:spacing w:after="200" w:line="276" w:lineRule="auto"/>
      <w:ind w:left="0" w:right="0"/>
      <w:jc w:val="left"/>
      <w:textAlignment w:val="auto"/>
    </w:pPr>
    <w:rPr>
      <w:rFonts w:ascii="Calibri" w:hAnsi="Calibri" w:cs="Times New Roman"/>
      <w:color w:val="00000A"/>
      <w:sz w:val="22"/>
      <w:szCs w:val="22"/>
      <w:rtl w:val="0"/>
      <w:cs w:val="0"/>
      <w:lang w:val="en-US" w:eastAsia="en-US" w:bidi="ar-SA"/>
    </w:rPr>
  </w:style>
  <w:style w:type="paragraph" w:styleId="Heading2">
    <w:name w:val="heading 2"/>
    <w:basedOn w:val="Normal"/>
    <w:link w:val="Nadpis2Char"/>
    <w:uiPriority w:val="9"/>
    <w:qFormat/>
    <w:locked/>
    <w:pPr>
      <w:keepNext/>
      <w:widowControl/>
      <w:spacing w:before="240" w:after="60" w:line="240" w:lineRule="auto"/>
      <w:jc w:val="left"/>
      <w:outlineLvl w:val="1"/>
    </w:pPr>
    <w:rPr>
      <w:rFonts w:ascii="Arial" w:hAnsi="Arial" w:cs="Arial"/>
      <w:b/>
      <w:bCs/>
      <w:i/>
      <w:iCs/>
      <w:color w:val="000000"/>
      <w:sz w:val="28"/>
      <w:szCs w:val="28"/>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qFormat/>
    <w:locked/>
    <w:rPr>
      <w:rFonts w:ascii="Arial" w:hAnsi="Arial" w:cs="Arial"/>
      <w:b/>
      <w:bCs/>
      <w:i/>
      <w:iCs/>
      <w:color w:val="000000"/>
      <w:sz w:val="28"/>
      <w:szCs w:val="28"/>
      <w:rtl w:val="0"/>
      <w:cs w:val="0"/>
    </w:rPr>
  </w:style>
  <w:style w:type="character" w:styleId="PlaceholderText">
    <w:name w:val="Placeholder Text"/>
    <w:basedOn w:val="DefaultParagraphFont"/>
    <w:uiPriority w:val="99"/>
    <w:qFormat/>
    <w:rPr>
      <w:rFonts w:ascii="Times New Roman" w:hAnsi="Times New Roman" w:cs="Times New Roman"/>
      <w:color w:val="808080"/>
      <w:rtl w:val="0"/>
      <w:cs w:val="0"/>
    </w:rPr>
  </w:style>
  <w:style w:type="character" w:customStyle="1" w:styleId="TextbublinyChar">
    <w:name w:val="Text bubliny Char"/>
    <w:basedOn w:val="DefaultParagraphFont"/>
    <w:link w:val="BalloonText"/>
    <w:uiPriority w:val="99"/>
    <w:semiHidden/>
    <w:qFormat/>
    <w:locked/>
    <w:rPr>
      <w:rFonts w:ascii="Tahoma" w:hAnsi="Tahoma" w:cs="Tahoma"/>
      <w:sz w:val="16"/>
      <w:szCs w:val="16"/>
      <w:rtl w:val="0"/>
      <w:cs w:val="0"/>
    </w:rPr>
  </w:style>
  <w:style w:type="character" w:customStyle="1" w:styleId="HlavikaChar">
    <w:name w:val="Hlavička Char"/>
    <w:basedOn w:val="DefaultParagraphFont"/>
    <w:link w:val="Header"/>
    <w:uiPriority w:val="99"/>
    <w:qFormat/>
    <w:locked/>
    <w:rPr>
      <w:rFonts w:ascii="Times New Roman" w:hAnsi="Times New Roman" w:cs="Times New Roman"/>
      <w:rtl w:val="0"/>
      <w:cs w:val="0"/>
    </w:rPr>
  </w:style>
  <w:style w:type="character" w:customStyle="1" w:styleId="PtaChar">
    <w:name w:val="Päta Char"/>
    <w:basedOn w:val="DefaultParagraphFont"/>
    <w:link w:val="Footer"/>
    <w:uiPriority w:val="99"/>
    <w:qFormat/>
    <w:locked/>
    <w:rPr>
      <w:rFonts w:ascii="Times New Roman" w:hAnsi="Times New Roman" w:cs="Times New Roman"/>
      <w:rtl w:val="0"/>
      <w:cs w:val="0"/>
    </w:rPr>
  </w:style>
  <w:style w:type="character" w:customStyle="1" w:styleId="ZkladntextChar">
    <w:name w:val="Základný text Char"/>
    <w:basedOn w:val="DefaultParagraphFont"/>
    <w:uiPriority w:val="99"/>
    <w:semiHidden/>
    <w:qFormat/>
    <w:locked/>
    <w:rPr>
      <w:rFonts w:ascii="Times New Roman" w:hAnsi="Times New Roman" w:cs="Times New Roman"/>
      <w:sz w:val="24"/>
      <w:szCs w:val="24"/>
      <w:rtl w:val="0"/>
      <w:cs w:val="0"/>
    </w:rPr>
  </w:style>
  <w:style w:type="character" w:customStyle="1" w:styleId="Zkladntext">
    <w:name w:val="Základný text_"/>
    <w:link w:val="Zkladntext1"/>
    <w:qFormat/>
    <w:locked/>
    <w:rPr>
      <w:sz w:val="23"/>
      <w:shd w:val="clear" w:color="auto" w:fill="FFFFFF"/>
    </w:rPr>
  </w:style>
  <w:style w:type="character" w:styleId="PageNumber">
    <w:name w:val="page number"/>
    <w:basedOn w:val="DefaultParagraphFont"/>
    <w:uiPriority w:val="99"/>
    <w:qFormat/>
    <w:rPr>
      <w:rFonts w:cs="Times New Roman"/>
      <w:rtl w:val="0"/>
      <w:cs w:val="0"/>
    </w:rPr>
  </w:style>
  <w:style w:type="character" w:customStyle="1" w:styleId="InternetLink">
    <w:name w:val="Internet Link"/>
    <w:basedOn w:val="DefaultParagraphFont"/>
    <w:uiPriority w:val="99"/>
    <w:unhideWhenUsed/>
    <w:rPr>
      <w:rFonts w:cs="Times New Roman"/>
      <w:color w:val="0000FF" w:themeColor="hlink" w:themeShade="FF"/>
      <w:u w:val="single"/>
      <w:rtl w:val="0"/>
      <w:cs w:val="0"/>
    </w:rPr>
  </w:style>
  <w:style w:type="character" w:customStyle="1" w:styleId="OdsekzoznamuChar">
    <w:name w:val="Odsek zoznamu Char"/>
    <w:link w:val="ListParagraph"/>
    <w:uiPriority w:val="34"/>
    <w:qFormat/>
    <w:locked/>
    <w:rPr>
      <w:rFonts w:ascii="Times New Roman" w:hAnsi="Times New Roman" w:cs="Times New Roman"/>
      <w:color w:val="000000"/>
      <w:sz w:val="24"/>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rPr>
      <w:rFonts w:eastAsia="Times New Roman"/>
    </w:rPr>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rPr>
      <w:rFonts w:eastAsia="Times New Roman"/>
      <w:b/>
      <w:sz w:val="22"/>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rPr>
      <w:color w:val="00000A"/>
    </w:rPr>
  </w:style>
  <w:style w:type="character" w:customStyle="1" w:styleId="ListLabel46">
    <w:name w:val="ListLabel 46"/>
    <w:qFormat/>
    <w:rPr>
      <w:b/>
      <w:color w:val="00000A"/>
      <w:sz w:val="22"/>
    </w:rPr>
  </w:style>
  <w:style w:type="character" w:customStyle="1" w:styleId="ListLabel47">
    <w:name w:val="ListLabel 47"/>
    <w:qFormat/>
    <w:rPr>
      <w:b/>
      <w:color w:val="00000A"/>
      <w:sz w:val="22"/>
    </w:rPr>
  </w:style>
  <w:style w:type="character" w:customStyle="1" w:styleId="ListLabel48">
    <w:name w:val="ListLabel 48"/>
    <w:qFormat/>
    <w:rPr>
      <w:color w:val="00000A"/>
    </w:rPr>
  </w:style>
  <w:style w:type="character" w:customStyle="1" w:styleId="ListLabel49">
    <w:name w:val="ListLabel 49"/>
    <w:qFormat/>
    <w:rPr>
      <w:b/>
      <w:color w:val="00000A"/>
      <w:sz w:val="22"/>
    </w:rPr>
  </w:style>
  <w:style w:type="character" w:customStyle="1" w:styleId="ListLabel50">
    <w:name w:val="ListLabel 50"/>
    <w:qFormat/>
    <w:rPr>
      <w:rFonts w:eastAsia="Times New Roman"/>
      <w:b/>
      <w:sz w:val="20"/>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rPr>
      <w:color w:val="00000A"/>
    </w:rPr>
  </w:style>
  <w:style w:type="character" w:customStyle="1" w:styleId="ListLabel55">
    <w:name w:val="ListLabel 55"/>
    <w:qFormat/>
    <w:rPr>
      <w:sz w:val="22"/>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rPr>
      <w:b/>
      <w:sz w:val="22"/>
    </w:rPr>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rPr>
      <w:b/>
      <w:color w:val="00000A"/>
      <w:sz w:val="22"/>
    </w:rPr>
  </w:style>
  <w:style w:type="character" w:customStyle="1" w:styleId="ListLabel74">
    <w:name w:val="ListLabel 74"/>
    <w:qFormat/>
    <w:rPr>
      <w:b/>
      <w:color w:val="00000A"/>
      <w:sz w:val="22"/>
    </w:rPr>
  </w:style>
  <w:style w:type="character" w:customStyle="1" w:styleId="ListLabel75">
    <w:name w:val="ListLabel 75"/>
    <w:qFormat/>
    <w:rPr>
      <w:b/>
      <w:color w:val="00000A"/>
      <w:sz w:val="22"/>
    </w:rPr>
  </w:style>
  <w:style w:type="character" w:customStyle="1" w:styleId="ListLabel76">
    <w:name w:val="ListLabel 76"/>
    <w:qFormat/>
    <w:rPr>
      <w:b/>
      <w:sz w:val="20"/>
    </w:rPr>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style>
  <w:style w:type="character" w:customStyle="1" w:styleId="ListLabel83">
    <w:name w:val="ListLabel 83"/>
    <w:qFormat/>
  </w:style>
  <w:style w:type="character" w:customStyle="1" w:styleId="ListLabel84">
    <w:name w:val="ListLabel 84"/>
    <w:qFormat/>
  </w:style>
  <w:style w:type="paragraph" w:customStyle="1" w:styleId="Heading">
    <w:name w:val="Heading"/>
    <w:basedOn w:val="Normal"/>
    <w:next w:val="BodyText"/>
    <w:qFormat/>
    <w:pPr>
      <w:keepNext/>
      <w:spacing w:before="240" w:after="120"/>
      <w:jc w:val="left"/>
    </w:pPr>
    <w:rPr>
      <w:rFonts w:ascii="Liberation Sans" w:eastAsia="Noto Sans CJK SC Regular" w:hAnsi="Liberation Sans" w:cs="FreeSans"/>
      <w:sz w:val="28"/>
      <w:szCs w:val="28"/>
    </w:rPr>
  </w:style>
  <w:style w:type="paragraph" w:styleId="BodyText">
    <w:name w:val="Body Text"/>
    <w:basedOn w:val="Normal"/>
    <w:uiPriority w:val="99"/>
    <w:semiHidden/>
    <w:unhideWhenUsed/>
    <w:pPr>
      <w:spacing w:after="120" w:line="240" w:lineRule="auto"/>
      <w:jc w:val="left"/>
    </w:pPr>
    <w:rPr>
      <w:rFonts w:ascii="Times New Roman" w:hAnsi="Times New Roman"/>
      <w:sz w:val="24"/>
      <w:szCs w:val="24"/>
      <w:lang w:val="sk-SK" w:eastAsia="sk-SK"/>
    </w:rPr>
  </w:style>
  <w:style w:type="paragraph" w:styleId="List">
    <w:name w:val="List"/>
    <w:basedOn w:val="BodyText"/>
    <w:pPr>
      <w:spacing w:line="240" w:lineRule="auto"/>
      <w:jc w:val="left"/>
    </w:pPr>
    <w:rPr>
      <w:rFonts w:ascii="Times New Roman" w:hAnsi="Times New Roman" w:cs="FreeSans"/>
    </w:rPr>
  </w:style>
  <w:style w:type="paragraph" w:styleId="Caption">
    <w:name w:val="caption"/>
    <w:basedOn w:val="Normal"/>
    <w:qFormat/>
    <w:pPr>
      <w:suppressLineNumbers/>
      <w:spacing w:before="120" w:after="120"/>
      <w:jc w:val="left"/>
    </w:pPr>
    <w:rPr>
      <w:rFonts w:cs="FreeSans"/>
      <w:i/>
      <w:iCs/>
      <w:sz w:val="24"/>
      <w:szCs w:val="24"/>
    </w:rPr>
  </w:style>
  <w:style w:type="paragraph" w:customStyle="1" w:styleId="Index">
    <w:name w:val="Index"/>
    <w:basedOn w:val="Normal"/>
    <w:qFormat/>
    <w:pPr>
      <w:suppressLineNumbers/>
      <w:jc w:val="left"/>
    </w:pPr>
    <w:rPr>
      <w:rFonts w:cs="FreeSans"/>
    </w:rPr>
  </w:style>
  <w:style w:type="paragraph" w:styleId="BalloonText">
    <w:name w:val="Balloon Text"/>
    <w:basedOn w:val="Normal"/>
    <w:link w:val="TextbublinyChar"/>
    <w:uiPriority w:val="99"/>
    <w:semiHidden/>
    <w:unhideWhenUsed/>
    <w:qFormat/>
    <w:pPr>
      <w:spacing w:after="0" w:line="240" w:lineRule="auto"/>
      <w:jc w:val="left"/>
    </w:pPr>
    <w:rPr>
      <w:rFonts w:ascii="Tahoma" w:hAnsi="Tahoma" w:cs="Tahoma"/>
      <w:sz w:val="16"/>
      <w:szCs w:val="16"/>
    </w:rPr>
  </w:style>
  <w:style w:type="paragraph" w:styleId="Header">
    <w:name w:val="header"/>
    <w:basedOn w:val="Normal"/>
    <w:link w:val="HlavikaChar"/>
    <w:uiPriority w:val="99"/>
    <w:unhideWhenUsed/>
    <w:pPr>
      <w:tabs>
        <w:tab w:val="center" w:pos="4703"/>
        <w:tab w:val="right" w:pos="9406"/>
      </w:tabs>
      <w:spacing w:after="0" w:line="240" w:lineRule="auto"/>
      <w:jc w:val="left"/>
    </w:pPr>
  </w:style>
  <w:style w:type="paragraph" w:styleId="Footer">
    <w:name w:val="footer"/>
    <w:basedOn w:val="Normal"/>
    <w:link w:val="PtaChar"/>
    <w:uiPriority w:val="99"/>
    <w:unhideWhenUsed/>
    <w:pPr>
      <w:tabs>
        <w:tab w:val="center" w:pos="4703"/>
        <w:tab w:val="right" w:pos="9406"/>
      </w:tabs>
      <w:spacing w:after="0" w:line="240" w:lineRule="auto"/>
      <w:jc w:val="left"/>
    </w:pPr>
  </w:style>
  <w:style w:type="paragraph" w:styleId="ListParagraph">
    <w:name w:val="List Paragraph"/>
    <w:basedOn w:val="Normal"/>
    <w:link w:val="OdsekzoznamuChar"/>
    <w:uiPriority w:val="34"/>
    <w:qFormat/>
    <w:locked/>
    <w:pPr>
      <w:widowControl/>
      <w:spacing w:after="0" w:line="240" w:lineRule="auto"/>
      <w:ind w:left="708"/>
      <w:jc w:val="left"/>
    </w:pPr>
    <w:rPr>
      <w:rFonts w:ascii="Times New Roman" w:hAnsi="Times New Roman"/>
      <w:color w:val="000000"/>
      <w:sz w:val="24"/>
      <w:szCs w:val="24"/>
      <w:lang w:val="sk-SK" w:eastAsia="sk-SK"/>
    </w:rPr>
  </w:style>
  <w:style w:type="paragraph" w:styleId="NormalWeb">
    <w:name w:val="Normal (Web)"/>
    <w:basedOn w:val="Normal"/>
    <w:uiPriority w:val="99"/>
    <w:qFormat/>
    <w:pPr>
      <w:widowControl/>
      <w:spacing w:beforeAutospacing="1" w:afterAutospacing="1" w:line="240" w:lineRule="auto"/>
      <w:jc w:val="left"/>
    </w:pPr>
    <w:rPr>
      <w:rFonts w:ascii="Times New Roman" w:hAnsi="Times New Roman"/>
      <w:sz w:val="24"/>
      <w:szCs w:val="24"/>
      <w:lang w:val="sk-SK" w:eastAsia="sk-SK"/>
    </w:rPr>
  </w:style>
  <w:style w:type="paragraph" w:customStyle="1" w:styleId="Zkladntext1">
    <w:name w:val="Základný text1"/>
    <w:basedOn w:val="Normal"/>
    <w:link w:val="Zkladntext"/>
    <w:qFormat/>
    <w:pPr>
      <w:shd w:val="clear" w:color="auto" w:fill="FFFFFF"/>
      <w:spacing w:before="240" w:after="240" w:line="316" w:lineRule="exact"/>
      <w:ind w:hanging="360"/>
      <w:jc w:val="both"/>
    </w:pPr>
    <w:rPr>
      <w:rFonts w:cs="Calibri"/>
      <w:sz w:val="23"/>
      <w:lang w:val="sk-SK" w:eastAsia="sk-SK"/>
    </w:rPr>
  </w:style>
  <w:style w:type="paragraph" w:customStyle="1" w:styleId="FrameContents">
    <w:name w:val="Frame Contents"/>
    <w:basedOn w:val="Normal"/>
    <w:qFormat/>
    <w:pPr>
      <w:jc w:val="left"/>
    </w:pPr>
  </w:style>
  <w:style w:type="paragraph" w:customStyle="1" w:styleId="TableContents">
    <w:name w:val="Table Contents"/>
    <w:basedOn w:val="Normal"/>
    <w:qFormat/>
    <w:pPr>
      <w:jc w:val="left"/>
    </w:pPr>
  </w:style>
  <w:style w:type="paragraph" w:customStyle="1" w:styleId="TableHeading">
    <w:name w:val="Table Heading"/>
    <w:basedOn w:val="TableContents"/>
    <w:qFormat/>
    <w:pPr>
      <w:jc w:val="left"/>
    </w:pPr>
  </w:style>
  <w:style w:type="table" w:styleId="TableGrid">
    <w:name w:val="Table Grid"/>
    <w:basedOn w:val="TableNormal"/>
    <w:uiPriority w:val="59"/>
    <w:rPr>
      <w:sz w:val="24"/>
      <w:szCs w:val="24"/>
    </w:rPr>
    <w:tblPr>
      <w:tblCellMar>
        <w:left w:w="0" w:type="dxa"/>
        <w:right w:w="0" w:type="dxa"/>
      </w:tblCellMar>
    </w:tbl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7_analýza-_verejne_vplyvy"/>
    <f:field ref="objsubject" par="" edit="true" text=""/>
    <f:field ref="objcreatedby" par="" text="Jakubíková, Jana, JUDr."/>
    <f:field ref="objcreatedat" par="" text="9.8.2017 22:08:26"/>
    <f:field ref="objchangedby" par="" text="Administrator, System"/>
    <f:field ref="objmodifiedat" par="" text="9.8.2017 22:08:2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86C066A-5CE0-494E-994F-3F2E563E138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17</Pages>
  <Words>5352</Words>
  <Characters>30512</Characters>
  <Application>Microsoft Office Word</Application>
  <DocSecurity>0</DocSecurity>
  <Lines>0</Lines>
  <Paragraphs>0</Paragraphs>
  <ScaleCrop>false</ScaleCrop>
  <Company>Abyss Studios, Ltd.</Company>
  <LinksUpToDate>false</LinksUpToDate>
  <CharactersWithSpaces>35793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koki</dc:creator>
  <cp:lastModifiedBy>Jakubíková Jana</cp:lastModifiedBy>
  <cp:revision>2</cp:revision>
  <cp:lastPrinted>2017-09-19T13:18:00Z</cp:lastPrinted>
  <dcterms:created xsi:type="dcterms:W3CDTF">2017-09-20T12:19:00Z</dcterms:created>
  <dcterms:modified xsi:type="dcterms:W3CDTF">2017-09-20T12:19:00Z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Abyss Studios, Ltd.</vt:lpwstr>
  </property>
  <property fmtid="{D5CDD505-2E9C-101B-9397-08002B2CF9AE}" pid="4" name="DocSecurity">
    <vt:i4>0</vt:i4>
  </property>
  <property fmtid="{D5CDD505-2E9C-101B-9397-08002B2CF9AE}" pid="5" name="FSC#COOSYSTEM@1.1:Container">
    <vt:lpwstr>COO.2145.1000.3.2111449</vt:lpwstr>
  </property>
  <property fmtid="{D5CDD505-2E9C-101B-9397-08002B2CF9AE}" pid="6" name="FSC#FSCFOLIO@1.1001:docpropproject">
    <vt:lpwstr/>
  </property>
  <property fmtid="{D5CDD505-2E9C-101B-9397-08002B2CF9AE}" pid="7" name="FSC#SKEDITIONSLOVLEX@103.510:aktualnyrok">
    <vt:lpwstr>2017</vt:lpwstr>
  </property>
  <property fmtid="{D5CDD505-2E9C-101B-9397-08002B2CF9AE}" pid="8" name="FSC#SKEDITIONSLOVLEX@103.510:AttrDateDocPropUkonceniePKK">
    <vt:lpwstr>9. 8. 2017</vt:lpwstr>
  </property>
  <property fmtid="{D5CDD505-2E9C-101B-9397-08002B2CF9AE}" pid="9" name="FSC#SKEDITIONSLOVLEX@103.510:AttrDateDocPropZaciatokPKK">
    <vt:lpwstr>1. 7. 2017</vt:lpwstr>
  </property>
  <property fmtid="{D5CDD505-2E9C-101B-9397-08002B2CF9AE}" pid="10" name="FSC#SKEDITIONSLOVLEX@103.510:AttrStrDocPropVplyvNaInformatizaciu">
    <vt:lpwstr>Žiadne</vt:lpwstr>
  </property>
  <property fmtid="{D5CDD505-2E9C-101B-9397-08002B2CF9AE}" pid="11" name="FSC#SKEDITIONSLOVLEX@103.510:AttrStrDocPropVplyvNaZivotProstr">
    <vt:lpwstr>Žiadne</vt:lpwstr>
  </property>
  <property fmtid="{D5CDD505-2E9C-101B-9397-08002B2CF9AE}" pid="12" name="FSC#SKEDITIONSLOVLEX@103.510:AttrStrDocPropVplyvPodnikatelskeProstr">
    <vt:lpwstr>Žiadne</vt:lpwstr>
  </property>
  <property fmtid="{D5CDD505-2E9C-101B-9397-08002B2CF9AE}" pid="13" name="FSC#SKEDITIONSLOVLEX@103.510:AttrStrDocPropVplyvRozpocetVS">
    <vt:lpwstr>Pozitívne
Negatívne</vt:lpwstr>
  </property>
  <property fmtid="{D5CDD505-2E9C-101B-9397-08002B2CF9AE}" pid="14" name="FSC#SKEDITIONSLOVLEX@103.510:AttrStrDocPropVplyvSocialny">
    <vt:lpwstr>Žiadne</vt:lpwstr>
  </property>
  <property fmtid="{D5CDD505-2E9C-101B-9397-08002B2CF9AE}" pid="15" name="FSC#SKEDITIONSLOVLEX@103.510:AttrStrListDocPropAltRiesenia">
    <vt:lpwstr>nie sú</vt:lpwstr>
  </property>
  <property fmtid="{D5CDD505-2E9C-101B-9397-08002B2CF9AE}" pid="16" name="FSC#SKEDITIONSLOVLEX@103.510:AttrStrListDocPropDopadyPrijatiaZmluvy">
    <vt:lpwstr/>
  </property>
  <property fmtid="{D5CDD505-2E9C-101B-9397-08002B2CF9AE}" pid="17" name="FSC#SKEDITIONSLOVLEX@103.510:AttrStrListDocPropGestorSpolupRezorty">
    <vt:lpwstr>Ministerstvo zdravotníctva Slovenskej republiky</vt:lpwstr>
  </property>
  <property fmtid="{D5CDD505-2E9C-101B-9397-08002B2CF9AE}" pid="18" name="FSC#SKEDITIONSLOVLEX@103.510:AttrStrListDocPropInfoUzPreberanePP">
    <vt:lpwstr/>
  </property>
  <property fmtid="{D5CDD505-2E9C-101B-9397-08002B2CF9AE}" pid="19" name="FSC#SKEDITIONSLOVLEX@103.510:AttrStrListDocPropInfoZaciatokKonania">
    <vt:lpwstr/>
  </property>
  <property fmtid="{D5CDD505-2E9C-101B-9397-08002B2CF9AE}" pid="20" name="FSC#SKEDITIONSLOVLEX@103.510:AttrStrListDocPropKategoriaZmluvy74">
    <vt:lpwstr/>
  </property>
  <property fmtid="{D5CDD505-2E9C-101B-9397-08002B2CF9AE}" pid="21" name="FSC#SKEDITIONSLOVLEX@103.510:AttrStrListDocPropKategoriaZmluvy75">
    <vt:lpwstr/>
  </property>
  <property fmtid="{D5CDD505-2E9C-101B-9397-08002B2CF9AE}" pid="22" name="FSC#SKEDITIONSLOVLEX@103.510:AttrStrListDocPropLehotaNaPredlozenie">
    <vt:lpwstr/>
  </property>
  <property fmtid="{D5CDD505-2E9C-101B-9397-08002B2CF9AE}" pid="23" name="FSC#SKEDITIONSLOVLEX@103.510:AttrStrListDocPropLehotaPrebratieSmernice">
    <vt:lpwstr/>
  </property>
  <property fmtid="{D5CDD505-2E9C-101B-9397-08002B2CF9AE}" pid="24" name="FSC#SKEDITIONSLOVLEX@103.510:AttrStrListDocPropNazovPredpisuEU">
    <vt:lpwstr/>
  </property>
  <property fmtid="{D5CDD505-2E9C-101B-9397-08002B2CF9AE}" pid="25" name="FSC#SKEDITIONSLOVLEX@103.510:AttrStrListDocPropPoznamkaVplyv">
    <vt:lpwstr>Navrhovanou úpravou za oblasť financovania urgentných príjmov sa predpokladá negatívny vplyv na rozpočet verejnej správy. Negatívny vplyv je na ťarchu zdravotných poisťovní v rámci ich existujúcich rozpočtov, nezakladá vplyv na štátny rozpočet.     Krytie</vt:lpwstr>
  </property>
  <property fmtid="{D5CDD505-2E9C-101B-9397-08002B2CF9AE}" pid="26" name="FSC#SKEDITIONSLOVLEX@103.510:AttrStrListDocPropPrimarnePravoEU">
    <vt:lpwstr/>
  </property>
  <property fmtid="{D5CDD505-2E9C-101B-9397-08002B2CF9AE}" pid="27" name="FSC#SKEDITIONSLOVLEX@103.510:AttrStrListDocPropProblematikaPPa">
    <vt:lpwstr>nie je upravená v práve Európskej únie</vt:lpwstr>
  </property>
  <property fmtid="{D5CDD505-2E9C-101B-9397-08002B2CF9AE}" pid="28" name="FSC#SKEDITIONSLOVLEX@103.510:AttrStrListDocPropProblematikaPPb">
    <vt:lpwstr>nie je obsiahnutá v judikatúre Súdneho dvora Európskej únie</vt:lpwstr>
  </property>
  <property fmtid="{D5CDD505-2E9C-101B-9397-08002B2CF9AE}" pid="29" name="FSC#SKEDITIONSLOVLEX@103.510:AttrStrListDocPropSekundarneLegPravoDO">
    <vt:lpwstr/>
  </property>
  <property fmtid="{D5CDD505-2E9C-101B-9397-08002B2CF9AE}" pid="30" name="FSC#SKEDITIONSLOVLEX@103.510:AttrStrListDocPropSekundarneLegPravoPO">
    <vt:lpwstr/>
  </property>
  <property fmtid="{D5CDD505-2E9C-101B-9397-08002B2CF9AE}" pid="31" name="FSC#SKEDITIONSLOVLEX@103.510:AttrStrListDocPropSekundarneNelegPravoPO">
    <vt:lpwstr/>
  </property>
  <property fmtid="{D5CDD505-2E9C-101B-9397-08002B2CF9AE}" pid="32" name="FSC#SKEDITIONSLOVLEX@103.510:AttrStrListDocPropStanoviskoGest">
    <vt:lpwstr>I. Úvod: Ministerstvo zdravotníctva SR dňa 19. júla 2017 predložilo Stálej pracovnej komisii na posudzovanie vybraných vplyvov (ďalej len „Komisia“) na predbežné pripomienkové konanie materiál: „Návrh zákona, ktorým sa mení a dopĺňa zákon č. 576/2004 Z. z</vt:lpwstr>
  </property>
  <property fmtid="{D5CDD505-2E9C-101B-9397-08002B2CF9AE}" pid="33" name="FSC#SKEDITIONSLOVLEX@103.510:AttrStrListDocPropStupenZlucitelnostiPP">
    <vt:lpwstr>úplný</vt:lpwstr>
  </property>
  <property fmtid="{D5CDD505-2E9C-101B-9397-08002B2CF9AE}" pid="34" name="FSC#SKEDITIONSLOVLEX@103.510:AttrStrListDocPropTextKomunike">
    <vt:lpwstr>Vláda Slovenskej republiky na svojom rokovaní dňa ....................... prerokovala a schválila návrh zákona, ktorým sa mení a dopĺňa zákon č. 576/2004 Z. z. o zdravotnej starostlivosti, službách súvisiacich s poskytovaním zdravotnej starostlivosti a o </vt:lpwstr>
  </property>
  <property fmtid="{D5CDD505-2E9C-101B-9397-08002B2CF9AE}" pid="35" name="FSC#SKEDITIONSLOVLEX@103.510:AttrStrListDocPropTextPredklSpravy">
    <vt:lpwstr>&lt;p&gt;&amp;nbsp;&lt;/p&gt;&lt;p&gt;Ministerstvo zdravotníctva Slovenskej republiky predkladá návrh zákona, ktorým sa mení a dopĺňa zákon č. 576/2004 Z. z. o zdravotnej starostlivosti, službách súvisiacich s poskytovaním zdravotnej starostlivosti a o zmene a doplnení niektor</vt:lpwstr>
  </property>
  <property fmtid="{D5CDD505-2E9C-101B-9397-08002B2CF9AE}" pid="36" name="FSC#SKEDITIONSLOVLEX@103.510:AttrStrListDocPropTextVseobPrilohy">
    <vt:lpwstr/>
  </property>
  <property fmtid="{D5CDD505-2E9C-101B-9397-08002B2CF9AE}" pid="37" name="FSC#SKEDITIONSLOVLEX@103.510:AttrStrListDocPropUcelPredmetZmluvy">
    <vt:lpwstr/>
  </property>
  <property fmtid="{D5CDD505-2E9C-101B-9397-08002B2CF9AE}" pid="38" name="FSC#SKEDITIONSLOVLEX@103.510:AttrStrListDocPropUpravaPravFOPRO">
    <vt:lpwstr/>
  </property>
  <property fmtid="{D5CDD505-2E9C-101B-9397-08002B2CF9AE}" pid="39" name="FSC#SKEDITIONSLOVLEX@103.510:AttrStrListDocPropUpravaPredmetuZmluvy">
    <vt:lpwstr/>
  </property>
  <property fmtid="{D5CDD505-2E9C-101B-9397-08002B2CF9AE}" pid="40" name="FSC#SKEDITIONSLOVLEX@103.510:AttrStrListDocPropUznesenieBODA1">
    <vt:lpwstr/>
  </property>
  <property fmtid="{D5CDD505-2E9C-101B-9397-08002B2CF9AE}" pid="41" name="FSC#SKEDITIONSLOVLEX@103.510:AttrStrListDocPropUznesenieBODA3">
    <vt:lpwstr/>
  </property>
  <property fmtid="{D5CDD505-2E9C-101B-9397-08002B2CF9AE}" pid="42" name="FSC#SKEDITIONSLOVLEX@103.510:AttrStrListDocPropUznesenieBODA4">
    <vt:lpwstr/>
  </property>
  <property fmtid="{D5CDD505-2E9C-101B-9397-08002B2CF9AE}" pid="43" name="FSC#SKEDITIONSLOVLEX@103.510:AttrStrListDocPropUznesenieBODB1">
    <vt:lpwstr/>
  </property>
  <property fmtid="{D5CDD505-2E9C-101B-9397-08002B2CF9AE}" pid="44" name="FSC#SKEDITIONSLOVLEX@103.510:AttrStrListDocPropUznesenieBODB2">
    <vt:lpwstr/>
  </property>
  <property fmtid="{D5CDD505-2E9C-101B-9397-08002B2CF9AE}" pid="45" name="FSC#SKEDITIONSLOVLEX@103.510:AttrStrListDocPropUznesenieBODB3">
    <vt:lpwstr/>
  </property>
  <property fmtid="{D5CDD505-2E9C-101B-9397-08002B2CF9AE}" pid="46" name="FSC#SKEDITIONSLOVLEX@103.510:AttrStrListDocPropUznesenieBODB4">
    <vt:lpwstr/>
  </property>
  <property fmtid="{D5CDD505-2E9C-101B-9397-08002B2CF9AE}" pid="47" name="FSC#SKEDITIONSLOVLEX@103.510:AttrStrListDocPropUznesenieBODC1">
    <vt:lpwstr/>
  </property>
  <property fmtid="{D5CDD505-2E9C-101B-9397-08002B2CF9AE}" pid="48" name="FSC#SKEDITIONSLOVLEX@103.510:AttrStrListDocPropUznesenieBODC2">
    <vt:lpwstr/>
  </property>
  <property fmtid="{D5CDD505-2E9C-101B-9397-08002B2CF9AE}" pid="49" name="FSC#SKEDITIONSLOVLEX@103.510:AttrStrListDocPropUznesenieBODC3">
    <vt:lpwstr/>
  </property>
  <property fmtid="{D5CDD505-2E9C-101B-9397-08002B2CF9AE}" pid="50" name="FSC#SKEDITIONSLOVLEX@103.510:AttrStrListDocPropUznesenieBODC4">
    <vt:lpwstr/>
  </property>
  <property fmtid="{D5CDD505-2E9C-101B-9397-08002B2CF9AE}" pid="51" name="FSC#SKEDITIONSLOVLEX@103.510:AttrStrListDocPropUznesenieBODD1">
    <vt:lpwstr/>
  </property>
  <property fmtid="{D5CDD505-2E9C-101B-9397-08002B2CF9AE}" pid="52" name="FSC#SKEDITIONSLOVLEX@103.510:AttrStrListDocPropUznesenieBODD2">
    <vt:lpwstr/>
  </property>
  <property fmtid="{D5CDD505-2E9C-101B-9397-08002B2CF9AE}" pid="53" name="FSC#SKEDITIONSLOVLEX@103.510:AttrStrListDocPropUznesenieBODD3">
    <vt:lpwstr/>
  </property>
  <property fmtid="{D5CDD505-2E9C-101B-9397-08002B2CF9AE}" pid="54" name="FSC#SKEDITIONSLOVLEX@103.510:AttrStrListDocPropUznesenieBODD4">
    <vt:lpwstr/>
  </property>
  <property fmtid="{D5CDD505-2E9C-101B-9397-08002B2CF9AE}" pid="55" name="FSC#SKEDITIONSLOVLEX@103.510:AttrStrListDocPropUznesenieCastA">
    <vt:lpwstr/>
  </property>
  <property fmtid="{D5CDD505-2E9C-101B-9397-08002B2CF9AE}" pid="56" name="FSC#SKEDITIONSLOVLEX@103.510:AttrStrListDocPropUznesenieCastB">
    <vt:lpwstr/>
  </property>
  <property fmtid="{D5CDD505-2E9C-101B-9397-08002B2CF9AE}" pid="57" name="FSC#SKEDITIONSLOVLEX@103.510:AttrStrListDocPropUznesenieCastC">
    <vt:lpwstr/>
  </property>
  <property fmtid="{D5CDD505-2E9C-101B-9397-08002B2CF9AE}" pid="58" name="FSC#SKEDITIONSLOVLEX@103.510:AttrStrListDocPropUznesenieCastD">
    <vt:lpwstr/>
  </property>
  <property fmtid="{D5CDD505-2E9C-101B-9397-08002B2CF9AE}" pid="59" name="FSC#SKEDITIONSLOVLEX@103.510:AttrStrListDocPropUznesenieNaVedomie">
    <vt:lpwstr>predseda Národnej rady Slovenskej republiky</vt:lpwstr>
  </property>
  <property fmtid="{D5CDD505-2E9C-101B-9397-08002B2CF9AE}" pid="60" name="FSC#SKEDITIONSLOVLEX@103.510:AttrStrListDocPropUznesenieTerminA1">
    <vt:lpwstr/>
  </property>
  <property fmtid="{D5CDD505-2E9C-101B-9397-08002B2CF9AE}" pid="61" name="FSC#SKEDITIONSLOVLEX@103.510:AttrStrListDocPropUznesenieTerminA2">
    <vt:lpwstr/>
  </property>
  <property fmtid="{D5CDD505-2E9C-101B-9397-08002B2CF9AE}" pid="62" name="FSC#SKEDITIONSLOVLEX@103.510:AttrStrListDocPropUznesenieTerminA3">
    <vt:lpwstr/>
  </property>
  <property fmtid="{D5CDD505-2E9C-101B-9397-08002B2CF9AE}" pid="63" name="FSC#SKEDITIONSLOVLEX@103.510:AttrStrListDocPropUznesenieTerminA4">
    <vt:lpwstr/>
  </property>
  <property fmtid="{D5CDD505-2E9C-101B-9397-08002B2CF9AE}" pid="64" name="FSC#SKEDITIONSLOVLEX@103.510:AttrStrListDocPropUznesenieTerminB1">
    <vt:lpwstr/>
  </property>
  <property fmtid="{D5CDD505-2E9C-101B-9397-08002B2CF9AE}" pid="65" name="FSC#SKEDITIONSLOVLEX@103.510:AttrStrListDocPropUznesenieTerminB2">
    <vt:lpwstr/>
  </property>
  <property fmtid="{D5CDD505-2E9C-101B-9397-08002B2CF9AE}" pid="66" name="FSC#SKEDITIONSLOVLEX@103.510:AttrStrListDocPropUznesenieTerminB3">
    <vt:lpwstr/>
  </property>
  <property fmtid="{D5CDD505-2E9C-101B-9397-08002B2CF9AE}" pid="67" name="FSC#SKEDITIONSLOVLEX@103.510:AttrStrListDocPropUznesenieTerminB4">
    <vt:lpwstr/>
  </property>
  <property fmtid="{D5CDD505-2E9C-101B-9397-08002B2CF9AE}" pid="68" name="FSC#SKEDITIONSLOVLEX@103.510:AttrStrListDocPropUznesenieTerminC1">
    <vt:lpwstr/>
  </property>
  <property fmtid="{D5CDD505-2E9C-101B-9397-08002B2CF9AE}" pid="69" name="FSC#SKEDITIONSLOVLEX@103.510:AttrStrListDocPropUznesenieTerminC2">
    <vt:lpwstr/>
  </property>
  <property fmtid="{D5CDD505-2E9C-101B-9397-08002B2CF9AE}" pid="70" name="FSC#SKEDITIONSLOVLEX@103.510:AttrStrListDocPropUznesenieTerminC3">
    <vt:lpwstr/>
  </property>
  <property fmtid="{D5CDD505-2E9C-101B-9397-08002B2CF9AE}" pid="71" name="FSC#SKEDITIONSLOVLEX@103.510:AttrStrListDocPropUznesenieTerminC4">
    <vt:lpwstr/>
  </property>
  <property fmtid="{D5CDD505-2E9C-101B-9397-08002B2CF9AE}" pid="72" name="FSC#SKEDITIONSLOVLEX@103.510:AttrStrListDocPropUznesenieTerminD1">
    <vt:lpwstr/>
  </property>
  <property fmtid="{D5CDD505-2E9C-101B-9397-08002B2CF9AE}" pid="73" name="FSC#SKEDITIONSLOVLEX@103.510:AttrStrListDocPropUznesenieTerminD2">
    <vt:lpwstr/>
  </property>
  <property fmtid="{D5CDD505-2E9C-101B-9397-08002B2CF9AE}" pid="74" name="FSC#SKEDITIONSLOVLEX@103.510:AttrStrListDocPropUznesenieTerminD3">
    <vt:lpwstr/>
  </property>
  <property fmtid="{D5CDD505-2E9C-101B-9397-08002B2CF9AE}" pid="75" name="FSC#SKEDITIONSLOVLEX@103.510:AttrStrListDocPropUznesenieTerminD4">
    <vt:lpwstr/>
  </property>
  <property fmtid="{D5CDD505-2E9C-101B-9397-08002B2CF9AE}" pid="76" name="FSC#SKEDITIONSLOVLEX@103.510:AttrStrListDocPropUznesenieTextA1">
    <vt:lpwstr/>
  </property>
  <property fmtid="{D5CDD505-2E9C-101B-9397-08002B2CF9AE}" pid="77" name="FSC#SKEDITIONSLOVLEX@103.510:AttrStrListDocPropUznesenieTextA2">
    <vt:lpwstr/>
  </property>
  <property fmtid="{D5CDD505-2E9C-101B-9397-08002B2CF9AE}" pid="78" name="FSC#SKEDITIONSLOVLEX@103.510:AttrStrListDocPropUznesenieTextA3">
    <vt:lpwstr/>
  </property>
  <property fmtid="{D5CDD505-2E9C-101B-9397-08002B2CF9AE}" pid="79" name="FSC#SKEDITIONSLOVLEX@103.510:AttrStrListDocPropUznesenieTextA4">
    <vt:lpwstr/>
  </property>
  <property fmtid="{D5CDD505-2E9C-101B-9397-08002B2CF9AE}" pid="80" name="FSC#SKEDITIONSLOVLEX@103.510:AttrStrListDocPropUznesenieTextB1">
    <vt:lpwstr/>
  </property>
  <property fmtid="{D5CDD505-2E9C-101B-9397-08002B2CF9AE}" pid="81" name="FSC#SKEDITIONSLOVLEX@103.510:AttrStrListDocPropUznesenieTextB2">
    <vt:lpwstr/>
  </property>
  <property fmtid="{D5CDD505-2E9C-101B-9397-08002B2CF9AE}" pid="82" name="FSC#SKEDITIONSLOVLEX@103.510:AttrStrListDocPropUznesenieTextB3">
    <vt:lpwstr/>
  </property>
  <property fmtid="{D5CDD505-2E9C-101B-9397-08002B2CF9AE}" pid="83" name="FSC#SKEDITIONSLOVLEX@103.510:AttrStrListDocPropUznesenieTextB4">
    <vt:lpwstr/>
  </property>
  <property fmtid="{D5CDD505-2E9C-101B-9397-08002B2CF9AE}" pid="84" name="FSC#SKEDITIONSLOVLEX@103.510:AttrStrListDocPropUznesenieTextC1">
    <vt:lpwstr/>
  </property>
  <property fmtid="{D5CDD505-2E9C-101B-9397-08002B2CF9AE}" pid="85" name="FSC#SKEDITIONSLOVLEX@103.510:AttrStrListDocPropUznesenieTextC2">
    <vt:lpwstr/>
  </property>
  <property fmtid="{D5CDD505-2E9C-101B-9397-08002B2CF9AE}" pid="86" name="FSC#SKEDITIONSLOVLEX@103.510:AttrStrListDocPropUznesenieTextC3">
    <vt:lpwstr/>
  </property>
  <property fmtid="{D5CDD505-2E9C-101B-9397-08002B2CF9AE}" pid="87" name="FSC#SKEDITIONSLOVLEX@103.510:AttrStrListDocPropUznesenieTextC4">
    <vt:lpwstr/>
  </property>
  <property fmtid="{D5CDD505-2E9C-101B-9397-08002B2CF9AE}" pid="88" name="FSC#SKEDITIONSLOVLEX@103.510:AttrStrListDocPropUznesenieTextD1">
    <vt:lpwstr/>
  </property>
  <property fmtid="{D5CDD505-2E9C-101B-9397-08002B2CF9AE}" pid="89" name="FSC#SKEDITIONSLOVLEX@103.510:AttrStrListDocPropUznesenieTextD2">
    <vt:lpwstr/>
  </property>
  <property fmtid="{D5CDD505-2E9C-101B-9397-08002B2CF9AE}" pid="90" name="FSC#SKEDITIONSLOVLEX@103.510:AttrStrListDocPropUznesenieTextD3">
    <vt:lpwstr/>
  </property>
  <property fmtid="{D5CDD505-2E9C-101B-9397-08002B2CF9AE}" pid="91" name="FSC#SKEDITIONSLOVLEX@103.510:AttrStrListDocPropUznesenieTextD4">
    <vt:lpwstr/>
  </property>
  <property fmtid="{D5CDD505-2E9C-101B-9397-08002B2CF9AE}" pid="92" name="FSC#SKEDITIONSLOVLEX@103.510:AttrStrListDocPropUznesenieVykonaju">
    <vt:lpwstr>predseda vlády Slovenskej republiky
minister zdravotníctva Slovenskej republiky</vt:lpwstr>
  </property>
  <property fmtid="{D5CDD505-2E9C-101B-9397-08002B2CF9AE}" pid="93" name="FSC#SKEDITIONSLOVLEX@103.510:AttrStrListDocPropUznesenieZodpovednyA1">
    <vt:lpwstr/>
  </property>
  <property fmtid="{D5CDD505-2E9C-101B-9397-08002B2CF9AE}" pid="94" name="FSC#SKEDITIONSLOVLEX@103.510:AttrStrListDocPropUznesenieZodpovednyA2">
    <vt:lpwstr/>
  </property>
  <property fmtid="{D5CDD505-2E9C-101B-9397-08002B2CF9AE}" pid="95" name="FSC#SKEDITIONSLOVLEX@103.510:AttrStrListDocPropUznesenieZodpovednyA3">
    <vt:lpwstr/>
  </property>
  <property fmtid="{D5CDD505-2E9C-101B-9397-08002B2CF9AE}" pid="96" name="FSC#SKEDITIONSLOVLEX@103.510:AttrStrListDocPropUznesenieZodpovednyA4">
    <vt:lpwstr/>
  </property>
  <property fmtid="{D5CDD505-2E9C-101B-9397-08002B2CF9AE}" pid="97" name="FSC#SKEDITIONSLOVLEX@103.510:AttrStrListDocPropUznesenieZodpovednyB1">
    <vt:lpwstr/>
  </property>
  <property fmtid="{D5CDD505-2E9C-101B-9397-08002B2CF9AE}" pid="98" name="FSC#SKEDITIONSLOVLEX@103.510:AttrStrListDocPropUznesenieZodpovednyB2">
    <vt:lpwstr/>
  </property>
  <property fmtid="{D5CDD505-2E9C-101B-9397-08002B2CF9AE}" pid="99" name="FSC#SKEDITIONSLOVLEX@103.510:AttrStrListDocPropUznesenieZodpovednyB3">
    <vt:lpwstr/>
  </property>
  <property fmtid="{D5CDD505-2E9C-101B-9397-08002B2CF9AE}" pid="100" name="FSC#SKEDITIONSLOVLEX@103.510:AttrStrListDocPropUznesenieZodpovednyB4">
    <vt:lpwstr/>
  </property>
  <property fmtid="{D5CDD505-2E9C-101B-9397-08002B2CF9AE}" pid="101" name="FSC#SKEDITIONSLOVLEX@103.510:AttrStrListDocPropUznesenieZodpovednyC1">
    <vt:lpwstr/>
  </property>
  <property fmtid="{D5CDD505-2E9C-101B-9397-08002B2CF9AE}" pid="102" name="FSC#SKEDITIONSLOVLEX@103.510:AttrStrListDocPropUznesenieZodpovednyC2">
    <vt:lpwstr/>
  </property>
  <property fmtid="{D5CDD505-2E9C-101B-9397-08002B2CF9AE}" pid="103" name="FSC#SKEDITIONSLOVLEX@103.510:AttrStrListDocPropUznesenieZodpovednyC3">
    <vt:lpwstr/>
  </property>
  <property fmtid="{D5CDD505-2E9C-101B-9397-08002B2CF9AE}" pid="104" name="FSC#SKEDITIONSLOVLEX@103.510:AttrStrListDocPropUznesenieZodpovednyC4">
    <vt:lpwstr/>
  </property>
  <property fmtid="{D5CDD505-2E9C-101B-9397-08002B2CF9AE}" pid="105" name="FSC#SKEDITIONSLOVLEX@103.510:AttrStrListDocPropUznesenieZodpovednyD1">
    <vt:lpwstr/>
  </property>
  <property fmtid="{D5CDD505-2E9C-101B-9397-08002B2CF9AE}" pid="106" name="FSC#SKEDITIONSLOVLEX@103.510:AttrStrListDocPropUznesenieZodpovednyD2">
    <vt:lpwstr/>
  </property>
  <property fmtid="{D5CDD505-2E9C-101B-9397-08002B2CF9AE}" pid="107" name="FSC#SKEDITIONSLOVLEX@103.510:AttrStrListDocPropUznesenieZodpovednyD3">
    <vt:lpwstr/>
  </property>
  <property fmtid="{D5CDD505-2E9C-101B-9397-08002B2CF9AE}" pid="108" name="FSC#SKEDITIONSLOVLEX@103.510:AttrStrListDocPropUznesenieZodpovednyD4">
    <vt:lpwstr/>
  </property>
  <property fmtid="{D5CDD505-2E9C-101B-9397-08002B2CF9AE}" pid="109" name="FSC#SKEDITIONSLOVLEX@103.510:autorpredpis">
    <vt:lpwstr/>
  </property>
  <property fmtid="{D5CDD505-2E9C-101B-9397-08002B2CF9AE}" pid="110" name="FSC#SKEDITIONSLOVLEX@103.510:cislolp">
    <vt:lpwstr>LP/2017/610</vt:lpwstr>
  </property>
  <property fmtid="{D5CDD505-2E9C-101B-9397-08002B2CF9AE}" pid="111" name="FSC#SKEDITIONSLOVLEX@103.510:cisloparlamenttlac">
    <vt:lpwstr/>
  </property>
  <property fmtid="{D5CDD505-2E9C-101B-9397-08002B2CF9AE}" pid="112" name="FSC#SKEDITIONSLOVLEX@103.510:cislopartlac">
    <vt:lpwstr/>
  </property>
  <property fmtid="{D5CDD505-2E9C-101B-9397-08002B2CF9AE}" pid="113" name="FSC#SKEDITIONSLOVLEX@103.510:cislopredpis">
    <vt:lpwstr/>
  </property>
  <property fmtid="{D5CDD505-2E9C-101B-9397-08002B2CF9AE}" pid="114" name="FSC#SKEDITIONSLOVLEX@103.510:citaciapredpis">
    <vt:lpwstr/>
  </property>
  <property fmtid="{D5CDD505-2E9C-101B-9397-08002B2CF9AE}" pid="115" name="FSC#SKEDITIONSLOVLEX@103.510:dalsipredkladatel">
    <vt:lpwstr/>
  </property>
  <property fmtid="{D5CDD505-2E9C-101B-9397-08002B2CF9AE}" pid="116" name="FSC#SKEDITIONSLOVLEX@103.510:datumplatnosti">
    <vt:lpwstr/>
  </property>
  <property fmtid="{D5CDD505-2E9C-101B-9397-08002B2CF9AE}" pid="117" name="FSC#SKEDITIONSLOVLEX@103.510:datumschvalpredpis">
    <vt:lpwstr/>
  </property>
  <property fmtid="{D5CDD505-2E9C-101B-9397-08002B2CF9AE}" pid="118" name="FSC#SKEDITIONSLOVLEX@103.510:funkciaDalsiPred">
    <vt:lpwstr/>
  </property>
  <property fmtid="{D5CDD505-2E9C-101B-9397-08002B2CF9AE}" pid="119" name="FSC#SKEDITIONSLOVLEX@103.510:funkciaDalsiPredAkuzativ">
    <vt:lpwstr/>
  </property>
  <property fmtid="{D5CDD505-2E9C-101B-9397-08002B2CF9AE}" pid="120" name="FSC#SKEDITIONSLOVLEX@103.510:funkciaDalsiPredDativ">
    <vt:lpwstr/>
  </property>
  <property fmtid="{D5CDD505-2E9C-101B-9397-08002B2CF9AE}" pid="121" name="FSC#SKEDITIONSLOVLEX@103.510:funkciaPred">
    <vt:lpwstr/>
  </property>
  <property fmtid="{D5CDD505-2E9C-101B-9397-08002B2CF9AE}" pid="122" name="FSC#SKEDITIONSLOVLEX@103.510:funkciaPredAkuzativ">
    <vt:lpwstr/>
  </property>
  <property fmtid="{D5CDD505-2E9C-101B-9397-08002B2CF9AE}" pid="123" name="FSC#SKEDITIONSLOVLEX@103.510:funkciaPredDativ">
    <vt:lpwstr/>
  </property>
  <property fmtid="{D5CDD505-2E9C-101B-9397-08002B2CF9AE}" pid="124" name="FSC#SKEDITIONSLOVLEX@103.510:funkciaZodpPred">
    <vt:lpwstr>minister zdravotníctva Slovenskej republiky</vt:lpwstr>
  </property>
  <property fmtid="{D5CDD505-2E9C-101B-9397-08002B2CF9AE}" pid="125" name="FSC#SKEDITIONSLOVLEX@103.510:funkciaZodpPredAkuzativ">
    <vt:lpwstr>ministerovi zdravotníctva Slovenskej republiky</vt:lpwstr>
  </property>
  <property fmtid="{D5CDD505-2E9C-101B-9397-08002B2CF9AE}" pid="126" name="FSC#SKEDITIONSLOVLEX@103.510:funkciaZodpPredDativ">
    <vt:lpwstr>ministera zdravotníctva Slovenskej republiky</vt:lpwstr>
  </property>
  <property fmtid="{D5CDD505-2E9C-101B-9397-08002B2CF9AE}" pid="127" name="FSC#SKEDITIONSLOVLEX@103.510:legoblast">
    <vt:lpwstr>Správne právo
Zdravotníctvo</vt:lpwstr>
  </property>
  <property fmtid="{D5CDD505-2E9C-101B-9397-08002B2CF9AE}" pid="128" name="FSC#SKEDITIONSLOVLEX@103.510:nazovpredpis">
    <vt:lpwstr>, ktorým sa mení a dopĺňa zákon č. 576/2004 Z. z. o zdravotnej starostlivosti, službách súvisiacich s poskytovaním zdravotnej starostlivosti a o zmene a doplnení niektorých zákonov v znení neskorších predpisov a ktorým sa menia a dopĺňajú niektoré zákony</vt:lpwstr>
  </property>
  <property fmtid="{D5CDD505-2E9C-101B-9397-08002B2CF9AE}" pid="129" name="FSC#SKEDITIONSLOVLEX@103.510:nazovpredpis1">
    <vt:lpwstr/>
  </property>
  <property fmtid="{D5CDD505-2E9C-101B-9397-08002B2CF9AE}" pid="130" name="FSC#SKEDITIONSLOVLEX@103.510:nazovpredpis2">
    <vt:lpwstr/>
  </property>
  <property fmtid="{D5CDD505-2E9C-101B-9397-08002B2CF9AE}" pid="131" name="FSC#SKEDITIONSLOVLEX@103.510:nazovpredpis3">
    <vt:lpwstr/>
  </property>
  <property fmtid="{D5CDD505-2E9C-101B-9397-08002B2CF9AE}" pid="132" name="FSC#SKEDITIONSLOVLEX@103.510:platnedo">
    <vt:lpwstr/>
  </property>
  <property fmtid="{D5CDD505-2E9C-101B-9397-08002B2CF9AE}" pid="133" name="FSC#SKEDITIONSLOVLEX@103.510:platneod">
    <vt:lpwstr/>
  </property>
  <property fmtid="{D5CDD505-2E9C-101B-9397-08002B2CF9AE}" pid="134" name="FSC#SKEDITIONSLOVLEX@103.510:plnynazovpredpis">
    <vt:lpwstr> Zákon, ktorým sa mení a dopĺňa zákon č. 576/2004 Z. z. o zdravotnej starostlivosti, službách súvisiacich s poskytovaním zdravotnej starostlivosti a o zmene a doplnení niektorých zákonov v znení neskorších predpisov a ktorým sa menia a dopĺňajú niektoré z</vt:lpwstr>
  </property>
  <property fmtid="{D5CDD505-2E9C-101B-9397-08002B2CF9AE}" pid="135" name="FSC#SKEDITIONSLOVLEX@103.510:plnynazovpredpis1">
    <vt:lpwstr>ákony</vt:lpwstr>
  </property>
  <property fmtid="{D5CDD505-2E9C-101B-9397-08002B2CF9AE}" pid="136" name="FSC#SKEDITIONSLOVLEX@103.510:plnynazovpredpis2">
    <vt:lpwstr/>
  </property>
  <property fmtid="{D5CDD505-2E9C-101B-9397-08002B2CF9AE}" pid="137" name="FSC#SKEDITIONSLOVLEX@103.510:plnynazovpredpis3">
    <vt:lpwstr/>
  </property>
  <property fmtid="{D5CDD505-2E9C-101B-9397-08002B2CF9AE}" pid="138" name="FSC#SKEDITIONSLOVLEX@103.510:podnetpredpis">
    <vt:lpwstr>Programové vyhlásenie vlády Slovenskej republiky</vt:lpwstr>
  </property>
  <property fmtid="{D5CDD505-2E9C-101B-9397-08002B2CF9AE}" pid="139" name="FSC#SKEDITIONSLOVLEX@103.510:povodpredpis">
    <vt:lpwstr>Slovlex (eLeg)</vt:lpwstr>
  </property>
  <property fmtid="{D5CDD505-2E9C-101B-9397-08002B2CF9AE}" pid="140" name="FSC#SKEDITIONSLOVLEX@103.510:predkladatel">
    <vt:lpwstr>JUDr. Jana Jakubíková</vt:lpwstr>
  </property>
  <property fmtid="{D5CDD505-2E9C-101B-9397-08002B2CF9AE}" pid="141" name="FSC#SKEDITIONSLOVLEX@103.510:predkladateliaObalSD">
    <vt:lpwstr>Tomáš Drucker
minister zdravotníctva Slovenskej republiky</vt:lpwstr>
  </property>
  <property fmtid="{D5CDD505-2E9C-101B-9397-08002B2CF9AE}" pid="142" name="FSC#SKEDITIONSLOVLEX@103.510:pripomienkovatelia">
    <vt:lpwstr>Ministerstvo zdravotníctva Slovenskej republiky, Ministerstvo zdravotníctva Slovenskej republiky, Ministerstvo zdravotníctva Slovenskej republiky, Ministerstvo zdravotníctva Slovenskej republiky, Ministerstvo zdravotníctva Slovenskej republiky, Ministerst</vt:lpwstr>
  </property>
  <property fmtid="{D5CDD505-2E9C-101B-9397-08002B2CF9AE}" pid="143" name="FSC#SKEDITIONSLOVLEX@103.510:rezortcislopredpis">
    <vt:lpwstr>S05077-OL-2017</vt:lpwstr>
  </property>
  <property fmtid="{D5CDD505-2E9C-101B-9397-08002B2CF9AE}" pid="144" name="FSC#SKEDITIONSLOVLEX@103.510:spiscislouv">
    <vt:lpwstr/>
  </property>
  <property fmtid="{D5CDD505-2E9C-101B-9397-08002B2CF9AE}" pid="145" name="FSC#SKEDITIONSLOVLEX@103.510:spravaucastverej">
    <vt:lpwstr>&lt;p style="margin: 0cm 0cm 8pt; text-align: justify;"&gt;&lt;span style="line-height: 107%; font-family: &amp;quot;Times New Roman&amp;quot;,serif; font-size: 12pt;"&gt;&amp;nbsp;&lt;/span&gt;&lt;/p&gt;&lt;p style="margin: 0cm 0cm 8pt; text-align: justify; text-indent: 35.4pt;"&gt;&lt;span style="</vt:lpwstr>
  </property>
  <property fmtid="{D5CDD505-2E9C-101B-9397-08002B2CF9AE}" pid="146" name="FSC#SKEDITIONSLOVLEX@103.510:stavpredpis">
    <vt:lpwstr>Medzirezortné pripomienkové konanie</vt:lpwstr>
  </property>
  <property fmtid="{D5CDD505-2E9C-101B-9397-08002B2CF9AE}" pid="147" name="FSC#SKEDITIONSLOVLEX@103.510:typpredpis">
    <vt:lpwstr>Zákon</vt:lpwstr>
  </property>
  <property fmtid="{D5CDD505-2E9C-101B-9397-08002B2CF9AE}" pid="148" name="FSC#SKEDITIONSLOVLEX@103.510:typsprievdok">
    <vt:lpwstr>Doložka vplyvov</vt:lpwstr>
  </property>
  <property fmtid="{D5CDD505-2E9C-101B-9397-08002B2CF9AE}" pid="149" name="FSC#SKEDITIONSLOVLEX@103.510:ucinnostdo">
    <vt:lpwstr/>
  </property>
  <property fmtid="{D5CDD505-2E9C-101B-9397-08002B2CF9AE}" pid="150" name="FSC#SKEDITIONSLOVLEX@103.510:ucinnostod">
    <vt:lpwstr/>
  </property>
  <property fmtid="{D5CDD505-2E9C-101B-9397-08002B2CF9AE}" pid="151" name="FSC#SKEDITIONSLOVLEX@103.510:uzemplat">
    <vt:lpwstr/>
  </property>
  <property fmtid="{D5CDD505-2E9C-101B-9397-08002B2CF9AE}" pid="152" name="FSC#SKEDITIONSLOVLEX@103.510:vytvorenedna">
    <vt:lpwstr>9. 8. 2017</vt:lpwstr>
  </property>
  <property fmtid="{D5CDD505-2E9C-101B-9397-08002B2CF9AE}" pid="153" name="FSC#SKEDITIONSLOVLEX@103.510:vztahypredpis">
    <vt:lpwstr/>
  </property>
  <property fmtid="{D5CDD505-2E9C-101B-9397-08002B2CF9AE}" pid="154" name="FSC#SKEDITIONSLOVLEX@103.510:zodpinstitucia">
    <vt:lpwstr>Ministerstvo zdravotníctva Slovenskej republiky</vt:lpwstr>
  </property>
  <property fmtid="{D5CDD505-2E9C-101B-9397-08002B2CF9AE}" pid="155" name="FSC#SKEDITIONSLOVLEX@103.510:zodppredkladatel">
    <vt:lpwstr>Tomáš Drucker</vt:lpwstr>
  </property>
  <property fmtid="{D5CDD505-2E9C-101B-9397-08002B2CF9AE}" pid="156" name="HyperlinksChanged">
    <vt:bool>false</vt:bool>
  </property>
  <property fmtid="{D5CDD505-2E9C-101B-9397-08002B2CF9AE}" pid="157" name="LinksUpToDate">
    <vt:bool>false</vt:bool>
  </property>
  <property fmtid="{D5CDD505-2E9C-101B-9397-08002B2CF9AE}" pid="158" name="ScaleCrop">
    <vt:bool>false</vt:bool>
  </property>
  <property fmtid="{D5CDD505-2E9C-101B-9397-08002B2CF9AE}" pid="159" name="ShareDoc">
    <vt:bool>false</vt:bool>
  </property>
</Properties>
</file>