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9212" w:type="dxa"/>
        <w:tblInd w:w="-108" w:type="dxa"/>
        <w:tblLayout w:type="fixed"/>
        <w:tblCellMar>
          <w:left w:w="10" w:type="dxa"/>
          <w:right w:w="10" w:type="dxa"/>
        </w:tblCellMar>
      </w:tblPr>
      <w:tblGrid>
        <w:gridCol w:w="9212"/>
      </w:tblGrid>
      <w:tr>
        <w:tblPrEx>
          <w:tblW w:w="9212" w:type="dxa"/>
          <w:tblInd w:w="-108" w:type="dxa"/>
          <w:tblLayout w:type="fixed"/>
          <w:tblCellMar>
            <w:left w:w="10" w:type="dxa"/>
            <w:right w:w="10" w:type="dxa"/>
          </w:tblCellMar>
        </w:tblPrEx>
        <w:trPr>
          <w:trHeight w:val="567"/>
        </w:trPr>
        <w:tc>
          <w:tcPr>
            <w:tcW w:w="921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extDirection w:val="lrTb"/>
            <w:vAlign w:val="top"/>
          </w:tcPr>
          <w:p w:rsidR="002010D1" w:rsidRPr="00D31BA1" w:rsidP="00287039">
            <w:pPr>
              <w:pStyle w:val="Standard"/>
              <w:bidi w:val="0"/>
              <w:jc w:val="center"/>
              <w:rPr>
                <w:rFonts w:ascii="Times New Roman" w:hAnsi="Times New Roman"/>
                <w:b/>
                <w:sz w:val="24"/>
                <w:szCs w:val="24"/>
              </w:rPr>
            </w:pPr>
            <w:r w:rsidRPr="00D31BA1" w:rsidR="006E5496">
              <w:rPr>
                <w:rFonts w:ascii="Times New Roman" w:hAnsi="Times New Roman"/>
                <w:b/>
                <w:sz w:val="24"/>
                <w:szCs w:val="24"/>
              </w:rPr>
              <w:t>Analýza vplyvov na podnikateľské prostredie</w:t>
            </w:r>
          </w:p>
          <w:p w:rsidR="002010D1" w:rsidRPr="00D31BA1" w:rsidP="00287039">
            <w:pPr>
              <w:pStyle w:val="Standard"/>
              <w:bidi w:val="0"/>
              <w:jc w:val="center"/>
              <w:rPr>
                <w:rFonts w:ascii="Times New Roman" w:hAnsi="Times New Roman"/>
                <w:b/>
                <w:sz w:val="24"/>
                <w:szCs w:val="24"/>
              </w:rPr>
            </w:pPr>
            <w:r w:rsidRPr="00D31BA1" w:rsidR="006E5496">
              <w:rPr>
                <w:rFonts w:ascii="Times New Roman" w:hAnsi="Times New Roman"/>
                <w:b/>
                <w:sz w:val="24"/>
                <w:szCs w:val="24"/>
              </w:rPr>
              <w:t>(vrátane testu MSP)</w:t>
            </w:r>
          </w:p>
        </w:tc>
      </w:tr>
      <w:tr>
        <w:tblPrEx>
          <w:tblW w:w="9212" w:type="dxa"/>
          <w:tblInd w:w="-108" w:type="dxa"/>
          <w:tblLayout w:type="fixed"/>
          <w:tblCellMar>
            <w:left w:w="10" w:type="dxa"/>
            <w:right w:w="10" w:type="dxa"/>
          </w:tblCellMar>
        </w:tblPrEx>
        <w:trPr>
          <w:trHeight w:val="567"/>
        </w:trPr>
        <w:tc>
          <w:tcPr>
            <w:tcW w:w="921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b/>
                <w:sz w:val="24"/>
                <w:szCs w:val="24"/>
              </w:rPr>
            </w:pPr>
            <w:r w:rsidRPr="00D31BA1" w:rsidR="006E5496">
              <w:rPr>
                <w:rFonts w:ascii="Times New Roman" w:hAnsi="Times New Roman"/>
                <w:b/>
                <w:sz w:val="24"/>
                <w:szCs w:val="24"/>
              </w:rPr>
              <w:t>Materiál bude mať vplyv s ohľadom na veľkostnú kategóriu podnikov:</w:t>
            </w:r>
          </w:p>
        </w:tc>
      </w:tr>
      <w:tr>
        <w:tblPrEx>
          <w:tblW w:w="9212" w:type="dxa"/>
          <w:tblInd w:w="-108" w:type="dxa"/>
          <w:tblLayout w:type="fixed"/>
          <w:tblCellMar>
            <w:left w:w="10" w:type="dxa"/>
            <w:right w:w="10" w:type="dxa"/>
          </w:tblCellMar>
        </w:tblPrEx>
        <w:trPr>
          <w:trHeight w:val="567"/>
        </w:trPr>
        <w:tc>
          <w:tcPr>
            <w:tcW w:w="92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extDirection w:val="lrTb"/>
            <w:vAlign w:val="top"/>
          </w:tcPr>
          <w:tbl>
            <w:tblPr>
              <w:tblStyle w:val="TableNormal"/>
              <w:tblW w:w="8981" w:type="dxa"/>
              <w:tblLayout w:type="fixed"/>
              <w:tblCellMar>
                <w:left w:w="10" w:type="dxa"/>
                <w:right w:w="10" w:type="dxa"/>
              </w:tblCellMar>
            </w:tblPr>
            <w:tblGrid>
              <w:gridCol w:w="435"/>
              <w:gridCol w:w="8546"/>
            </w:tblGrid>
            <w:tr>
              <w:tblPrEx>
                <w:tblW w:w="8981" w:type="dxa"/>
                <w:tblLayout w:type="fixed"/>
                <w:tblCellMar>
                  <w:left w:w="10" w:type="dxa"/>
                  <w:right w:w="10" w:type="dxa"/>
                </w:tblCellMar>
              </w:tblPrEx>
              <w:tc>
                <w:tcPr>
                  <w:tcW w:w="435"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tcPr>
                <w:p w:rsidR="002010D1" w:rsidRPr="00D31BA1" w:rsidP="00287039">
                  <w:pPr>
                    <w:pStyle w:val="Standard"/>
                    <w:bidi w:val="0"/>
                    <w:jc w:val="center"/>
                    <w:rPr>
                      <w:rFonts w:ascii="Times New Roman" w:eastAsia="MS Mincho" w:hAnsi="Times New Roman"/>
                      <w:sz w:val="24"/>
                      <w:szCs w:val="24"/>
                    </w:rPr>
                  </w:pPr>
                  <w:r w:rsidRPr="00D31BA1" w:rsidR="006E5496">
                    <w:rPr>
                      <w:rFonts w:ascii="Segoe UI Symbol" w:eastAsia="MS Mincho" w:hAnsi="Segoe UI Symbol" w:cs="Segoe UI Symbol" w:hint="default"/>
                      <w:sz w:val="24"/>
                      <w:szCs w:val="24"/>
                    </w:rPr>
                    <w:t>☐</w:t>
                  </w:r>
                </w:p>
              </w:tc>
              <w:tc>
                <w:tcPr>
                  <w:tcW w:w="854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b/>
                      <w:sz w:val="24"/>
                      <w:szCs w:val="24"/>
                    </w:rPr>
                  </w:pPr>
                  <w:r w:rsidRPr="00D31BA1" w:rsidR="006E5496">
                    <w:rPr>
                      <w:rFonts w:ascii="Times New Roman" w:hAnsi="Times New Roman"/>
                      <w:b/>
                      <w:sz w:val="24"/>
                      <w:szCs w:val="24"/>
                    </w:rPr>
                    <w:t>iba na MSP (0 - 249 zamestnancov)</w:t>
                  </w:r>
                </w:p>
              </w:tc>
            </w:tr>
            <w:tr>
              <w:tblPrEx>
                <w:tblW w:w="8981" w:type="dxa"/>
                <w:tblLayout w:type="fixed"/>
                <w:tblCellMar>
                  <w:left w:w="10" w:type="dxa"/>
                  <w:right w:w="10" w:type="dxa"/>
                </w:tblCellMar>
              </w:tblPrEx>
              <w:tc>
                <w:tcPr>
                  <w:tcW w:w="435"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tcPr>
                <w:p w:rsidR="002010D1" w:rsidRPr="00D31BA1" w:rsidP="00287039">
                  <w:pPr>
                    <w:pStyle w:val="Standard"/>
                    <w:bidi w:val="0"/>
                    <w:jc w:val="center"/>
                    <w:rPr>
                      <w:rFonts w:ascii="Times New Roman" w:eastAsia="MS Mincho" w:hAnsi="Times New Roman"/>
                      <w:sz w:val="24"/>
                      <w:szCs w:val="24"/>
                    </w:rPr>
                  </w:pPr>
                  <w:r w:rsidRPr="00D31BA1" w:rsidR="006E5496">
                    <w:rPr>
                      <w:rFonts w:ascii="Segoe UI Symbol" w:eastAsia="MS Mincho" w:hAnsi="Segoe UI Symbol" w:cs="Segoe UI Symbol" w:hint="default"/>
                      <w:sz w:val="24"/>
                      <w:szCs w:val="24"/>
                    </w:rPr>
                    <w:t>☐</w:t>
                  </w:r>
                </w:p>
              </w:tc>
              <w:tc>
                <w:tcPr>
                  <w:tcW w:w="854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b/>
                      <w:sz w:val="24"/>
                      <w:szCs w:val="24"/>
                    </w:rPr>
                  </w:pPr>
                  <w:r w:rsidRPr="00D31BA1" w:rsidR="006E5496">
                    <w:rPr>
                      <w:rFonts w:ascii="Times New Roman" w:hAnsi="Times New Roman"/>
                      <w:b/>
                      <w:sz w:val="24"/>
                      <w:szCs w:val="24"/>
                    </w:rPr>
                    <w:t>iba na veľké podniky (250 a viac zamestnancov)</w:t>
                  </w:r>
                </w:p>
              </w:tc>
            </w:tr>
            <w:tr>
              <w:tblPrEx>
                <w:tblW w:w="8981" w:type="dxa"/>
                <w:tblLayout w:type="fixed"/>
                <w:tblCellMar>
                  <w:left w:w="10" w:type="dxa"/>
                  <w:right w:w="10" w:type="dxa"/>
                </w:tblCellMar>
              </w:tblPrEx>
              <w:tc>
                <w:tcPr>
                  <w:tcW w:w="435"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tcPr>
                <w:p w:rsidR="002010D1" w:rsidRPr="00D31BA1" w:rsidP="00287039">
                  <w:pPr>
                    <w:pStyle w:val="Standard"/>
                    <w:bidi w:val="0"/>
                    <w:jc w:val="center"/>
                    <w:rPr>
                      <w:rFonts w:ascii="Times New Roman" w:eastAsia="MS Gothic" w:hAnsi="Times New Roman"/>
                      <w:sz w:val="24"/>
                      <w:szCs w:val="24"/>
                    </w:rPr>
                  </w:pPr>
                  <w:r w:rsidRPr="00D31BA1" w:rsidR="006E5496">
                    <w:rPr>
                      <w:rFonts w:ascii="Segoe UI Symbol" w:eastAsia="MS Gothic" w:hAnsi="Segoe UI Symbol" w:cs="Segoe UI Symbol" w:hint="default"/>
                      <w:sz w:val="24"/>
                      <w:szCs w:val="24"/>
                    </w:rPr>
                    <w:t>☒</w:t>
                  </w:r>
                </w:p>
              </w:tc>
              <w:tc>
                <w:tcPr>
                  <w:tcW w:w="854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b/>
                      <w:sz w:val="24"/>
                      <w:szCs w:val="24"/>
                    </w:rPr>
                  </w:pPr>
                  <w:r w:rsidRPr="00D31BA1" w:rsidR="006E5496">
                    <w:rPr>
                      <w:rFonts w:ascii="Times New Roman" w:hAnsi="Times New Roman"/>
                      <w:b/>
                      <w:sz w:val="24"/>
                      <w:szCs w:val="24"/>
                    </w:rPr>
                    <w:t>na všetky kategórie podnikov</w:t>
                  </w:r>
                </w:p>
              </w:tc>
            </w:tr>
          </w:tbl>
          <w:p w:rsidR="002010D1" w:rsidRPr="00D31BA1" w:rsidP="00287039">
            <w:pPr>
              <w:pStyle w:val="Standard"/>
              <w:bidi w:val="0"/>
              <w:rPr>
                <w:rFonts w:ascii="Times New Roman" w:hAnsi="Times New Roman"/>
                <w:b/>
                <w:sz w:val="24"/>
                <w:szCs w:val="24"/>
              </w:rPr>
            </w:pPr>
          </w:p>
        </w:tc>
      </w:tr>
      <w:tr>
        <w:tblPrEx>
          <w:tblW w:w="9212" w:type="dxa"/>
          <w:tblInd w:w="-108" w:type="dxa"/>
          <w:tblLayout w:type="fixed"/>
          <w:tblCellMar>
            <w:left w:w="10" w:type="dxa"/>
            <w:right w:w="10" w:type="dxa"/>
          </w:tblCellMar>
        </w:tblPrEx>
        <w:tc>
          <w:tcPr>
            <w:tcW w:w="921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b/>
                <w:sz w:val="24"/>
                <w:szCs w:val="24"/>
              </w:rPr>
            </w:pPr>
            <w:r w:rsidRPr="00D31BA1" w:rsidR="006E5496">
              <w:rPr>
                <w:rFonts w:ascii="Times New Roman" w:hAnsi="Times New Roman"/>
                <w:b/>
                <w:sz w:val="24"/>
                <w:szCs w:val="24"/>
              </w:rPr>
              <w:t>3.1 Dotknuté podnikateľské subjekty</w:t>
            </w:r>
          </w:p>
          <w:p w:rsidR="002010D1" w:rsidRPr="00D31BA1" w:rsidP="00287039">
            <w:pPr>
              <w:pStyle w:val="Standard"/>
              <w:bidi w:val="0"/>
              <w:ind w:left="284"/>
              <w:rPr>
                <w:rFonts w:ascii="Times New Roman" w:hAnsi="Times New Roman"/>
                <w:sz w:val="24"/>
                <w:szCs w:val="24"/>
              </w:rPr>
            </w:pPr>
            <w:r w:rsidRPr="00D31BA1" w:rsidR="006E5496">
              <w:rPr>
                <w:rFonts w:ascii="Times New Roman" w:hAnsi="Times New Roman"/>
                <w:sz w:val="24"/>
                <w:szCs w:val="24"/>
              </w:rPr>
              <w:t xml:space="preserve"> - </w:t>
            </w:r>
            <w:r w:rsidRPr="00D31BA1" w:rsidR="006E5496">
              <w:rPr>
                <w:rFonts w:ascii="Times New Roman" w:hAnsi="Times New Roman"/>
                <w:b/>
                <w:sz w:val="24"/>
                <w:szCs w:val="24"/>
              </w:rPr>
              <w:t>z toho MSP</w:t>
            </w:r>
          </w:p>
        </w:tc>
      </w:tr>
      <w:tr>
        <w:tblPrEx>
          <w:tblW w:w="9212" w:type="dxa"/>
          <w:tblInd w:w="-108" w:type="dxa"/>
          <w:tblLayout w:type="fixed"/>
          <w:tblCellMar>
            <w:left w:w="10" w:type="dxa"/>
            <w:right w:w="10" w:type="dxa"/>
          </w:tblCellMar>
        </w:tblPrEx>
        <w:tc>
          <w:tcPr>
            <w:tcW w:w="9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i/>
                <w:sz w:val="24"/>
                <w:szCs w:val="24"/>
              </w:rPr>
            </w:pPr>
            <w:r w:rsidRPr="00D31BA1" w:rsidR="006E5496">
              <w:rPr>
                <w:rFonts w:ascii="Times New Roman" w:hAnsi="Times New Roman"/>
                <w:i/>
                <w:sz w:val="24"/>
                <w:szCs w:val="24"/>
              </w:rPr>
              <w:t>Uveďte, aké podnikateľské subjekty budú predkladaným návrhom ovplyvnené.</w:t>
            </w:r>
          </w:p>
          <w:p w:rsidR="002010D1" w:rsidRPr="00D31BA1" w:rsidP="00287039">
            <w:pPr>
              <w:pStyle w:val="Standard"/>
              <w:bidi w:val="0"/>
              <w:rPr>
                <w:rFonts w:ascii="Times New Roman" w:hAnsi="Times New Roman"/>
                <w:i/>
                <w:sz w:val="24"/>
                <w:szCs w:val="24"/>
              </w:rPr>
            </w:pPr>
            <w:r w:rsidRPr="00D31BA1" w:rsidR="006E5496">
              <w:rPr>
                <w:rFonts w:ascii="Times New Roman" w:hAnsi="Times New Roman"/>
                <w:i/>
                <w:sz w:val="24"/>
                <w:szCs w:val="24"/>
              </w:rPr>
              <w:t>Aký je ich počet?</w:t>
            </w:r>
          </w:p>
        </w:tc>
      </w:tr>
      <w:tr>
        <w:tblPrEx>
          <w:tblW w:w="9212" w:type="dxa"/>
          <w:tblInd w:w="-108" w:type="dxa"/>
          <w:tblLayout w:type="fixed"/>
          <w:tblCellMar>
            <w:left w:w="10" w:type="dxa"/>
            <w:right w:w="10" w:type="dxa"/>
          </w:tblCellMar>
        </w:tblPrEx>
        <w:trPr>
          <w:trHeight w:val="1440"/>
        </w:trPr>
        <w:tc>
          <w:tcPr>
            <w:tcW w:w="9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jc w:val="both"/>
              <w:rPr>
                <w:rFonts w:ascii="Times New Roman" w:hAnsi="Times New Roman"/>
                <w:sz w:val="24"/>
                <w:szCs w:val="24"/>
              </w:rPr>
            </w:pPr>
            <w:r w:rsidRPr="00D31BA1" w:rsidR="006E5496">
              <w:rPr>
                <w:rFonts w:ascii="Times New Roman" w:hAnsi="Times New Roman"/>
                <w:sz w:val="24"/>
                <w:szCs w:val="24"/>
              </w:rPr>
              <w:t xml:space="preserve">Návrh zákona sa dotkne </w:t>
            </w:r>
            <w:r w:rsidRPr="00D31BA1" w:rsidR="00635B4B">
              <w:rPr>
                <w:rFonts w:ascii="Times New Roman" w:hAnsi="Times New Roman"/>
                <w:sz w:val="24"/>
                <w:szCs w:val="24"/>
              </w:rPr>
              <w:t xml:space="preserve">celého </w:t>
            </w:r>
            <w:r w:rsidRPr="00D31BA1" w:rsidR="00F05867">
              <w:rPr>
                <w:rFonts w:ascii="Times New Roman" w:hAnsi="Times New Roman"/>
                <w:sz w:val="24"/>
                <w:szCs w:val="24"/>
              </w:rPr>
              <w:t>podnikateľ</w:t>
            </w:r>
            <w:r w:rsidRPr="00D31BA1" w:rsidR="003D0EDD">
              <w:rPr>
                <w:rFonts w:ascii="Times New Roman" w:hAnsi="Times New Roman"/>
                <w:sz w:val="24"/>
                <w:szCs w:val="24"/>
              </w:rPr>
              <w:t>ského prostredia</w:t>
            </w:r>
            <w:r w:rsidRPr="00D31BA1" w:rsidR="00635B4B">
              <w:rPr>
                <w:rFonts w:ascii="Times New Roman" w:hAnsi="Times New Roman"/>
                <w:sz w:val="24"/>
                <w:szCs w:val="24"/>
              </w:rPr>
              <w:t xml:space="preserve">. Konkrétneho </w:t>
            </w:r>
            <w:r w:rsidRPr="00D31BA1" w:rsidR="00BE74D9">
              <w:rPr>
                <w:rFonts w:ascii="Times New Roman" w:hAnsi="Times New Roman"/>
                <w:sz w:val="24"/>
                <w:szCs w:val="24"/>
              </w:rPr>
              <w:t xml:space="preserve">podnikateľa </w:t>
            </w:r>
            <w:r w:rsidRPr="00D31BA1" w:rsidR="00635B4B">
              <w:rPr>
                <w:rFonts w:ascii="Times New Roman" w:hAnsi="Times New Roman"/>
                <w:sz w:val="24"/>
                <w:szCs w:val="24"/>
              </w:rPr>
              <w:t xml:space="preserve">sa dotkne, </w:t>
            </w:r>
            <w:r w:rsidRPr="00D31BA1" w:rsidR="006E5496">
              <w:rPr>
                <w:rFonts w:ascii="Times New Roman" w:hAnsi="Times New Roman"/>
                <w:sz w:val="24"/>
                <w:szCs w:val="24"/>
              </w:rPr>
              <w:t>ak</w:t>
            </w:r>
            <w:r w:rsidRPr="00D31BA1" w:rsidR="00F05867">
              <w:rPr>
                <w:rFonts w:ascii="Times New Roman" w:hAnsi="Times New Roman"/>
                <w:sz w:val="24"/>
                <w:szCs w:val="24"/>
              </w:rPr>
              <w:t xml:space="preserve"> </w:t>
            </w:r>
            <w:r w:rsidRPr="00D31BA1" w:rsidR="00635B4B">
              <w:rPr>
                <w:rFonts w:ascii="Times New Roman" w:hAnsi="Times New Roman"/>
                <w:sz w:val="24"/>
                <w:szCs w:val="24"/>
              </w:rPr>
              <w:t>tento</w:t>
            </w:r>
            <w:r w:rsidRPr="00D31BA1" w:rsidR="006E5496">
              <w:rPr>
                <w:rFonts w:ascii="Times New Roman" w:hAnsi="Times New Roman"/>
                <w:sz w:val="24"/>
                <w:szCs w:val="24"/>
              </w:rPr>
              <w:t xml:space="preserve"> spracúva osobné údaje v pozícii</w:t>
            </w:r>
            <w:r w:rsidRPr="00D31BA1" w:rsidR="003D0EDD">
              <w:rPr>
                <w:rFonts w:ascii="Times New Roman" w:hAnsi="Times New Roman"/>
                <w:sz w:val="24"/>
                <w:szCs w:val="24"/>
              </w:rPr>
              <w:t xml:space="preserve"> prevádzkovateľa a určuje sám</w:t>
            </w:r>
            <w:r w:rsidRPr="00D31BA1" w:rsidR="006E5496">
              <w:rPr>
                <w:rFonts w:ascii="Times New Roman" w:hAnsi="Times New Roman"/>
                <w:sz w:val="24"/>
                <w:szCs w:val="24"/>
              </w:rPr>
              <w:t xml:space="preserve"> účely a</w:t>
            </w:r>
            <w:r w:rsidRPr="00D31BA1" w:rsidR="00BE74D9">
              <w:rPr>
                <w:rFonts w:ascii="Times New Roman" w:hAnsi="Times New Roman"/>
                <w:sz w:val="24"/>
                <w:szCs w:val="24"/>
              </w:rPr>
              <w:t xml:space="preserve"> prípadne </w:t>
            </w:r>
            <w:r w:rsidRPr="00D31BA1" w:rsidR="006E5496">
              <w:rPr>
                <w:rFonts w:ascii="Times New Roman" w:hAnsi="Times New Roman"/>
                <w:sz w:val="24"/>
                <w:szCs w:val="24"/>
              </w:rPr>
              <w:t>prostriedky spracúvania osobných údajov</w:t>
            </w:r>
            <w:r w:rsidRPr="00D31BA1" w:rsidR="00635B4B">
              <w:rPr>
                <w:rFonts w:ascii="Times New Roman" w:hAnsi="Times New Roman"/>
                <w:sz w:val="24"/>
                <w:szCs w:val="24"/>
              </w:rPr>
              <w:t xml:space="preserve"> alebo mu ich určuje osobitný </w:t>
            </w:r>
            <w:r w:rsidRPr="00D31BA1" w:rsidR="00C822BE">
              <w:rPr>
                <w:rFonts w:ascii="Times New Roman" w:hAnsi="Times New Roman"/>
                <w:sz w:val="24"/>
                <w:szCs w:val="24"/>
              </w:rPr>
              <w:t>zákon</w:t>
            </w:r>
            <w:r w:rsidRPr="00D31BA1" w:rsidR="006E5496">
              <w:rPr>
                <w:rFonts w:ascii="Times New Roman" w:hAnsi="Times New Roman"/>
                <w:sz w:val="24"/>
                <w:szCs w:val="24"/>
              </w:rPr>
              <w:t xml:space="preserve"> alebo osobné údaje spracúva v mene prevádzkovateľa</w:t>
            </w:r>
            <w:r w:rsidRPr="00D31BA1" w:rsidR="00635B4B">
              <w:rPr>
                <w:rFonts w:ascii="Times New Roman" w:hAnsi="Times New Roman"/>
                <w:sz w:val="24"/>
                <w:szCs w:val="24"/>
              </w:rPr>
              <w:t>,</w:t>
            </w:r>
            <w:r w:rsidRPr="00D31BA1" w:rsidR="006E5496">
              <w:rPr>
                <w:rFonts w:ascii="Times New Roman" w:hAnsi="Times New Roman"/>
                <w:sz w:val="24"/>
                <w:szCs w:val="24"/>
              </w:rPr>
              <w:t xml:space="preserve"> ako</w:t>
            </w:r>
            <w:r w:rsidRPr="00D31BA1" w:rsidR="00635B4B">
              <w:rPr>
                <w:rFonts w:ascii="Times New Roman" w:hAnsi="Times New Roman"/>
                <w:sz w:val="24"/>
                <w:szCs w:val="24"/>
              </w:rPr>
              <w:t xml:space="preserve"> jeho</w:t>
            </w:r>
            <w:r w:rsidRPr="00D31BA1" w:rsidR="00F639C0">
              <w:rPr>
                <w:rFonts w:ascii="Times New Roman" w:hAnsi="Times New Roman"/>
                <w:sz w:val="24"/>
                <w:szCs w:val="24"/>
              </w:rPr>
              <w:t xml:space="preserve"> sprostredkovateľ; právna </w:t>
            </w:r>
            <w:r w:rsidRPr="00D31BA1" w:rsidR="003D0EDD">
              <w:rPr>
                <w:rFonts w:ascii="Times New Roman" w:hAnsi="Times New Roman"/>
                <w:sz w:val="24"/>
                <w:szCs w:val="24"/>
              </w:rPr>
              <w:t xml:space="preserve">forma </w:t>
            </w:r>
            <w:r w:rsidRPr="00D31BA1" w:rsidR="00F639C0">
              <w:rPr>
                <w:rFonts w:ascii="Times New Roman" w:hAnsi="Times New Roman"/>
                <w:sz w:val="24"/>
                <w:szCs w:val="24"/>
              </w:rPr>
              <w:t xml:space="preserve">podnikateľského subjektu </w:t>
            </w:r>
            <w:r w:rsidRPr="00D31BA1" w:rsidR="003D0EDD">
              <w:rPr>
                <w:rFonts w:ascii="Times New Roman" w:hAnsi="Times New Roman"/>
                <w:sz w:val="24"/>
                <w:szCs w:val="24"/>
              </w:rPr>
              <w:t xml:space="preserve">nie je </w:t>
            </w:r>
            <w:r w:rsidRPr="00D31BA1" w:rsidR="00C822BE">
              <w:rPr>
                <w:rFonts w:ascii="Times New Roman" w:hAnsi="Times New Roman"/>
                <w:sz w:val="24"/>
                <w:szCs w:val="24"/>
              </w:rPr>
              <w:t xml:space="preserve">v tomto prípade </w:t>
            </w:r>
            <w:r w:rsidRPr="00D31BA1" w:rsidR="003D0EDD">
              <w:rPr>
                <w:rFonts w:ascii="Times New Roman" w:hAnsi="Times New Roman"/>
                <w:sz w:val="24"/>
                <w:szCs w:val="24"/>
              </w:rPr>
              <w:t>rozhodujúca</w:t>
            </w:r>
            <w:r w:rsidRPr="00D31BA1" w:rsidR="0024404E">
              <w:rPr>
                <w:rFonts w:ascii="Times New Roman" w:hAnsi="Times New Roman"/>
                <w:sz w:val="24"/>
                <w:szCs w:val="24"/>
              </w:rPr>
              <w:t xml:space="preserve">. Vzhľadom k vyššie uvedenému, </w:t>
            </w:r>
            <w:r w:rsidRPr="00D31BA1" w:rsidR="006E5496">
              <w:rPr>
                <w:rFonts w:ascii="Times New Roman" w:hAnsi="Times New Roman"/>
                <w:sz w:val="24"/>
                <w:szCs w:val="24"/>
              </w:rPr>
              <w:t>počet subjektov nie je m</w:t>
            </w:r>
            <w:r w:rsidRPr="00D31BA1" w:rsidR="00F639C0">
              <w:rPr>
                <w:rFonts w:ascii="Times New Roman" w:hAnsi="Times New Roman"/>
                <w:sz w:val="24"/>
                <w:szCs w:val="24"/>
              </w:rPr>
              <w:t xml:space="preserve">ožné exaktne vyčísliť; odhadom </w:t>
            </w:r>
            <w:r w:rsidRPr="00D31BA1" w:rsidR="00C822BE">
              <w:rPr>
                <w:rFonts w:ascii="Times New Roman" w:hAnsi="Times New Roman"/>
                <w:sz w:val="24"/>
                <w:szCs w:val="24"/>
              </w:rPr>
              <w:t xml:space="preserve">podľa Centra pre lepšiu reguláciu </w:t>
            </w:r>
            <w:r w:rsidRPr="00D31BA1" w:rsidR="00F639C0">
              <w:rPr>
                <w:rFonts w:ascii="Times New Roman" w:hAnsi="Times New Roman"/>
                <w:sz w:val="24"/>
                <w:szCs w:val="24"/>
              </w:rPr>
              <w:t>pôjde o približne  530 000 podnikateľských subjektov.</w:t>
            </w:r>
          </w:p>
        </w:tc>
      </w:tr>
      <w:tr>
        <w:tblPrEx>
          <w:tblW w:w="9212" w:type="dxa"/>
          <w:tblInd w:w="-108" w:type="dxa"/>
          <w:tblLayout w:type="fixed"/>
          <w:tblCellMar>
            <w:left w:w="10" w:type="dxa"/>
            <w:right w:w="10" w:type="dxa"/>
          </w:tblCellMar>
        </w:tblPrEx>
        <w:trPr>
          <w:trHeight w:val="339"/>
        </w:trPr>
        <w:tc>
          <w:tcPr>
            <w:tcW w:w="921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b/>
                <w:sz w:val="24"/>
                <w:szCs w:val="24"/>
              </w:rPr>
            </w:pPr>
            <w:r w:rsidRPr="00D31BA1" w:rsidR="006E5496">
              <w:rPr>
                <w:rFonts w:ascii="Times New Roman" w:hAnsi="Times New Roman"/>
                <w:b/>
                <w:sz w:val="24"/>
                <w:szCs w:val="24"/>
              </w:rPr>
              <w:t>3.2 Vyhodnotenie konzultácií</w:t>
            </w:r>
          </w:p>
          <w:p w:rsidR="002010D1" w:rsidRPr="00D31BA1" w:rsidP="00287039">
            <w:pPr>
              <w:pStyle w:val="Standard"/>
              <w:bidi w:val="0"/>
              <w:rPr>
                <w:rFonts w:ascii="Times New Roman" w:hAnsi="Times New Roman"/>
                <w:sz w:val="24"/>
                <w:szCs w:val="24"/>
              </w:rPr>
            </w:pPr>
            <w:r w:rsidRPr="00D31BA1" w:rsidR="006E5496">
              <w:rPr>
                <w:rFonts w:ascii="Times New Roman" w:hAnsi="Times New Roman"/>
                <w:sz w:val="24"/>
                <w:szCs w:val="24"/>
              </w:rPr>
              <w:t xml:space="preserve">       - </w:t>
            </w:r>
            <w:r w:rsidRPr="00D31BA1" w:rsidR="006E5496">
              <w:rPr>
                <w:rFonts w:ascii="Times New Roman" w:hAnsi="Times New Roman"/>
                <w:b/>
                <w:sz w:val="24"/>
                <w:szCs w:val="24"/>
              </w:rPr>
              <w:t>z toho MSP</w:t>
            </w:r>
          </w:p>
        </w:tc>
      </w:tr>
      <w:tr>
        <w:tblPrEx>
          <w:tblW w:w="9212" w:type="dxa"/>
          <w:tblInd w:w="-108" w:type="dxa"/>
          <w:tblLayout w:type="fixed"/>
          <w:tblCellMar>
            <w:left w:w="10" w:type="dxa"/>
            <w:right w:w="10" w:type="dxa"/>
          </w:tblCellMar>
        </w:tblPrEx>
        <w:trPr>
          <w:trHeight w:val="557"/>
        </w:trPr>
        <w:tc>
          <w:tcPr>
            <w:tcW w:w="9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i/>
                <w:sz w:val="24"/>
                <w:szCs w:val="24"/>
              </w:rPr>
            </w:pPr>
            <w:r w:rsidRPr="00D31BA1" w:rsidR="006E5496">
              <w:rPr>
                <w:rFonts w:ascii="Times New Roman" w:hAnsi="Times New Roman"/>
                <w:i/>
                <w:sz w:val="24"/>
                <w:szCs w:val="24"/>
              </w:rPr>
              <w:t>Uveďte, akou formou (verejné alebo cielené konzultácie a prečo) a s kým bol návrh konzultovaný.</w:t>
            </w:r>
          </w:p>
          <w:p w:rsidR="002010D1" w:rsidRPr="00D31BA1" w:rsidP="00287039">
            <w:pPr>
              <w:pStyle w:val="Standard"/>
              <w:bidi w:val="0"/>
              <w:rPr>
                <w:rFonts w:ascii="Times New Roman" w:hAnsi="Times New Roman"/>
                <w:i/>
                <w:sz w:val="24"/>
                <w:szCs w:val="24"/>
              </w:rPr>
            </w:pPr>
            <w:r w:rsidRPr="00D31BA1" w:rsidR="006E5496">
              <w:rPr>
                <w:rFonts w:ascii="Times New Roman" w:hAnsi="Times New Roman"/>
                <w:i/>
                <w:sz w:val="24"/>
                <w:szCs w:val="24"/>
              </w:rPr>
              <w:t>Ako dlho trvali konzultácie?</w:t>
            </w:r>
          </w:p>
          <w:p w:rsidR="002010D1" w:rsidRPr="00D31BA1" w:rsidP="00287039">
            <w:pPr>
              <w:pStyle w:val="Standard"/>
              <w:bidi w:val="0"/>
              <w:rPr>
                <w:rFonts w:ascii="Times New Roman" w:hAnsi="Times New Roman"/>
                <w:i/>
                <w:sz w:val="24"/>
                <w:szCs w:val="24"/>
              </w:rPr>
            </w:pPr>
            <w:r w:rsidRPr="00D31BA1" w:rsidR="006E5496">
              <w:rPr>
                <w:rFonts w:ascii="Times New Roman" w:hAnsi="Times New Roman"/>
                <w:i/>
                <w:sz w:val="24"/>
                <w:szCs w:val="24"/>
              </w:rPr>
              <w:t>Uveďte hlavné body konzultácií a výsledky konzultácií.</w:t>
            </w:r>
          </w:p>
        </w:tc>
      </w:tr>
      <w:tr>
        <w:tblPrEx>
          <w:tblW w:w="9212" w:type="dxa"/>
          <w:tblInd w:w="-108" w:type="dxa"/>
          <w:tblLayout w:type="fixed"/>
          <w:tblCellMar>
            <w:left w:w="10" w:type="dxa"/>
            <w:right w:w="10" w:type="dxa"/>
          </w:tblCellMar>
        </w:tblPrEx>
        <w:trPr>
          <w:trHeight w:val="1440"/>
        </w:trPr>
        <w:tc>
          <w:tcPr>
            <w:tcW w:w="9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F639C0" w:rsidRPr="00D31BA1" w:rsidP="00287039">
            <w:pPr>
              <w:pStyle w:val="Standard"/>
              <w:bidi w:val="0"/>
              <w:jc w:val="both"/>
              <w:rPr>
                <w:rFonts w:ascii="Times New Roman" w:hAnsi="Times New Roman"/>
                <w:sz w:val="24"/>
                <w:szCs w:val="24"/>
              </w:rPr>
            </w:pPr>
            <w:r w:rsidRPr="00D31BA1" w:rsidR="00EC37F8">
              <w:rPr>
                <w:rFonts w:ascii="Times New Roman" w:hAnsi="Times New Roman"/>
                <w:sz w:val="24"/>
                <w:szCs w:val="24"/>
              </w:rPr>
              <w:t xml:space="preserve">K navrhovanému materiálu bola zverejnená predbežná informácia </w:t>
            </w:r>
            <w:r w:rsidRPr="00D31BA1" w:rsidR="00C822BE">
              <w:rPr>
                <w:rFonts w:ascii="Times New Roman" w:hAnsi="Times New Roman"/>
                <w:sz w:val="24"/>
                <w:szCs w:val="24"/>
              </w:rPr>
              <w:t xml:space="preserve">na Portáli; </w:t>
            </w:r>
            <w:r w:rsidRPr="00D31BA1" w:rsidR="00F507E8">
              <w:rPr>
                <w:rFonts w:ascii="Times New Roman" w:hAnsi="Times New Roman"/>
                <w:sz w:val="24"/>
                <w:szCs w:val="24"/>
              </w:rPr>
              <w:t xml:space="preserve">PI/2016/184, ku ktorej sa bolo možné vyjadriť v období od 7.11. 2016 do 30.11. 2016 a </w:t>
            </w:r>
            <w:r w:rsidRPr="00D31BA1" w:rsidR="00EC37F8">
              <w:rPr>
                <w:rFonts w:ascii="Times New Roman" w:hAnsi="Times New Roman"/>
                <w:sz w:val="24"/>
                <w:szCs w:val="24"/>
              </w:rPr>
              <w:t>PI/2017/3, ku ktorej sa bolo možné vyjadriť v období od 10.01.2017 do 31.01.2017</w:t>
            </w:r>
            <w:r w:rsidRPr="00D31BA1" w:rsidR="00C822BE">
              <w:rPr>
                <w:rFonts w:ascii="Times New Roman" w:hAnsi="Times New Roman"/>
                <w:sz w:val="24"/>
                <w:szCs w:val="24"/>
              </w:rPr>
              <w:t>. Predbežné informácie boli zverejnené</w:t>
            </w:r>
            <w:r w:rsidRPr="00D31BA1" w:rsidR="006E5496">
              <w:rPr>
                <w:rFonts w:ascii="Times New Roman" w:hAnsi="Times New Roman"/>
                <w:sz w:val="24"/>
                <w:szCs w:val="24"/>
              </w:rPr>
              <w:t xml:space="preserve"> na </w:t>
            </w:r>
            <w:r w:rsidRPr="00D31BA1" w:rsidR="00C822BE">
              <w:rPr>
                <w:rFonts w:ascii="Times New Roman" w:hAnsi="Times New Roman"/>
                <w:sz w:val="24"/>
                <w:szCs w:val="24"/>
              </w:rPr>
              <w:t>Portáli</w:t>
            </w:r>
            <w:r w:rsidRPr="00D31BA1" w:rsidR="006E5496">
              <w:rPr>
                <w:rFonts w:ascii="Times New Roman" w:hAnsi="Times New Roman"/>
                <w:sz w:val="24"/>
                <w:szCs w:val="24"/>
              </w:rPr>
              <w:t xml:space="preserve">, na stránkach Úradu na ochranu osobných údajov </w:t>
            </w:r>
            <w:r w:rsidRPr="00D31BA1" w:rsidR="003D0EDD">
              <w:rPr>
                <w:rFonts w:ascii="Times New Roman" w:hAnsi="Times New Roman"/>
                <w:sz w:val="24"/>
                <w:szCs w:val="24"/>
              </w:rPr>
              <w:t xml:space="preserve">Slovenskej republiky </w:t>
            </w:r>
            <w:r w:rsidRPr="00D31BA1" w:rsidR="00C822BE">
              <w:rPr>
                <w:rFonts w:ascii="Times New Roman" w:hAnsi="Times New Roman"/>
                <w:sz w:val="24"/>
                <w:szCs w:val="24"/>
              </w:rPr>
              <w:t>(www.data</w:t>
            </w:r>
            <w:r w:rsidRPr="00D31BA1" w:rsidR="006E5496">
              <w:rPr>
                <w:rFonts w:ascii="Times New Roman" w:hAnsi="Times New Roman"/>
                <w:sz w:val="24"/>
                <w:szCs w:val="24"/>
              </w:rPr>
              <w:t>protection.gov.sk) a na stránke Ministerstva hospodárstva Slovenskej republiky.</w:t>
            </w:r>
            <w:r w:rsidRPr="00D31BA1" w:rsidR="001D6995">
              <w:rPr>
                <w:rFonts w:ascii="Times New Roman" w:hAnsi="Times New Roman"/>
                <w:sz w:val="24"/>
                <w:szCs w:val="24"/>
              </w:rPr>
              <w:t xml:space="preserve"> </w:t>
            </w:r>
          </w:p>
          <w:p w:rsidR="00F639C0" w:rsidRPr="00D31BA1" w:rsidP="00287039">
            <w:pPr>
              <w:pStyle w:val="Standard"/>
              <w:bidi w:val="0"/>
              <w:jc w:val="both"/>
              <w:rPr>
                <w:rFonts w:ascii="Times New Roman" w:hAnsi="Times New Roman"/>
                <w:sz w:val="24"/>
                <w:szCs w:val="24"/>
              </w:rPr>
            </w:pPr>
          </w:p>
          <w:p w:rsidR="002010D1" w:rsidRPr="00D31BA1" w:rsidP="00287039">
            <w:pPr>
              <w:pStyle w:val="Standard"/>
              <w:bidi w:val="0"/>
              <w:jc w:val="both"/>
              <w:rPr>
                <w:rFonts w:ascii="Times New Roman" w:hAnsi="Times New Roman"/>
                <w:sz w:val="24"/>
                <w:szCs w:val="24"/>
              </w:rPr>
            </w:pPr>
            <w:r w:rsidRPr="00D31BA1" w:rsidR="001D6995">
              <w:rPr>
                <w:rFonts w:ascii="Times New Roman" w:hAnsi="Times New Roman"/>
                <w:sz w:val="24"/>
                <w:szCs w:val="24"/>
              </w:rPr>
              <w:t xml:space="preserve">Úrad na ochranu osobných údajov Slovenskej republiky zriadil na účely uľahčenia komunikácie aj samostatnú e-mailovú adresu v rámci konzultácii, </w:t>
            </w:r>
            <w:hyperlink r:id="rId4" w:history="1">
              <w:r w:rsidRPr="00D31BA1" w:rsidR="001D6995">
                <w:rPr>
                  <w:rStyle w:val="Hyperlink"/>
                  <w:rFonts w:ascii="Times New Roman" w:hAnsi="Times New Roman"/>
                  <w:color w:val="auto"/>
                  <w:sz w:val="24"/>
                  <w:szCs w:val="24"/>
                </w:rPr>
                <w:t>nariadenie@pdp.gov.sk</w:t>
              </w:r>
            </w:hyperlink>
            <w:r w:rsidRPr="00D31BA1" w:rsidR="001D6995">
              <w:rPr>
                <w:rFonts w:ascii="Times New Roman" w:hAnsi="Times New Roman"/>
                <w:sz w:val="24"/>
                <w:szCs w:val="24"/>
              </w:rPr>
              <w:t>,</w:t>
            </w:r>
            <w:r w:rsidRPr="00D31BA1" w:rsidR="00D4182C">
              <w:rPr>
                <w:rFonts w:ascii="Times New Roman" w:hAnsi="Times New Roman"/>
                <w:sz w:val="24"/>
                <w:szCs w:val="24"/>
              </w:rPr>
              <w:t xml:space="preserve"> ktorá bola využitá a k obom predbežným informáciám </w:t>
            </w:r>
            <w:r w:rsidRPr="00D31BA1" w:rsidR="001D6995">
              <w:rPr>
                <w:rFonts w:ascii="Times New Roman" w:hAnsi="Times New Roman"/>
                <w:sz w:val="24"/>
                <w:szCs w:val="24"/>
              </w:rPr>
              <w:t>úrad obdržal niekoľko návrhov, s ktorými sa vysporiadal písomne alebo formou osobného stretnuti</w:t>
            </w:r>
            <w:r w:rsidRPr="00D31BA1" w:rsidR="00F639C0">
              <w:rPr>
                <w:rFonts w:ascii="Times New Roman" w:hAnsi="Times New Roman"/>
                <w:sz w:val="24"/>
                <w:szCs w:val="24"/>
              </w:rPr>
              <w:t>a so zástupcom alebo zástupcami konkrétneho subjektu</w:t>
            </w:r>
            <w:r w:rsidRPr="00D31BA1" w:rsidR="001D6995">
              <w:rPr>
                <w:rFonts w:ascii="Times New Roman" w:hAnsi="Times New Roman"/>
                <w:sz w:val="24"/>
                <w:szCs w:val="24"/>
              </w:rPr>
              <w:t>.</w:t>
            </w:r>
          </w:p>
          <w:p w:rsidR="00F639C0" w:rsidRPr="00D31BA1" w:rsidP="00287039">
            <w:pPr>
              <w:pStyle w:val="Standard"/>
              <w:bidi w:val="0"/>
              <w:jc w:val="both"/>
              <w:rPr>
                <w:rFonts w:ascii="Times New Roman" w:hAnsi="Times New Roman"/>
                <w:sz w:val="24"/>
                <w:szCs w:val="24"/>
              </w:rPr>
            </w:pPr>
          </w:p>
          <w:p w:rsidR="002010D1" w:rsidRPr="00D31BA1" w:rsidP="00287039">
            <w:pPr>
              <w:pStyle w:val="Standard"/>
              <w:bidi w:val="0"/>
              <w:jc w:val="both"/>
              <w:rPr>
                <w:rFonts w:ascii="Times New Roman" w:hAnsi="Times New Roman"/>
                <w:sz w:val="24"/>
                <w:szCs w:val="24"/>
              </w:rPr>
            </w:pPr>
            <w:r w:rsidRPr="00D31BA1" w:rsidR="00F639C0">
              <w:rPr>
                <w:rFonts w:ascii="Times New Roman" w:hAnsi="Times New Roman"/>
                <w:sz w:val="24"/>
                <w:szCs w:val="24"/>
              </w:rPr>
              <w:t xml:space="preserve">Mimo doručených názorov a návrhov boli konzultácie </w:t>
            </w:r>
            <w:r w:rsidRPr="00D31BA1" w:rsidR="00D4182C">
              <w:rPr>
                <w:rFonts w:ascii="Times New Roman" w:hAnsi="Times New Roman"/>
                <w:sz w:val="24"/>
                <w:szCs w:val="24"/>
              </w:rPr>
              <w:t xml:space="preserve">cielene </w:t>
            </w:r>
            <w:r w:rsidRPr="00D31BA1" w:rsidR="001D6995">
              <w:rPr>
                <w:rFonts w:ascii="Times New Roman" w:hAnsi="Times New Roman"/>
                <w:sz w:val="24"/>
                <w:szCs w:val="24"/>
              </w:rPr>
              <w:t>vedené aj</w:t>
            </w:r>
            <w:r w:rsidRPr="00D31BA1" w:rsidR="006E5496">
              <w:rPr>
                <w:rFonts w:ascii="Times New Roman" w:hAnsi="Times New Roman"/>
                <w:sz w:val="24"/>
                <w:szCs w:val="24"/>
              </w:rPr>
              <w:t xml:space="preserve"> so zá</w:t>
            </w:r>
            <w:r w:rsidRPr="00D31BA1" w:rsidR="00F05867">
              <w:rPr>
                <w:rFonts w:ascii="Times New Roman" w:hAnsi="Times New Roman"/>
                <w:sz w:val="24"/>
                <w:szCs w:val="24"/>
              </w:rPr>
              <w:t>stupcami Slovak Business Agency</w:t>
            </w:r>
            <w:r w:rsidRPr="00D31BA1" w:rsidR="0024404E">
              <w:rPr>
                <w:rFonts w:ascii="Times New Roman" w:hAnsi="Times New Roman"/>
                <w:sz w:val="24"/>
                <w:szCs w:val="24"/>
              </w:rPr>
              <w:t xml:space="preserve"> (ďalej len „SBA“</w:t>
            </w:r>
            <w:r w:rsidRPr="00D31BA1" w:rsidR="00D4182C">
              <w:rPr>
                <w:rFonts w:ascii="Times New Roman" w:hAnsi="Times New Roman"/>
                <w:sz w:val="24"/>
                <w:szCs w:val="24"/>
              </w:rPr>
              <w:t xml:space="preserve"> prípadne „CLR“, Centrum pre lepšiu reguláciu</w:t>
            </w:r>
            <w:r w:rsidRPr="00D31BA1" w:rsidR="0024404E">
              <w:rPr>
                <w:rFonts w:ascii="Times New Roman" w:hAnsi="Times New Roman"/>
                <w:sz w:val="24"/>
                <w:szCs w:val="24"/>
              </w:rPr>
              <w:t>)</w:t>
            </w:r>
            <w:r w:rsidRPr="00D31BA1" w:rsidR="006E5496">
              <w:rPr>
                <w:rFonts w:ascii="Times New Roman" w:hAnsi="Times New Roman"/>
                <w:sz w:val="24"/>
                <w:szCs w:val="24"/>
              </w:rPr>
              <w:t xml:space="preserve">, </w:t>
            </w:r>
            <w:r w:rsidRPr="00D31BA1" w:rsidR="001D6995">
              <w:rPr>
                <w:rFonts w:ascii="Times New Roman" w:hAnsi="Times New Roman"/>
                <w:sz w:val="24"/>
                <w:szCs w:val="24"/>
              </w:rPr>
              <w:t xml:space="preserve">kedy medzi úradom a SBA prebehla násobná mailová komunikácia a konali sa dve </w:t>
            </w:r>
            <w:r w:rsidRPr="00D31BA1" w:rsidR="00D4182C">
              <w:rPr>
                <w:rFonts w:ascii="Times New Roman" w:hAnsi="Times New Roman"/>
                <w:sz w:val="24"/>
                <w:szCs w:val="24"/>
              </w:rPr>
              <w:t xml:space="preserve">osobné </w:t>
            </w:r>
            <w:r w:rsidRPr="00D31BA1" w:rsidR="001D6995">
              <w:rPr>
                <w:rFonts w:ascii="Times New Roman" w:hAnsi="Times New Roman"/>
                <w:sz w:val="24"/>
                <w:szCs w:val="24"/>
              </w:rPr>
              <w:t xml:space="preserve">stretnutia </w:t>
            </w:r>
            <w:r w:rsidRPr="00D31BA1" w:rsidR="00F639C0">
              <w:rPr>
                <w:rFonts w:ascii="Times New Roman" w:hAnsi="Times New Roman"/>
                <w:sz w:val="24"/>
                <w:szCs w:val="24"/>
              </w:rPr>
              <w:t xml:space="preserve">v priestoroch úradu, kde si zástupcovia úradu </w:t>
            </w:r>
            <w:r w:rsidRPr="00D31BA1" w:rsidR="001D6995">
              <w:rPr>
                <w:rFonts w:ascii="Times New Roman" w:hAnsi="Times New Roman"/>
                <w:sz w:val="24"/>
                <w:szCs w:val="24"/>
              </w:rPr>
              <w:t>s</w:t>
            </w:r>
            <w:r w:rsidRPr="00D31BA1" w:rsidR="00F639C0">
              <w:rPr>
                <w:rFonts w:ascii="Times New Roman" w:hAnsi="Times New Roman"/>
                <w:sz w:val="24"/>
                <w:szCs w:val="24"/>
              </w:rPr>
              <w:t>o zástupcami</w:t>
            </w:r>
            <w:r w:rsidRPr="00D31BA1" w:rsidR="001D6995">
              <w:rPr>
                <w:rFonts w:ascii="Times New Roman" w:hAnsi="Times New Roman"/>
                <w:sz w:val="24"/>
                <w:szCs w:val="24"/>
              </w:rPr>
              <w:t xml:space="preserve"> SBA </w:t>
            </w:r>
            <w:r w:rsidRPr="00D31BA1" w:rsidR="00F639C0">
              <w:rPr>
                <w:rFonts w:ascii="Times New Roman" w:hAnsi="Times New Roman"/>
                <w:sz w:val="24"/>
                <w:szCs w:val="24"/>
              </w:rPr>
              <w:t xml:space="preserve">spoločne prešli a prediskutovali </w:t>
            </w:r>
            <w:r w:rsidRPr="00D31BA1" w:rsidR="001D6995">
              <w:rPr>
                <w:rFonts w:ascii="Times New Roman" w:hAnsi="Times New Roman"/>
                <w:sz w:val="24"/>
                <w:szCs w:val="24"/>
              </w:rPr>
              <w:t>analýzu vplyvov na podnikateľské pr</w:t>
            </w:r>
            <w:r w:rsidRPr="00D31BA1" w:rsidR="00F639C0">
              <w:rPr>
                <w:rFonts w:ascii="Times New Roman" w:hAnsi="Times New Roman"/>
                <w:sz w:val="24"/>
                <w:szCs w:val="24"/>
              </w:rPr>
              <w:t>ostredie</w:t>
            </w:r>
            <w:r w:rsidRPr="00D31BA1" w:rsidR="001D6995">
              <w:rPr>
                <w:rFonts w:ascii="Times New Roman" w:hAnsi="Times New Roman"/>
                <w:sz w:val="24"/>
                <w:szCs w:val="24"/>
              </w:rPr>
              <w:t>.</w:t>
            </w:r>
          </w:p>
          <w:p w:rsidR="00F639C0" w:rsidRPr="00D31BA1" w:rsidP="00287039">
            <w:pPr>
              <w:pStyle w:val="Standard"/>
              <w:bidi w:val="0"/>
              <w:jc w:val="both"/>
              <w:rPr>
                <w:rFonts w:ascii="Times New Roman" w:hAnsi="Times New Roman"/>
                <w:sz w:val="24"/>
                <w:szCs w:val="24"/>
              </w:rPr>
            </w:pPr>
          </w:p>
          <w:p w:rsidR="0042792A" w:rsidRPr="00D31BA1" w:rsidP="00287039">
            <w:pPr>
              <w:pStyle w:val="Standard"/>
              <w:bidi w:val="0"/>
              <w:jc w:val="both"/>
              <w:rPr>
                <w:rFonts w:ascii="Times New Roman" w:hAnsi="Times New Roman"/>
                <w:sz w:val="24"/>
                <w:szCs w:val="24"/>
              </w:rPr>
            </w:pPr>
            <w:r w:rsidRPr="00D31BA1" w:rsidR="004F6F4B">
              <w:rPr>
                <w:rFonts w:ascii="Times New Roman" w:hAnsi="Times New Roman"/>
                <w:sz w:val="24"/>
                <w:szCs w:val="24"/>
              </w:rPr>
              <w:t>Úrad pristúpil aj k iniciatívnemu osloveniu dôležitých partnerov zastupujúcich záujmy rôznych segmentov podnikateľského prostredia</w:t>
            </w:r>
            <w:r w:rsidRPr="00D31BA1" w:rsidR="00F639C0">
              <w:rPr>
                <w:rFonts w:ascii="Times New Roman" w:hAnsi="Times New Roman"/>
                <w:sz w:val="24"/>
                <w:szCs w:val="24"/>
              </w:rPr>
              <w:t xml:space="preserve"> </w:t>
            </w:r>
            <w:r w:rsidRPr="00D31BA1" w:rsidR="006E5496">
              <w:rPr>
                <w:rFonts w:ascii="Times New Roman" w:hAnsi="Times New Roman"/>
                <w:sz w:val="24"/>
                <w:szCs w:val="24"/>
              </w:rPr>
              <w:t xml:space="preserve">(Republiková únia zamestnávateľov, Slovak </w:t>
            </w:r>
            <w:r w:rsidRPr="00D31BA1" w:rsidR="00F639C0">
              <w:rPr>
                <w:rFonts w:ascii="Times New Roman" w:hAnsi="Times New Roman"/>
                <w:sz w:val="24"/>
                <w:szCs w:val="24"/>
              </w:rPr>
              <w:t>Business Agency) a oboznámil ich</w:t>
            </w:r>
            <w:r w:rsidRPr="00D31BA1" w:rsidR="006E5496">
              <w:rPr>
                <w:rFonts w:ascii="Times New Roman" w:hAnsi="Times New Roman"/>
                <w:sz w:val="24"/>
                <w:szCs w:val="24"/>
              </w:rPr>
              <w:t xml:space="preserve"> so zmenami, ktoré prin</w:t>
            </w:r>
            <w:r w:rsidRPr="00D31BA1" w:rsidR="00F639C0">
              <w:rPr>
                <w:rFonts w:ascii="Times New Roman" w:hAnsi="Times New Roman"/>
                <w:sz w:val="24"/>
                <w:szCs w:val="24"/>
              </w:rPr>
              <w:t xml:space="preserve">áša </w:t>
            </w:r>
            <w:r w:rsidRPr="00D31BA1" w:rsidR="006E5496">
              <w:rPr>
                <w:rFonts w:ascii="Times New Roman" w:hAnsi="Times New Roman"/>
                <w:sz w:val="24"/>
                <w:szCs w:val="24"/>
              </w:rPr>
              <w:t xml:space="preserve">nová </w:t>
            </w:r>
            <w:r w:rsidRPr="00D31BA1" w:rsidR="00F639C0">
              <w:rPr>
                <w:rFonts w:ascii="Times New Roman" w:hAnsi="Times New Roman"/>
                <w:sz w:val="24"/>
                <w:szCs w:val="24"/>
              </w:rPr>
              <w:t xml:space="preserve">navrhovaná </w:t>
            </w:r>
            <w:r w:rsidRPr="00D31BA1" w:rsidR="006E5496">
              <w:rPr>
                <w:rFonts w:ascii="Times New Roman" w:hAnsi="Times New Roman"/>
                <w:sz w:val="24"/>
                <w:szCs w:val="24"/>
              </w:rPr>
              <w:t>právna úprava</w:t>
            </w:r>
            <w:r w:rsidRPr="00D31BA1" w:rsidR="00F639C0">
              <w:rPr>
                <w:rFonts w:ascii="Times New Roman" w:hAnsi="Times New Roman"/>
                <w:sz w:val="24"/>
                <w:szCs w:val="24"/>
              </w:rPr>
              <w:t xml:space="preserve"> vo svetle harmonizácie s Nariadením</w:t>
            </w:r>
            <w:r w:rsidRPr="00D31BA1" w:rsidR="006E5496">
              <w:rPr>
                <w:rFonts w:ascii="Times New Roman" w:hAnsi="Times New Roman"/>
                <w:sz w:val="24"/>
                <w:szCs w:val="24"/>
              </w:rPr>
              <w:t>. Zároveň boli informovaní o tom, že Nariadenie je priamo aplikovateľný akt Európskej únie, preto rozsah ním upravených práv a povinností členský štát nemôže rozšíriť alebo zúžiť</w:t>
            </w:r>
            <w:r w:rsidRPr="00D31BA1" w:rsidR="004F6F4B">
              <w:rPr>
                <w:rFonts w:ascii="Times New Roman" w:hAnsi="Times New Roman"/>
                <w:sz w:val="24"/>
                <w:szCs w:val="24"/>
              </w:rPr>
              <w:t>, ale je potrebné</w:t>
            </w:r>
            <w:r w:rsidRPr="00D31BA1">
              <w:rPr>
                <w:rFonts w:ascii="Times New Roman" w:hAnsi="Times New Roman"/>
                <w:sz w:val="24"/>
                <w:szCs w:val="24"/>
              </w:rPr>
              <w:t xml:space="preserve"> sa s ním harmonizovať</w:t>
            </w:r>
            <w:r w:rsidRPr="00D31BA1" w:rsidR="006E5496">
              <w:rPr>
                <w:rFonts w:ascii="Times New Roman" w:hAnsi="Times New Roman"/>
                <w:sz w:val="24"/>
                <w:szCs w:val="24"/>
              </w:rPr>
              <w:t xml:space="preserve">.  Okrem týchto povinností úrad </w:t>
            </w:r>
            <w:r w:rsidRPr="00D31BA1">
              <w:rPr>
                <w:rFonts w:ascii="Times New Roman" w:hAnsi="Times New Roman"/>
                <w:sz w:val="24"/>
                <w:szCs w:val="24"/>
              </w:rPr>
              <w:t xml:space="preserve">informoval, že </w:t>
            </w:r>
            <w:r w:rsidRPr="00D31BA1" w:rsidR="006E5496">
              <w:rPr>
                <w:rFonts w:ascii="Times New Roman" w:hAnsi="Times New Roman"/>
                <w:sz w:val="24"/>
                <w:szCs w:val="24"/>
              </w:rPr>
              <w:t>pristúpil len k minimálnej (ďalšej) právnej úprave založenej na splnomocňujúcich ustanoveniach nariadenia v kapitole IX, ktoré zachovávajú existujúcu prax pri spracúvaní osobných údajov a neprinášajú nové administratívne zaťaženie pre podnikateľské subjekty</w:t>
            </w:r>
            <w:r w:rsidRPr="00D31BA1">
              <w:rPr>
                <w:rFonts w:ascii="Times New Roman" w:hAnsi="Times New Roman"/>
                <w:sz w:val="24"/>
                <w:szCs w:val="24"/>
              </w:rPr>
              <w:t xml:space="preserve"> (</w:t>
            </w:r>
            <w:r w:rsidRPr="00D31BA1" w:rsidR="00BE74D9">
              <w:rPr>
                <w:rFonts w:ascii="Times New Roman" w:hAnsi="Times New Roman"/>
                <w:sz w:val="24"/>
                <w:szCs w:val="24"/>
              </w:rPr>
              <w:t xml:space="preserve">napr.: </w:t>
            </w:r>
            <w:r w:rsidRPr="00D31BA1">
              <w:rPr>
                <w:rFonts w:ascii="Times New Roman" w:hAnsi="Times New Roman"/>
                <w:sz w:val="24"/>
                <w:szCs w:val="24"/>
              </w:rPr>
              <w:t>spracúvanie osobných údajov prevádzkovateľmi – zamestnávateľmi, spracúvanie rodného čísla v podmienkach Slovenskej republiky, spracúvan</w:t>
            </w:r>
            <w:r w:rsidRPr="00D31BA1" w:rsidR="00BE74D9">
              <w:rPr>
                <w:rFonts w:ascii="Times New Roman" w:hAnsi="Times New Roman"/>
                <w:sz w:val="24"/>
                <w:szCs w:val="24"/>
              </w:rPr>
              <w:t xml:space="preserve">ie na literárne </w:t>
            </w:r>
            <w:r w:rsidRPr="00D31BA1">
              <w:rPr>
                <w:rFonts w:ascii="Times New Roman" w:hAnsi="Times New Roman"/>
                <w:sz w:val="24"/>
                <w:szCs w:val="24"/>
              </w:rPr>
              <w:t>účely, spracúvanie na účely štatistické, spracúvanie osobitných kategórií osobných údajov na základe osobitných zákonov)</w:t>
            </w:r>
            <w:r w:rsidRPr="00D31BA1" w:rsidR="006E5496">
              <w:rPr>
                <w:rFonts w:ascii="Times New Roman" w:hAnsi="Times New Roman"/>
                <w:sz w:val="24"/>
                <w:szCs w:val="24"/>
              </w:rPr>
              <w:t xml:space="preserve">. </w:t>
            </w:r>
          </w:p>
          <w:p w:rsidR="0024404E" w:rsidRPr="00D31BA1" w:rsidP="00287039">
            <w:pPr>
              <w:pStyle w:val="Standard"/>
              <w:bidi w:val="0"/>
              <w:jc w:val="both"/>
              <w:rPr>
                <w:rFonts w:ascii="Times New Roman" w:hAnsi="Times New Roman"/>
                <w:sz w:val="24"/>
                <w:szCs w:val="24"/>
              </w:rPr>
            </w:pPr>
          </w:p>
          <w:p w:rsidR="001D6995" w:rsidRPr="00D31BA1" w:rsidP="00287039">
            <w:pPr>
              <w:pStyle w:val="Standard"/>
              <w:bidi w:val="0"/>
              <w:jc w:val="both"/>
              <w:rPr>
                <w:rFonts w:ascii="Times New Roman" w:hAnsi="Times New Roman"/>
                <w:sz w:val="24"/>
                <w:szCs w:val="24"/>
              </w:rPr>
            </w:pPr>
            <w:r w:rsidRPr="00D31BA1">
              <w:rPr>
                <w:rFonts w:ascii="Times New Roman" w:hAnsi="Times New Roman"/>
                <w:sz w:val="24"/>
                <w:szCs w:val="24"/>
              </w:rPr>
              <w:t>V apríli 20</w:t>
            </w:r>
            <w:r w:rsidRPr="00D31BA1" w:rsidR="004F6F4B">
              <w:rPr>
                <w:rFonts w:ascii="Times New Roman" w:hAnsi="Times New Roman"/>
                <w:sz w:val="24"/>
                <w:szCs w:val="24"/>
              </w:rPr>
              <w:t>17, keď už úrad mal</w:t>
            </w:r>
            <w:r w:rsidRPr="00D31BA1">
              <w:rPr>
                <w:rFonts w:ascii="Times New Roman" w:hAnsi="Times New Roman"/>
                <w:sz w:val="24"/>
                <w:szCs w:val="24"/>
              </w:rPr>
              <w:t xml:space="preserve"> „</w:t>
            </w:r>
            <w:r w:rsidRPr="00D31BA1">
              <w:rPr>
                <w:rFonts w:ascii="Times New Roman" w:hAnsi="Times New Roman"/>
                <w:i/>
                <w:sz w:val="24"/>
                <w:szCs w:val="24"/>
              </w:rPr>
              <w:t>pracovnú verziu návrhu zákona</w:t>
            </w:r>
            <w:r w:rsidRPr="00D31BA1">
              <w:rPr>
                <w:rFonts w:ascii="Times New Roman" w:hAnsi="Times New Roman"/>
                <w:sz w:val="24"/>
                <w:szCs w:val="24"/>
              </w:rPr>
              <w:t>“ túto elektronicky zaslal dôležitým partnerom</w:t>
            </w:r>
            <w:r w:rsidRPr="00D31BA1" w:rsidR="004F6F4B">
              <w:rPr>
                <w:rFonts w:ascii="Times New Roman" w:hAnsi="Times New Roman"/>
                <w:sz w:val="24"/>
                <w:szCs w:val="24"/>
              </w:rPr>
              <w:t>, zástupcom jednotlivých segmentov nielen podnikateľského prostredia</w:t>
            </w:r>
            <w:r w:rsidRPr="00D31BA1">
              <w:rPr>
                <w:rFonts w:ascii="Times New Roman" w:hAnsi="Times New Roman"/>
                <w:sz w:val="24"/>
                <w:szCs w:val="24"/>
              </w:rPr>
              <w:t xml:space="preserve"> (RÚZ, SAMP, ZMOS, Amcham, AZZZ, Slovenský živnostenský zväz) a požiadal ich o ich vyjadrenie prípadne o možnosť sa k návrhu zákona </w:t>
            </w:r>
            <w:r w:rsidRPr="00D31BA1" w:rsidR="00C7061E">
              <w:rPr>
                <w:rFonts w:ascii="Times New Roman" w:hAnsi="Times New Roman"/>
                <w:sz w:val="24"/>
                <w:szCs w:val="24"/>
              </w:rPr>
              <w:t xml:space="preserve">spoločne </w:t>
            </w:r>
            <w:r w:rsidRPr="00D31BA1">
              <w:rPr>
                <w:rFonts w:ascii="Times New Roman" w:hAnsi="Times New Roman"/>
                <w:sz w:val="24"/>
                <w:szCs w:val="24"/>
              </w:rPr>
              <w:t xml:space="preserve">stretnúť, aby sa predišlo sporom v rámci </w:t>
            </w:r>
            <w:r w:rsidRPr="00D31BA1" w:rsidR="0042792A">
              <w:rPr>
                <w:rFonts w:ascii="Times New Roman" w:hAnsi="Times New Roman"/>
                <w:sz w:val="24"/>
                <w:szCs w:val="24"/>
              </w:rPr>
              <w:t xml:space="preserve">PPK prípadne neskôr v rámci </w:t>
            </w:r>
            <w:r w:rsidRPr="00D31BA1">
              <w:rPr>
                <w:rFonts w:ascii="Times New Roman" w:hAnsi="Times New Roman"/>
                <w:sz w:val="24"/>
                <w:szCs w:val="24"/>
              </w:rPr>
              <w:t>MPK. Túto možnosť využ</w:t>
            </w:r>
            <w:r w:rsidRPr="00D31BA1" w:rsidR="0042792A">
              <w:rPr>
                <w:rFonts w:ascii="Times New Roman" w:hAnsi="Times New Roman"/>
                <w:sz w:val="24"/>
                <w:szCs w:val="24"/>
              </w:rPr>
              <w:t>ili</w:t>
            </w:r>
            <w:r w:rsidRPr="00D31BA1" w:rsidR="00BE74D9">
              <w:rPr>
                <w:rFonts w:ascii="Times New Roman" w:hAnsi="Times New Roman"/>
                <w:sz w:val="24"/>
                <w:szCs w:val="24"/>
              </w:rPr>
              <w:t>:</w:t>
            </w:r>
            <w:r w:rsidRPr="00D31BA1">
              <w:rPr>
                <w:rFonts w:ascii="Times New Roman" w:hAnsi="Times New Roman"/>
                <w:sz w:val="24"/>
                <w:szCs w:val="24"/>
              </w:rPr>
              <w:t xml:space="preserve"> Amcham, RUZ</w:t>
            </w:r>
            <w:r w:rsidRPr="00D31BA1" w:rsidR="004F6F4B">
              <w:rPr>
                <w:rFonts w:ascii="Times New Roman" w:hAnsi="Times New Roman"/>
                <w:sz w:val="24"/>
                <w:szCs w:val="24"/>
              </w:rPr>
              <w:t>, Slovenský živnostenský zväz,</w:t>
            </w:r>
            <w:r w:rsidRPr="00D31BA1">
              <w:rPr>
                <w:rFonts w:ascii="Times New Roman" w:hAnsi="Times New Roman"/>
                <w:sz w:val="24"/>
                <w:szCs w:val="24"/>
              </w:rPr>
              <w:t> SAMP – Slovenská asociácia malých a stredných podnikov a živnostníkov)</w:t>
            </w:r>
            <w:r w:rsidRPr="00D31BA1" w:rsidR="00803A5B">
              <w:rPr>
                <w:rFonts w:ascii="Times New Roman" w:hAnsi="Times New Roman"/>
                <w:sz w:val="24"/>
                <w:szCs w:val="24"/>
              </w:rPr>
              <w:t>, Klub 500</w:t>
            </w:r>
            <w:r w:rsidRPr="00D31BA1" w:rsidR="004F6F4B">
              <w:rPr>
                <w:rFonts w:ascii="Times New Roman" w:hAnsi="Times New Roman"/>
                <w:sz w:val="24"/>
                <w:szCs w:val="24"/>
              </w:rPr>
              <w:t>, zdravotná poisťovňa Dôvera</w:t>
            </w:r>
            <w:r w:rsidRPr="00D31BA1">
              <w:rPr>
                <w:rFonts w:ascii="Times New Roman" w:hAnsi="Times New Roman"/>
                <w:sz w:val="24"/>
                <w:szCs w:val="24"/>
              </w:rPr>
              <w:t xml:space="preserve"> s ktorých zástupcami sa zástupcovia úradu stretli a o návrhu zákona prebehla diskusia</w:t>
            </w:r>
            <w:r w:rsidRPr="00D31BA1" w:rsidR="0042792A">
              <w:rPr>
                <w:rFonts w:ascii="Times New Roman" w:hAnsi="Times New Roman"/>
                <w:sz w:val="24"/>
                <w:szCs w:val="24"/>
              </w:rPr>
              <w:t xml:space="preserve"> na základe ktorej boli pozitívne  a akceptovateľné zmeny do návrhu zákona zapracované</w:t>
            </w:r>
            <w:r w:rsidRPr="00D31BA1">
              <w:rPr>
                <w:rFonts w:ascii="Times New Roman" w:hAnsi="Times New Roman"/>
                <w:sz w:val="24"/>
                <w:szCs w:val="24"/>
              </w:rPr>
              <w:t>.</w:t>
            </w:r>
            <w:r w:rsidRPr="00D31BA1" w:rsidR="00C7061E">
              <w:rPr>
                <w:rFonts w:ascii="Times New Roman" w:hAnsi="Times New Roman"/>
                <w:sz w:val="24"/>
                <w:szCs w:val="24"/>
              </w:rPr>
              <w:t xml:space="preserve"> Pracovná verzia zákona bola tiež zaslaná Slovenskej bankovej asociácii.</w:t>
            </w:r>
            <w:r w:rsidRPr="00D31BA1" w:rsidR="004F6F4B">
              <w:rPr>
                <w:rFonts w:ascii="Times New Roman" w:hAnsi="Times New Roman"/>
                <w:sz w:val="24"/>
                <w:szCs w:val="24"/>
              </w:rPr>
              <w:t xml:space="preserve"> Tieto iniciatívne konzultácie prebiehali intenzívne mesiaci apríli a máji 2017.</w:t>
            </w:r>
          </w:p>
          <w:p w:rsidR="004F6F4B" w:rsidRPr="00D31BA1" w:rsidP="00287039">
            <w:pPr>
              <w:pStyle w:val="Standard"/>
              <w:bidi w:val="0"/>
              <w:jc w:val="both"/>
              <w:rPr>
                <w:rFonts w:ascii="Times New Roman" w:hAnsi="Times New Roman"/>
                <w:sz w:val="24"/>
                <w:szCs w:val="24"/>
              </w:rPr>
            </w:pPr>
          </w:p>
          <w:p w:rsidR="004F6F4B" w:rsidRPr="00D31BA1" w:rsidP="00287039">
            <w:pPr>
              <w:pStyle w:val="Standard"/>
              <w:bidi w:val="0"/>
              <w:jc w:val="both"/>
              <w:rPr>
                <w:rFonts w:ascii="Times New Roman" w:hAnsi="Times New Roman"/>
                <w:sz w:val="24"/>
                <w:szCs w:val="24"/>
              </w:rPr>
            </w:pPr>
            <w:r w:rsidRPr="00D31BA1">
              <w:rPr>
                <w:rFonts w:ascii="Times New Roman" w:hAnsi="Times New Roman"/>
                <w:sz w:val="24"/>
                <w:szCs w:val="24"/>
              </w:rPr>
              <w:t>V súvislosti s nástupom novej právnej úpravy, nového zákona o ochrane osobných údajov bude úrad poskytovať právnu pomoc podnikateľským subjektom pri aplikácii v praxi, a to najmä vo forme metodických usmernení úradu, či v rámci poskytovania vyjadrení. Okrem toho úrad poskytuje a bude aj naďalej poskytovať pravidelné telefonické konzultácie určené najmä pre prevádzkovateľov a sprostredkovateľov, ale aj pre samotné dotknuté osoby pri uplatňovaní si ich práv. Týmito opatreniami sa úrad teraz snaží a bude sa snažiť napomáhať subjektom správne aplikovať novú navrhovanú právnu úpravu; prijatie iných opatrení, napríklad vykonávanie školení, vzdelávacích aktivít aj v spolupráci s podnikateľským sektorom, nie je týmto vylúčené, spolupráca bola v rámci konzultácii načrtnutá.</w:t>
            </w:r>
          </w:p>
        </w:tc>
      </w:tr>
      <w:tr>
        <w:tblPrEx>
          <w:tblW w:w="9212" w:type="dxa"/>
          <w:tblInd w:w="-108" w:type="dxa"/>
          <w:tblLayout w:type="fixed"/>
          <w:tblCellMar>
            <w:left w:w="10" w:type="dxa"/>
            <w:right w:w="10" w:type="dxa"/>
          </w:tblCellMar>
        </w:tblPrEx>
        <w:tc>
          <w:tcPr>
            <w:tcW w:w="921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b/>
                <w:sz w:val="24"/>
                <w:szCs w:val="24"/>
              </w:rPr>
            </w:pPr>
            <w:r w:rsidRPr="00D31BA1" w:rsidR="006E5496">
              <w:rPr>
                <w:rFonts w:ascii="Times New Roman" w:hAnsi="Times New Roman"/>
                <w:b/>
                <w:sz w:val="24"/>
                <w:szCs w:val="24"/>
              </w:rPr>
              <w:t>3.3 Náklady regulácie</w:t>
            </w:r>
          </w:p>
          <w:p w:rsidR="002010D1" w:rsidRPr="00D31BA1" w:rsidP="00287039">
            <w:pPr>
              <w:pStyle w:val="Standard"/>
              <w:bidi w:val="0"/>
              <w:rPr>
                <w:rFonts w:ascii="Times New Roman" w:hAnsi="Times New Roman"/>
                <w:sz w:val="24"/>
                <w:szCs w:val="24"/>
              </w:rPr>
            </w:pPr>
            <w:r w:rsidRPr="00D31BA1" w:rsidR="006E5496">
              <w:rPr>
                <w:rFonts w:ascii="Times New Roman" w:hAnsi="Times New Roman"/>
                <w:sz w:val="24"/>
                <w:szCs w:val="24"/>
              </w:rPr>
              <w:t xml:space="preserve">      - </w:t>
            </w:r>
            <w:r w:rsidRPr="00D31BA1" w:rsidR="006E5496">
              <w:rPr>
                <w:rFonts w:ascii="Times New Roman" w:hAnsi="Times New Roman"/>
                <w:b/>
                <w:sz w:val="24"/>
                <w:szCs w:val="24"/>
              </w:rPr>
              <w:t>z toho MSP</w:t>
            </w:r>
          </w:p>
        </w:tc>
      </w:tr>
      <w:tr>
        <w:tblPrEx>
          <w:tblW w:w="9212" w:type="dxa"/>
          <w:tblInd w:w="-108" w:type="dxa"/>
          <w:tblLayout w:type="fixed"/>
          <w:tblCellMar>
            <w:left w:w="10" w:type="dxa"/>
            <w:right w:w="10" w:type="dxa"/>
          </w:tblCellMar>
        </w:tblPrEx>
        <w:tc>
          <w:tcPr>
            <w:tcW w:w="9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b/>
                <w:i/>
                <w:sz w:val="24"/>
                <w:szCs w:val="24"/>
              </w:rPr>
            </w:pPr>
            <w:r w:rsidRPr="00D31BA1" w:rsidR="006E5496">
              <w:rPr>
                <w:rFonts w:ascii="Times New Roman" w:hAnsi="Times New Roman"/>
                <w:b/>
                <w:i/>
                <w:sz w:val="24"/>
                <w:szCs w:val="24"/>
              </w:rPr>
              <w:t>3.3.1 Priame finančné náklady</w:t>
            </w:r>
          </w:p>
          <w:p w:rsidR="002010D1" w:rsidRPr="00D31BA1" w:rsidP="00287039">
            <w:pPr>
              <w:pStyle w:val="Standard"/>
              <w:bidi w:val="0"/>
              <w:rPr>
                <w:rFonts w:ascii="Times New Roman" w:hAnsi="Times New Roman"/>
                <w:i/>
                <w:sz w:val="24"/>
                <w:szCs w:val="24"/>
              </w:rPr>
            </w:pPr>
            <w:r w:rsidRPr="00D31BA1" w:rsidR="006E5496">
              <w:rPr>
                <w:rFonts w:ascii="Times New Roman" w:hAnsi="Times New Roman"/>
                <w:i/>
                <w:sz w:val="24"/>
                <w:szCs w:val="24"/>
              </w:rPr>
              <w:t>Dochádza k zvýšeniu/zníženiu priamych finančných nákladov (poplatky, odvody, dane clá...)? Ak áno, popíšte a vyčíslite ich. Uveďte tiež spôsob ich výpočtu.</w:t>
            </w:r>
          </w:p>
        </w:tc>
      </w:tr>
      <w:tr>
        <w:tblPrEx>
          <w:tblW w:w="9212" w:type="dxa"/>
          <w:tblInd w:w="-108" w:type="dxa"/>
          <w:tblLayout w:type="fixed"/>
          <w:tblCellMar>
            <w:left w:w="10" w:type="dxa"/>
            <w:right w:w="10" w:type="dxa"/>
          </w:tblCellMar>
        </w:tblPrEx>
        <w:tc>
          <w:tcPr>
            <w:tcW w:w="9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spacing w:before="240"/>
              <w:jc w:val="both"/>
              <w:rPr>
                <w:rFonts w:ascii="Times New Roman" w:hAnsi="Times New Roman"/>
                <w:sz w:val="24"/>
                <w:szCs w:val="24"/>
              </w:rPr>
            </w:pPr>
            <w:r w:rsidRPr="00D31BA1" w:rsidR="00EB7BD1">
              <w:rPr>
                <w:rFonts w:ascii="Times New Roman" w:hAnsi="Times New Roman"/>
                <w:sz w:val="24"/>
                <w:szCs w:val="24"/>
              </w:rPr>
              <w:t>N</w:t>
            </w:r>
            <w:r w:rsidRPr="00D31BA1" w:rsidR="006E5496">
              <w:rPr>
                <w:rFonts w:ascii="Times New Roman" w:hAnsi="Times New Roman"/>
                <w:sz w:val="24"/>
                <w:szCs w:val="24"/>
              </w:rPr>
              <w:t>ávrh zákona predpokladá zníženie priamych finančných nákladov súvisiacich so zrušením regulačnej povinnosti</w:t>
            </w:r>
            <w:r w:rsidRPr="00D31BA1" w:rsidR="00DD6DF5">
              <w:rPr>
                <w:rFonts w:ascii="Times New Roman" w:hAnsi="Times New Roman"/>
                <w:sz w:val="24"/>
                <w:szCs w:val="24"/>
              </w:rPr>
              <w:t xml:space="preserve"> vo vybraných prípadoch s ohľadom na spracovateľskú operáciu a podmienky spracúvania</w:t>
            </w:r>
            <w:r w:rsidRPr="00D31BA1" w:rsidR="003624F4">
              <w:rPr>
                <w:rFonts w:ascii="Times New Roman" w:hAnsi="Times New Roman"/>
                <w:sz w:val="24"/>
                <w:szCs w:val="24"/>
              </w:rPr>
              <w:t>; konkrétne sa zrušuje správnym poplatkom spoplatnená žiadosť o osobitnú registráciu informačn</w:t>
            </w:r>
            <w:r w:rsidRPr="00D31BA1" w:rsidR="004F6F4B">
              <w:rPr>
                <w:rFonts w:ascii="Times New Roman" w:hAnsi="Times New Roman"/>
                <w:sz w:val="24"/>
                <w:szCs w:val="24"/>
              </w:rPr>
              <w:t>ého systému osobných údajov (</w:t>
            </w:r>
            <w:r w:rsidRPr="00D31BA1" w:rsidR="003624F4">
              <w:rPr>
                <w:rFonts w:ascii="Times New Roman" w:hAnsi="Times New Roman"/>
                <w:sz w:val="24"/>
                <w:szCs w:val="24"/>
              </w:rPr>
              <w:t>správny poplatok vo výške 50,- Eur za každý informačný systém osobných údajov); tiež sa ruší p</w:t>
            </w:r>
            <w:r w:rsidRPr="00D31BA1" w:rsidR="0024404E">
              <w:rPr>
                <w:rFonts w:ascii="Times New Roman" w:hAnsi="Times New Roman"/>
                <w:sz w:val="24"/>
                <w:szCs w:val="24"/>
              </w:rPr>
              <w:t>ovinnosť zasielať úradu oznámenie</w:t>
            </w:r>
            <w:r w:rsidRPr="00D31BA1" w:rsidR="003624F4">
              <w:rPr>
                <w:rFonts w:ascii="Times New Roman" w:hAnsi="Times New Roman"/>
                <w:sz w:val="24"/>
                <w:szCs w:val="24"/>
              </w:rPr>
              <w:t xml:space="preserve"> o informačnom systéme osobných údajov, kde správny poplatok zavedený nebol, ale zasl</w:t>
            </w:r>
            <w:r w:rsidRPr="00D31BA1" w:rsidR="0024404E">
              <w:rPr>
                <w:rFonts w:ascii="Times New Roman" w:hAnsi="Times New Roman"/>
                <w:sz w:val="24"/>
                <w:szCs w:val="24"/>
              </w:rPr>
              <w:t>anie oznámenia poštovou prepravou</w:t>
            </w:r>
            <w:r w:rsidRPr="00D31BA1" w:rsidR="003624F4">
              <w:rPr>
                <w:rFonts w:ascii="Times New Roman" w:hAnsi="Times New Roman"/>
                <w:sz w:val="24"/>
                <w:szCs w:val="24"/>
              </w:rPr>
              <w:t xml:space="preserve"> tiež vyžadovalo </w:t>
            </w:r>
            <w:r w:rsidRPr="00D31BA1" w:rsidR="0024404E">
              <w:rPr>
                <w:rFonts w:ascii="Times New Roman" w:hAnsi="Times New Roman"/>
                <w:sz w:val="24"/>
                <w:szCs w:val="24"/>
              </w:rPr>
              <w:t>náklady</w:t>
            </w:r>
            <w:r w:rsidRPr="00D31BA1" w:rsidR="003624F4">
              <w:rPr>
                <w:rFonts w:ascii="Times New Roman" w:hAnsi="Times New Roman"/>
                <w:sz w:val="24"/>
                <w:szCs w:val="24"/>
              </w:rPr>
              <w:t xml:space="preserve">. Ročná úspora je predpokladaná vo výške </w:t>
            </w:r>
            <w:r w:rsidRPr="00D31BA1" w:rsidR="006E5496">
              <w:rPr>
                <w:rFonts w:ascii="Times New Roman" w:hAnsi="Times New Roman"/>
                <w:sz w:val="24"/>
                <w:szCs w:val="24"/>
              </w:rPr>
              <w:t>11850,- eur.</w:t>
            </w:r>
            <w:r w:rsidRPr="00D31BA1" w:rsidR="00BC5FB7">
              <w:rPr>
                <w:rFonts w:ascii="Times New Roman" w:hAnsi="Times New Roman"/>
                <w:sz w:val="24"/>
                <w:szCs w:val="24"/>
              </w:rPr>
              <w:t xml:space="preserve"> Výpočet úspory nákladov je výsledkom spolupráce úradu pri vyčíslení nákladov s Centrom lepšej regulácie.</w:t>
            </w:r>
          </w:p>
        </w:tc>
      </w:tr>
      <w:tr>
        <w:tblPrEx>
          <w:tblW w:w="9212" w:type="dxa"/>
          <w:tblInd w:w="-108" w:type="dxa"/>
          <w:tblLayout w:type="fixed"/>
          <w:tblCellMar>
            <w:left w:w="10" w:type="dxa"/>
            <w:right w:w="10" w:type="dxa"/>
          </w:tblCellMar>
        </w:tblPrEx>
        <w:tc>
          <w:tcPr>
            <w:tcW w:w="9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b/>
                <w:i/>
                <w:sz w:val="24"/>
                <w:szCs w:val="24"/>
              </w:rPr>
            </w:pPr>
            <w:r w:rsidRPr="00D31BA1" w:rsidR="006E5496">
              <w:rPr>
                <w:rFonts w:ascii="Times New Roman" w:hAnsi="Times New Roman"/>
                <w:b/>
                <w:i/>
                <w:sz w:val="24"/>
                <w:szCs w:val="24"/>
              </w:rPr>
              <w:t>3.3.2 Nepriame finančné náklady</w:t>
            </w:r>
          </w:p>
          <w:p w:rsidR="002010D1" w:rsidRPr="00D31BA1" w:rsidP="00287039">
            <w:pPr>
              <w:pStyle w:val="Standard"/>
              <w:bidi w:val="0"/>
              <w:rPr>
                <w:rFonts w:ascii="Times New Roman" w:hAnsi="Times New Roman"/>
                <w:i/>
                <w:sz w:val="24"/>
                <w:szCs w:val="24"/>
              </w:rPr>
            </w:pPr>
            <w:r w:rsidRPr="00D31BA1" w:rsidR="006E5496">
              <w:rPr>
                <w:rFonts w:ascii="Times New Roman" w:hAnsi="Times New Roman"/>
                <w:i/>
                <w:sz w:val="24"/>
                <w:szCs w:val="24"/>
              </w:rPr>
              <w:t>Vyžaduje si predkladaný návrh dodatočné náklady na nákup tovarov alebo služieb? Zvyšuje predkladaný návrh náklady súvisiace so zamestnávaním? Ak áno, popíšte a vyčíslite ich. Uveďte tiež spôsob ich výpočtu.</w:t>
            </w:r>
          </w:p>
        </w:tc>
      </w:tr>
      <w:tr>
        <w:tblPrEx>
          <w:tblW w:w="9212" w:type="dxa"/>
          <w:tblInd w:w="-108" w:type="dxa"/>
          <w:tblLayout w:type="fixed"/>
          <w:tblCellMar>
            <w:left w:w="10" w:type="dxa"/>
            <w:right w:w="10" w:type="dxa"/>
          </w:tblCellMar>
        </w:tblPrEx>
        <w:tc>
          <w:tcPr>
            <w:tcW w:w="9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jc w:val="both"/>
              <w:rPr>
                <w:rFonts w:ascii="Times New Roman" w:hAnsi="Times New Roman"/>
                <w:sz w:val="24"/>
                <w:szCs w:val="24"/>
              </w:rPr>
            </w:pPr>
            <w:r w:rsidRPr="00D31BA1" w:rsidR="006E5496">
              <w:rPr>
                <w:rFonts w:ascii="Times New Roman" w:hAnsi="Times New Roman"/>
                <w:sz w:val="24"/>
                <w:szCs w:val="24"/>
              </w:rPr>
              <w:t xml:space="preserve">Predkladaný návrh zákona môže mať vplyv na zvýšenie nákladov, a to v závislosti od podmienok spracúvania u konkrétneho prevádzkovateľa alebo sprostredkovateľa. </w:t>
            </w:r>
            <w:r w:rsidRPr="00D31BA1" w:rsidR="00A36C34">
              <w:rPr>
                <w:rFonts w:ascii="Times New Roman" w:hAnsi="Times New Roman"/>
                <w:sz w:val="24"/>
                <w:szCs w:val="24"/>
              </w:rPr>
              <w:t>N</w:t>
            </w:r>
            <w:r w:rsidRPr="00D31BA1" w:rsidR="006E5496">
              <w:rPr>
                <w:rFonts w:ascii="Times New Roman" w:hAnsi="Times New Roman"/>
                <w:sz w:val="24"/>
                <w:szCs w:val="24"/>
              </w:rPr>
              <w:t>áklady môžu vzniknúť najmä u prevádzkovateľov a sprostredkovateľov, ktorí spracúvajú osobné údaje vo veľkom rozsahu a</w:t>
            </w:r>
            <w:r w:rsidRPr="00D31BA1" w:rsidR="003624F4">
              <w:rPr>
                <w:rFonts w:ascii="Times New Roman" w:hAnsi="Times New Roman"/>
                <w:sz w:val="24"/>
                <w:szCs w:val="24"/>
              </w:rPr>
              <w:t xml:space="preserve"> môžu </w:t>
            </w:r>
            <w:r w:rsidRPr="00D31BA1" w:rsidR="006E5496">
              <w:rPr>
                <w:rFonts w:ascii="Times New Roman" w:hAnsi="Times New Roman"/>
                <w:sz w:val="24"/>
                <w:szCs w:val="24"/>
              </w:rPr>
              <w:t>súvisieť s úpravou formulárov s informáciami o právach dotknutej osoby</w:t>
            </w:r>
            <w:r w:rsidRPr="00D31BA1" w:rsidR="00EB7BD1">
              <w:rPr>
                <w:rFonts w:ascii="Times New Roman" w:hAnsi="Times New Roman"/>
                <w:sz w:val="24"/>
                <w:szCs w:val="24"/>
              </w:rPr>
              <w:t xml:space="preserve">, </w:t>
            </w:r>
            <w:r w:rsidRPr="00D31BA1" w:rsidR="00AF2073">
              <w:rPr>
                <w:rFonts w:ascii="Times New Roman" w:hAnsi="Times New Roman"/>
                <w:sz w:val="24"/>
                <w:szCs w:val="24"/>
              </w:rPr>
              <w:t xml:space="preserve">s </w:t>
            </w:r>
            <w:r w:rsidRPr="00D31BA1" w:rsidR="00EB7BD1">
              <w:rPr>
                <w:rFonts w:ascii="Times New Roman" w:hAnsi="Times New Roman"/>
                <w:sz w:val="24"/>
                <w:szCs w:val="24"/>
              </w:rPr>
              <w:t>poskytovaním kópií osobn</w:t>
            </w:r>
            <w:r w:rsidRPr="00D31BA1" w:rsidR="00BC5FB7">
              <w:rPr>
                <w:rFonts w:ascii="Times New Roman" w:hAnsi="Times New Roman"/>
                <w:sz w:val="24"/>
                <w:szCs w:val="24"/>
              </w:rPr>
              <w:t>ých údajov, ktoré sa spracúvajú</w:t>
            </w:r>
            <w:r w:rsidRPr="00D31BA1" w:rsidR="006E5496">
              <w:rPr>
                <w:rFonts w:ascii="Times New Roman" w:hAnsi="Times New Roman"/>
                <w:sz w:val="24"/>
                <w:szCs w:val="24"/>
              </w:rPr>
              <w:t xml:space="preserve"> a</w:t>
            </w:r>
            <w:r w:rsidRPr="00D31BA1" w:rsidR="00AF2073">
              <w:rPr>
                <w:rFonts w:ascii="Times New Roman" w:hAnsi="Times New Roman"/>
                <w:sz w:val="24"/>
                <w:szCs w:val="24"/>
              </w:rPr>
              <w:t xml:space="preserve"> so </w:t>
            </w:r>
            <w:r w:rsidRPr="00D31BA1" w:rsidR="006E5496">
              <w:rPr>
                <w:rFonts w:ascii="Times New Roman" w:hAnsi="Times New Roman"/>
                <w:sz w:val="24"/>
                <w:szCs w:val="24"/>
              </w:rPr>
              <w:t>zaistením bezpečnosti osobných údajov.</w:t>
            </w:r>
            <w:r w:rsidRPr="00D31BA1" w:rsidR="00803A5B">
              <w:rPr>
                <w:rFonts w:ascii="Times New Roman" w:hAnsi="Times New Roman"/>
                <w:sz w:val="24"/>
                <w:szCs w:val="24"/>
              </w:rPr>
              <w:t xml:space="preserve"> Konkrétnu výšku nákladov vzhľadom na rôznorodosť spracovateľských operácií </w:t>
            </w:r>
            <w:r w:rsidRPr="00D31BA1" w:rsidR="00AF2073">
              <w:rPr>
                <w:rFonts w:ascii="Times New Roman" w:hAnsi="Times New Roman"/>
                <w:sz w:val="24"/>
                <w:szCs w:val="24"/>
              </w:rPr>
              <w:t xml:space="preserve">a veľkosť jednotlivých prevádzkovateľov, ktorá je nie vždy úmerná zvýšeniu nákladov </w:t>
            </w:r>
            <w:r w:rsidRPr="00D31BA1" w:rsidR="00803A5B">
              <w:rPr>
                <w:rFonts w:ascii="Times New Roman" w:hAnsi="Times New Roman"/>
                <w:sz w:val="24"/>
                <w:szCs w:val="24"/>
              </w:rPr>
              <w:t>nie je možné určiť.</w:t>
            </w:r>
          </w:p>
          <w:p w:rsidR="00803A5B" w:rsidRPr="00D31BA1" w:rsidP="00287039">
            <w:pPr>
              <w:pStyle w:val="Standard"/>
              <w:bidi w:val="0"/>
              <w:rPr>
                <w:rFonts w:ascii="Times New Roman" w:hAnsi="Times New Roman"/>
                <w:sz w:val="24"/>
                <w:szCs w:val="24"/>
              </w:rPr>
            </w:pPr>
          </w:p>
          <w:p w:rsidR="00803A5B" w:rsidRPr="00D31BA1" w:rsidP="00287039">
            <w:pPr>
              <w:pStyle w:val="Standard"/>
              <w:bidi w:val="0"/>
              <w:jc w:val="both"/>
              <w:rPr>
                <w:rFonts w:ascii="Times New Roman" w:hAnsi="Times New Roman"/>
                <w:sz w:val="24"/>
                <w:szCs w:val="24"/>
              </w:rPr>
            </w:pPr>
            <w:r w:rsidRPr="00D31BA1">
              <w:rPr>
                <w:rFonts w:ascii="Times New Roman" w:hAnsi="Times New Roman"/>
                <w:sz w:val="24"/>
                <w:szCs w:val="24"/>
              </w:rPr>
              <w:t>Zrušujú sa niektoré právne základy spracúvania osobných údajov, ako právny základ pre spracúvanie osobných údajov, ktoré boli zverejnené; právny základ pre spracúvanie osobných údajov v poštovom styku a marketingovú komunikáciu; právny základ pre monitorovanie priestorov prístupných verejnosti, čo ovplyvní vedenie záznamov prevádzkovateľov</w:t>
            </w:r>
            <w:r w:rsidRPr="00D31BA1" w:rsidR="00AF2073">
              <w:rPr>
                <w:rFonts w:ascii="Times New Roman" w:hAnsi="Times New Roman"/>
                <w:sz w:val="24"/>
                <w:szCs w:val="24"/>
              </w:rPr>
              <w:t>,</w:t>
            </w:r>
            <w:r w:rsidRPr="00D31BA1">
              <w:rPr>
                <w:rFonts w:ascii="Times New Roman" w:hAnsi="Times New Roman"/>
                <w:sz w:val="24"/>
                <w:szCs w:val="24"/>
              </w:rPr>
              <w:t xml:space="preserve"> ako aj ich informačnú povinnosť voči dotknutej osobe. V zmysle novej právnej úpravy bude pri týchto spracovateľských operáciách prevádzkovateľ povinný disponovať iným primeraným </w:t>
            </w:r>
            <w:r w:rsidRPr="00D31BA1" w:rsidR="00AF2073">
              <w:rPr>
                <w:rFonts w:ascii="Times New Roman" w:hAnsi="Times New Roman"/>
                <w:sz w:val="24"/>
                <w:szCs w:val="24"/>
              </w:rPr>
              <w:t xml:space="preserve">právnym </w:t>
            </w:r>
            <w:r w:rsidRPr="00D31BA1">
              <w:rPr>
                <w:rFonts w:ascii="Times New Roman" w:hAnsi="Times New Roman"/>
                <w:sz w:val="24"/>
                <w:szCs w:val="24"/>
              </w:rPr>
              <w:t xml:space="preserve">základom pre spracúvanie osobných údajov dotknutých osôb.  </w:t>
            </w:r>
            <w:r w:rsidRPr="00D31BA1" w:rsidR="00BC5FB7">
              <w:rPr>
                <w:rFonts w:ascii="Times New Roman" w:hAnsi="Times New Roman"/>
                <w:sz w:val="24"/>
                <w:szCs w:val="24"/>
              </w:rPr>
              <w:t>Konkrétnu výšku nákladov vzhľadom na rôznorodosť spracovateľských operácií a možnosť prevádzkovateľov nájsť iný právny základ pre spracúvanie osobných údajov, prípadne od spracúvania upustiť nie je možné pre rôzne scenáre vyššie uvedeného postupu konkrétne vyčísliť.</w:t>
            </w:r>
          </w:p>
          <w:p w:rsidR="00803A5B" w:rsidRPr="00D31BA1" w:rsidP="00287039">
            <w:pPr>
              <w:pStyle w:val="Standard"/>
              <w:bidi w:val="0"/>
              <w:rPr>
                <w:rFonts w:ascii="Times New Roman" w:hAnsi="Times New Roman"/>
                <w:sz w:val="24"/>
                <w:szCs w:val="24"/>
              </w:rPr>
            </w:pPr>
          </w:p>
          <w:p w:rsidR="004F6F4B" w:rsidRPr="00D31BA1" w:rsidP="00287039">
            <w:pPr>
              <w:pStyle w:val="Standard"/>
              <w:bidi w:val="0"/>
              <w:jc w:val="both"/>
              <w:textAlignment w:val="auto"/>
              <w:rPr>
                <w:rFonts w:ascii="Times New Roman" w:hAnsi="Times New Roman"/>
                <w:sz w:val="24"/>
                <w:szCs w:val="24"/>
              </w:rPr>
            </w:pPr>
            <w:r w:rsidRPr="00D31BA1" w:rsidR="00BC5FB7">
              <w:rPr>
                <w:rFonts w:ascii="Times New Roman" w:hAnsi="Times New Roman"/>
                <w:sz w:val="24"/>
                <w:szCs w:val="24"/>
              </w:rPr>
              <w:t xml:space="preserve">Pre navrhovanou právnou úpravou </w:t>
            </w:r>
            <w:r w:rsidRPr="00D31BA1" w:rsidR="006B509C">
              <w:rPr>
                <w:rFonts w:ascii="Times New Roman" w:hAnsi="Times New Roman"/>
                <w:sz w:val="24"/>
                <w:szCs w:val="24"/>
              </w:rPr>
              <w:t>určené typy</w:t>
            </w:r>
            <w:r w:rsidRPr="00D31BA1" w:rsidR="00AF2073">
              <w:rPr>
                <w:rFonts w:ascii="Times New Roman" w:hAnsi="Times New Roman"/>
                <w:sz w:val="24"/>
                <w:szCs w:val="24"/>
              </w:rPr>
              <w:t xml:space="preserve"> spracovateľských operácií </w:t>
            </w:r>
            <w:r w:rsidRPr="00D31BA1" w:rsidR="00026598">
              <w:rPr>
                <w:rFonts w:ascii="Times New Roman" w:hAnsi="Times New Roman"/>
                <w:sz w:val="24"/>
                <w:szCs w:val="24"/>
              </w:rPr>
              <w:t xml:space="preserve">a pre určité typy prevádzkovateľov (orgány verejnej moci) </w:t>
            </w:r>
            <w:r w:rsidRPr="00D31BA1" w:rsidR="00803A5B">
              <w:rPr>
                <w:rFonts w:ascii="Times New Roman" w:hAnsi="Times New Roman"/>
                <w:sz w:val="24"/>
                <w:szCs w:val="24"/>
              </w:rPr>
              <w:t>vzniká povinnosť niektorým prevádzkovateľom a sprostredkovateľom (prevažne však tou zmenou bude zasiahnutá verejná správa, t. j. orgány verejnej moci) určiť si obligat</w:t>
            </w:r>
            <w:r w:rsidRPr="00D31BA1" w:rsidR="00BC5FB7">
              <w:rPr>
                <w:rFonts w:ascii="Times New Roman" w:hAnsi="Times New Roman"/>
                <w:sz w:val="24"/>
                <w:szCs w:val="24"/>
              </w:rPr>
              <w:t>órne zodpovednú osobu. U striktne neurčených</w:t>
            </w:r>
            <w:r w:rsidRPr="00D31BA1" w:rsidR="00803A5B">
              <w:rPr>
                <w:rFonts w:ascii="Times New Roman" w:hAnsi="Times New Roman"/>
                <w:sz w:val="24"/>
                <w:szCs w:val="24"/>
              </w:rPr>
              <w:t xml:space="preserve"> podnikateľských subjektov </w:t>
            </w:r>
            <w:r w:rsidRPr="00D31BA1" w:rsidR="00BC5FB7">
              <w:rPr>
                <w:rFonts w:ascii="Times New Roman" w:hAnsi="Times New Roman"/>
                <w:sz w:val="24"/>
                <w:szCs w:val="24"/>
              </w:rPr>
              <w:t xml:space="preserve">na základe navrhovanej právnej úpravy </w:t>
            </w:r>
            <w:r w:rsidRPr="00D31BA1" w:rsidR="00803A5B">
              <w:rPr>
                <w:rFonts w:ascii="Times New Roman" w:hAnsi="Times New Roman"/>
                <w:sz w:val="24"/>
                <w:szCs w:val="24"/>
              </w:rPr>
              <w:t xml:space="preserve">ostáva určenie zodpovednej osoby dobrovoľné. Zrušuje sa povinnosť úspešného absolvovania skúšky </w:t>
            </w:r>
            <w:r w:rsidRPr="00D31BA1" w:rsidR="006B509C">
              <w:rPr>
                <w:rFonts w:ascii="Times New Roman" w:hAnsi="Times New Roman"/>
                <w:sz w:val="24"/>
                <w:szCs w:val="24"/>
              </w:rPr>
              <w:t xml:space="preserve">fyzickej osoby na výkon funkcie zodpovednej osoby </w:t>
            </w:r>
            <w:r w:rsidRPr="00D31BA1" w:rsidR="00BC5FB7">
              <w:rPr>
                <w:rFonts w:ascii="Times New Roman" w:hAnsi="Times New Roman"/>
                <w:sz w:val="24"/>
                <w:szCs w:val="24"/>
              </w:rPr>
              <w:t>pred úradom</w:t>
            </w:r>
            <w:r w:rsidRPr="00D31BA1">
              <w:rPr>
                <w:rFonts w:ascii="Times New Roman" w:hAnsi="Times New Roman"/>
                <w:sz w:val="24"/>
                <w:szCs w:val="24"/>
              </w:rPr>
              <w:t xml:space="preserve"> (úspora cestovných nákladov na skúšku a prípadné školenie zamestnanca pred skúškou)</w:t>
            </w:r>
            <w:r w:rsidRPr="00D31BA1" w:rsidR="00803A5B">
              <w:rPr>
                <w:rFonts w:ascii="Times New Roman" w:hAnsi="Times New Roman"/>
                <w:sz w:val="24"/>
                <w:szCs w:val="24"/>
              </w:rPr>
              <w:t xml:space="preserve">, zodpovedná osoba však </w:t>
            </w:r>
            <w:r w:rsidRPr="00D31BA1" w:rsidR="006B509C">
              <w:rPr>
                <w:rFonts w:ascii="Times New Roman" w:hAnsi="Times New Roman"/>
                <w:sz w:val="24"/>
                <w:szCs w:val="24"/>
              </w:rPr>
              <w:t xml:space="preserve">aj naďalej </w:t>
            </w:r>
            <w:r w:rsidRPr="00D31BA1" w:rsidR="00803A5B">
              <w:rPr>
                <w:rFonts w:ascii="Times New Roman" w:hAnsi="Times New Roman"/>
                <w:sz w:val="24"/>
                <w:szCs w:val="24"/>
              </w:rPr>
              <w:t xml:space="preserve">musí disponovať potrebnými odbornými znalosťami a zručnosťami. </w:t>
            </w:r>
          </w:p>
          <w:p w:rsidR="00803A5B" w:rsidRPr="00D31BA1" w:rsidP="00287039">
            <w:pPr>
              <w:pStyle w:val="Standard"/>
              <w:bidi w:val="0"/>
              <w:jc w:val="both"/>
              <w:textAlignment w:val="auto"/>
              <w:rPr>
                <w:rFonts w:ascii="Times New Roman" w:hAnsi="Times New Roman"/>
                <w:sz w:val="24"/>
                <w:szCs w:val="24"/>
              </w:rPr>
            </w:pPr>
            <w:r w:rsidRPr="00D31BA1">
              <w:rPr>
                <w:rFonts w:ascii="Times New Roman" w:hAnsi="Times New Roman"/>
                <w:sz w:val="24"/>
                <w:szCs w:val="24"/>
              </w:rPr>
              <w:t>Zodpovednou o</w:t>
            </w:r>
            <w:r w:rsidRPr="00D31BA1" w:rsidR="004F6F4B">
              <w:rPr>
                <w:rFonts w:ascii="Times New Roman" w:hAnsi="Times New Roman"/>
                <w:sz w:val="24"/>
                <w:szCs w:val="24"/>
              </w:rPr>
              <w:t>sobou bude môcť</w:t>
            </w:r>
            <w:r w:rsidRPr="00D31BA1" w:rsidR="006B509C">
              <w:rPr>
                <w:rFonts w:ascii="Times New Roman" w:hAnsi="Times New Roman"/>
                <w:sz w:val="24"/>
                <w:szCs w:val="24"/>
              </w:rPr>
              <w:t xml:space="preserve"> byť ako fyzická, tak </w:t>
            </w:r>
            <w:r w:rsidRPr="00D31BA1" w:rsidR="00026598">
              <w:rPr>
                <w:rFonts w:ascii="Times New Roman" w:hAnsi="Times New Roman"/>
                <w:sz w:val="24"/>
                <w:szCs w:val="24"/>
              </w:rPr>
              <w:t>aj právnická osoba (</w:t>
            </w:r>
            <w:r w:rsidRPr="00D31BA1" w:rsidR="00BC5FB7">
              <w:rPr>
                <w:rFonts w:ascii="Times New Roman" w:hAnsi="Times New Roman"/>
                <w:sz w:val="24"/>
                <w:szCs w:val="24"/>
              </w:rPr>
              <w:t xml:space="preserve">konkrétne určená fyzická osoba </w:t>
            </w:r>
            <w:r w:rsidRPr="00D31BA1" w:rsidR="006B509C">
              <w:rPr>
                <w:rFonts w:ascii="Times New Roman" w:hAnsi="Times New Roman"/>
                <w:sz w:val="24"/>
                <w:szCs w:val="24"/>
              </w:rPr>
              <w:t>danej právnickej osoby)</w:t>
            </w:r>
            <w:r w:rsidRPr="00D31BA1" w:rsidR="00BC5FB7">
              <w:rPr>
                <w:rFonts w:ascii="Times New Roman" w:hAnsi="Times New Roman"/>
                <w:sz w:val="24"/>
                <w:szCs w:val="24"/>
              </w:rPr>
              <w:t>. Zodpovednou osobou môže byť tak zamestnanec prevádzkovateľa alebo sprostredkovateľa</w:t>
            </w:r>
            <w:r w:rsidRPr="00D31BA1" w:rsidR="004F6F4B">
              <w:rPr>
                <w:rFonts w:ascii="Times New Roman" w:hAnsi="Times New Roman"/>
                <w:sz w:val="24"/>
                <w:szCs w:val="24"/>
              </w:rPr>
              <w:t>,</w:t>
            </w:r>
            <w:r w:rsidRPr="00D31BA1" w:rsidR="00BC5FB7">
              <w:rPr>
                <w:rFonts w:ascii="Times New Roman" w:hAnsi="Times New Roman"/>
                <w:sz w:val="24"/>
                <w:szCs w:val="24"/>
              </w:rPr>
              <w:t xml:space="preserve"> ako aj externá fyzická či právnická osoba na základe zmluvy; na základe výberu prevádzkovateľa či dá prednosť internému zamestnancovi pred externou zodpovednou osobou je možné predpokladať kolísanie výdavkov spojených s poverením zodpovednej osoby. Ak prevádzkovateľ alebo sprostredkovateľ zodpovednú osobu má poverenú na základe terajšej právnej úpravy predpoklad úspory alebo </w:t>
            </w:r>
            <w:r w:rsidRPr="00D31BA1" w:rsidR="00912E04">
              <w:rPr>
                <w:rFonts w:ascii="Times New Roman" w:hAnsi="Times New Roman"/>
                <w:sz w:val="24"/>
                <w:szCs w:val="24"/>
              </w:rPr>
              <w:t>prudkého</w:t>
            </w:r>
            <w:r w:rsidRPr="00D31BA1" w:rsidR="00BC5FB7">
              <w:rPr>
                <w:rFonts w:ascii="Times New Roman" w:hAnsi="Times New Roman"/>
                <w:sz w:val="24"/>
                <w:szCs w:val="24"/>
              </w:rPr>
              <w:t xml:space="preserve"> </w:t>
            </w:r>
            <w:r w:rsidRPr="00D31BA1" w:rsidR="00912E04">
              <w:rPr>
                <w:rFonts w:ascii="Times New Roman" w:hAnsi="Times New Roman"/>
                <w:sz w:val="24"/>
                <w:szCs w:val="24"/>
              </w:rPr>
              <w:t>nevyvyšovania</w:t>
            </w:r>
            <w:r w:rsidRPr="00D31BA1" w:rsidR="004F6F4B">
              <w:rPr>
                <w:rFonts w:ascii="Times New Roman" w:hAnsi="Times New Roman"/>
                <w:sz w:val="24"/>
                <w:szCs w:val="24"/>
              </w:rPr>
              <w:t xml:space="preserve"> nákladov je pravdepodobnejší</w:t>
            </w:r>
            <w:r w:rsidRPr="00D31BA1" w:rsidR="00BC5FB7">
              <w:rPr>
                <w:rFonts w:ascii="Times New Roman" w:hAnsi="Times New Roman"/>
                <w:sz w:val="24"/>
                <w:szCs w:val="24"/>
              </w:rPr>
              <w:t>.</w:t>
            </w:r>
            <w:r w:rsidRPr="00D31BA1" w:rsidR="00912E04">
              <w:rPr>
                <w:rFonts w:ascii="Times New Roman" w:hAnsi="Times New Roman"/>
                <w:sz w:val="24"/>
                <w:szCs w:val="24"/>
              </w:rPr>
              <w:t xml:space="preserve"> </w:t>
            </w:r>
          </w:p>
        </w:tc>
      </w:tr>
      <w:tr>
        <w:tblPrEx>
          <w:tblW w:w="9212" w:type="dxa"/>
          <w:tblInd w:w="-108" w:type="dxa"/>
          <w:tblLayout w:type="fixed"/>
          <w:tblCellMar>
            <w:left w:w="10" w:type="dxa"/>
            <w:right w:w="10" w:type="dxa"/>
          </w:tblCellMar>
        </w:tblPrEx>
        <w:tc>
          <w:tcPr>
            <w:tcW w:w="9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b/>
                <w:i/>
                <w:sz w:val="24"/>
                <w:szCs w:val="24"/>
              </w:rPr>
            </w:pPr>
            <w:r w:rsidRPr="00D31BA1" w:rsidR="006E5496">
              <w:rPr>
                <w:rFonts w:ascii="Times New Roman" w:hAnsi="Times New Roman"/>
                <w:b/>
                <w:i/>
                <w:sz w:val="24"/>
                <w:szCs w:val="24"/>
              </w:rPr>
              <w:t>3.3.3 Administratívne náklady</w:t>
            </w:r>
          </w:p>
          <w:p w:rsidR="002010D1" w:rsidRPr="00D31BA1" w:rsidP="00287039">
            <w:pPr>
              <w:pStyle w:val="Standard"/>
              <w:bidi w:val="0"/>
              <w:rPr>
                <w:rFonts w:ascii="Times New Roman" w:hAnsi="Times New Roman"/>
                <w:i/>
                <w:sz w:val="24"/>
                <w:szCs w:val="24"/>
              </w:rPr>
            </w:pPr>
            <w:r w:rsidRPr="00D31BA1" w:rsidR="006E5496">
              <w:rPr>
                <w:rFonts w:ascii="Times New Roman" w:hAnsi="Times New Roman"/>
                <w:i/>
                <w:sz w:val="24"/>
                <w:szCs w:val="24"/>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9212" w:type="dxa"/>
          <w:tblInd w:w="-108" w:type="dxa"/>
          <w:tblLayout w:type="fixed"/>
          <w:tblCellMar>
            <w:left w:w="10" w:type="dxa"/>
            <w:right w:w="10" w:type="dxa"/>
          </w:tblCellMar>
        </w:tblPrEx>
        <w:tc>
          <w:tcPr>
            <w:tcW w:w="9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D15B7F" w:rsidRPr="00D31BA1" w:rsidP="00287039">
            <w:pPr>
              <w:pStyle w:val="Standard"/>
              <w:bidi w:val="0"/>
              <w:jc w:val="both"/>
              <w:rPr>
                <w:rFonts w:ascii="Times New Roman" w:hAnsi="Times New Roman"/>
                <w:sz w:val="24"/>
                <w:szCs w:val="24"/>
              </w:rPr>
            </w:pPr>
            <w:r w:rsidRPr="00D31BA1" w:rsidR="00193F28">
              <w:rPr>
                <w:rFonts w:ascii="Times New Roman" w:hAnsi="Times New Roman"/>
                <w:sz w:val="24"/>
                <w:szCs w:val="24"/>
              </w:rPr>
              <w:t>N</w:t>
            </w:r>
            <w:r w:rsidRPr="00D31BA1" w:rsidR="00803A5B">
              <w:rPr>
                <w:rFonts w:ascii="Times New Roman" w:hAnsi="Times New Roman"/>
                <w:sz w:val="24"/>
                <w:szCs w:val="24"/>
              </w:rPr>
              <w:t>avrhovaná úprava</w:t>
            </w:r>
            <w:r w:rsidRPr="00D31BA1" w:rsidR="00193F28">
              <w:rPr>
                <w:rFonts w:ascii="Times New Roman" w:hAnsi="Times New Roman"/>
                <w:sz w:val="24"/>
                <w:szCs w:val="24"/>
              </w:rPr>
              <w:t xml:space="preserve"> môže ako znížiť, tak aj zvýšiť administratívne náklady jednotlivých prevádzkovateľov, prípadne sprostredkovateľov, a to najmä v závislosti od typu spracovateľských operácií, ktoré subjekt vykonáva a od typu samotného prevádzkovateľa alebo sprostredkovateľa; prípadné zvýšenie alebo zníženie nákladov môže závisieť aj od predmetu jeho činnosti</w:t>
            </w:r>
            <w:r w:rsidRPr="00D31BA1" w:rsidR="00803A5B">
              <w:rPr>
                <w:rFonts w:ascii="Times New Roman" w:hAnsi="Times New Roman"/>
                <w:sz w:val="24"/>
                <w:szCs w:val="24"/>
              </w:rPr>
              <w:t>; konkrétne:</w:t>
            </w:r>
            <w:r w:rsidRPr="00D31BA1" w:rsidR="00F05867">
              <w:rPr>
                <w:rFonts w:ascii="Times New Roman" w:hAnsi="Times New Roman"/>
                <w:sz w:val="24"/>
                <w:szCs w:val="24"/>
              </w:rPr>
              <w:t xml:space="preserve"> </w:t>
            </w:r>
          </w:p>
          <w:p w:rsidR="00D15B7F" w:rsidRPr="00D31BA1" w:rsidP="00287039">
            <w:pPr>
              <w:pStyle w:val="Standard"/>
              <w:bidi w:val="0"/>
              <w:ind w:left="720"/>
              <w:jc w:val="both"/>
              <w:rPr>
                <w:rFonts w:ascii="Times New Roman" w:hAnsi="Times New Roman"/>
                <w:sz w:val="24"/>
                <w:szCs w:val="24"/>
              </w:rPr>
            </w:pPr>
            <w:r w:rsidRPr="00D31BA1">
              <w:rPr>
                <w:rFonts w:ascii="Times New Roman" w:hAnsi="Times New Roman"/>
                <w:sz w:val="24"/>
                <w:szCs w:val="24"/>
              </w:rPr>
              <w:t xml:space="preserve"> </w:t>
            </w:r>
          </w:p>
          <w:p w:rsidR="00803A5B" w:rsidRPr="00D31BA1" w:rsidP="00287039">
            <w:pPr>
              <w:pStyle w:val="Standard"/>
              <w:bidi w:val="0"/>
              <w:jc w:val="both"/>
              <w:textAlignment w:val="auto"/>
              <w:rPr>
                <w:rFonts w:ascii="Times New Roman" w:hAnsi="Times New Roman"/>
                <w:i/>
                <w:sz w:val="24"/>
                <w:szCs w:val="24"/>
              </w:rPr>
            </w:pPr>
            <w:r w:rsidRPr="00D31BA1" w:rsidR="0013704D">
              <w:rPr>
                <w:rFonts w:ascii="Times New Roman" w:hAnsi="Times New Roman"/>
                <w:i/>
                <w:sz w:val="24"/>
                <w:szCs w:val="24"/>
              </w:rPr>
              <w:t xml:space="preserve">Prienik </w:t>
            </w:r>
            <w:r w:rsidRPr="00D31BA1">
              <w:rPr>
                <w:rFonts w:ascii="Times New Roman" w:hAnsi="Times New Roman"/>
                <w:i/>
                <w:sz w:val="24"/>
                <w:szCs w:val="24"/>
              </w:rPr>
              <w:t>administratívnych</w:t>
            </w:r>
            <w:r w:rsidRPr="00D31BA1" w:rsidR="0013704D">
              <w:rPr>
                <w:rFonts w:ascii="Times New Roman" w:hAnsi="Times New Roman"/>
                <w:i/>
                <w:sz w:val="24"/>
                <w:szCs w:val="24"/>
              </w:rPr>
              <w:t xml:space="preserve"> a nepriamych</w:t>
            </w:r>
            <w:r w:rsidRPr="00D31BA1">
              <w:rPr>
                <w:rFonts w:ascii="Times New Roman" w:hAnsi="Times New Roman"/>
                <w:i/>
                <w:sz w:val="24"/>
                <w:szCs w:val="24"/>
              </w:rPr>
              <w:t xml:space="preserve"> nákladov</w:t>
            </w:r>
          </w:p>
          <w:p w:rsidR="00D15B7F" w:rsidRPr="00D31BA1" w:rsidP="00287039">
            <w:pPr>
              <w:pStyle w:val="Standard"/>
              <w:bidi w:val="0"/>
              <w:jc w:val="both"/>
              <w:textAlignment w:val="auto"/>
              <w:rPr>
                <w:rFonts w:ascii="Times New Roman" w:hAnsi="Times New Roman"/>
                <w:sz w:val="24"/>
                <w:szCs w:val="24"/>
              </w:rPr>
            </w:pPr>
            <w:r w:rsidRPr="00D31BA1">
              <w:rPr>
                <w:rFonts w:ascii="Times New Roman" w:hAnsi="Times New Roman"/>
                <w:sz w:val="24"/>
                <w:szCs w:val="24"/>
              </w:rPr>
              <w:t>Potreba nastavenia, prípadne zo</w:t>
            </w:r>
            <w:r w:rsidRPr="00D31BA1" w:rsidR="00193F28">
              <w:rPr>
                <w:rFonts w:ascii="Times New Roman" w:hAnsi="Times New Roman"/>
                <w:sz w:val="24"/>
                <w:szCs w:val="24"/>
              </w:rPr>
              <w:t>súladenia</w:t>
            </w:r>
            <w:r w:rsidRPr="00D31BA1">
              <w:rPr>
                <w:rFonts w:ascii="Times New Roman" w:hAnsi="Times New Roman"/>
                <w:sz w:val="24"/>
                <w:szCs w:val="24"/>
              </w:rPr>
              <w:t xml:space="preserve"> interných postupov a pravidiel prevádzkovateľov pri uplatňovaní si dotknutou osobou jej nových práv na ochranu osobných údajov, ako aj spracúvania osobných údajov maloletých pri poskytovaní služieb informačnej spoločnosti. </w:t>
            </w:r>
            <w:r w:rsidRPr="00D31BA1" w:rsidR="00193F28">
              <w:rPr>
                <w:rFonts w:ascii="Times New Roman" w:hAnsi="Times New Roman"/>
                <w:sz w:val="24"/>
                <w:szCs w:val="24"/>
              </w:rPr>
              <w:t>Administratívny náklad predpokladáme, že sa vyskytne skôr jednorazovo pri zosúlaďovaní sa subjektov s</w:t>
            </w:r>
            <w:r w:rsidRPr="00D31BA1" w:rsidR="004C0285">
              <w:rPr>
                <w:rFonts w:ascii="Times New Roman" w:hAnsi="Times New Roman"/>
                <w:sz w:val="24"/>
                <w:szCs w:val="24"/>
              </w:rPr>
              <w:t> novým zákonom o ochrane osobných údajov</w:t>
            </w:r>
            <w:r w:rsidRPr="00D31BA1" w:rsidR="00193F28">
              <w:rPr>
                <w:rFonts w:ascii="Times New Roman" w:hAnsi="Times New Roman"/>
                <w:sz w:val="24"/>
                <w:szCs w:val="24"/>
              </w:rPr>
              <w:t>. Na výšku administratívneho nákladu spojenú s vyššie uvedenými povinnosťami môže mať vplyv aj forma, akou si prevádzkovateľ uvedené povinnosti splní</w:t>
            </w:r>
            <w:r w:rsidRPr="00D31BA1" w:rsidR="004F6F4B">
              <w:rPr>
                <w:rFonts w:ascii="Times New Roman" w:hAnsi="Times New Roman"/>
                <w:sz w:val="24"/>
                <w:szCs w:val="24"/>
              </w:rPr>
              <w:t>,</w:t>
            </w:r>
            <w:r w:rsidRPr="00D31BA1" w:rsidR="00193F28">
              <w:rPr>
                <w:rFonts w:ascii="Times New Roman" w:hAnsi="Times New Roman"/>
                <w:sz w:val="24"/>
                <w:szCs w:val="24"/>
              </w:rPr>
              <w:t xml:space="preserve"> </w:t>
            </w:r>
            <w:r w:rsidRPr="00D31BA1" w:rsidR="00912E04">
              <w:rPr>
                <w:rFonts w:ascii="Times New Roman" w:hAnsi="Times New Roman"/>
                <w:sz w:val="24"/>
                <w:szCs w:val="24"/>
              </w:rPr>
              <w:t>nakoľko navrhovaná právna úprava nie vždy striktne</w:t>
            </w:r>
            <w:r w:rsidRPr="00D31BA1" w:rsidR="004F6F4B">
              <w:rPr>
                <w:rFonts w:ascii="Times New Roman" w:hAnsi="Times New Roman"/>
                <w:sz w:val="24"/>
                <w:szCs w:val="24"/>
              </w:rPr>
              <w:t xml:space="preserve"> ustanovuje formu, </w:t>
            </w:r>
            <w:r w:rsidRPr="00D31BA1" w:rsidR="00912E04">
              <w:rPr>
                <w:rFonts w:ascii="Times New Roman" w:hAnsi="Times New Roman"/>
                <w:sz w:val="24"/>
                <w:szCs w:val="24"/>
              </w:rPr>
              <w:t xml:space="preserve">ale jej voľbu ponecháva na konkrétnom prevádzkovateľovi, je na ňom ako si „nastaví“ interne procesy v rámci seba tak, aby bol v súlade s navrhovanou právnou úpravou </w:t>
            </w:r>
            <w:r w:rsidRPr="00D31BA1" w:rsidR="00193F28">
              <w:rPr>
                <w:rFonts w:ascii="Times New Roman" w:hAnsi="Times New Roman"/>
                <w:sz w:val="24"/>
                <w:szCs w:val="24"/>
              </w:rPr>
              <w:t>(zavedenie formou elektronickýc</w:t>
            </w:r>
            <w:r w:rsidRPr="00D31BA1" w:rsidR="00912E04">
              <w:rPr>
                <w:rFonts w:ascii="Times New Roman" w:hAnsi="Times New Roman"/>
                <w:sz w:val="24"/>
                <w:szCs w:val="24"/>
              </w:rPr>
              <w:t>h aplikácií a pod.). V</w:t>
            </w:r>
            <w:r w:rsidRPr="00D31BA1" w:rsidR="004C0285">
              <w:rPr>
                <w:rFonts w:ascii="Times New Roman" w:hAnsi="Times New Roman"/>
                <w:sz w:val="24"/>
                <w:szCs w:val="24"/>
              </w:rPr>
              <w:t xml:space="preserve">yčíslenie nákladov na </w:t>
            </w:r>
            <w:r w:rsidRPr="00D31BA1" w:rsidR="00912E04">
              <w:rPr>
                <w:rFonts w:ascii="Times New Roman" w:hAnsi="Times New Roman"/>
                <w:sz w:val="24"/>
                <w:szCs w:val="24"/>
              </w:rPr>
              <w:t xml:space="preserve">jednotlivý </w:t>
            </w:r>
            <w:r w:rsidRPr="00D31BA1" w:rsidR="004C0285">
              <w:rPr>
                <w:rFonts w:ascii="Times New Roman" w:hAnsi="Times New Roman"/>
                <w:sz w:val="24"/>
                <w:szCs w:val="24"/>
              </w:rPr>
              <w:t xml:space="preserve">subjekt nie je </w:t>
            </w:r>
            <w:r w:rsidRPr="00D31BA1" w:rsidR="00912E04">
              <w:rPr>
                <w:rFonts w:ascii="Times New Roman" w:hAnsi="Times New Roman"/>
                <w:sz w:val="24"/>
                <w:szCs w:val="24"/>
              </w:rPr>
              <w:t xml:space="preserve">presne </w:t>
            </w:r>
            <w:r w:rsidRPr="00D31BA1" w:rsidR="00193F28">
              <w:rPr>
                <w:rFonts w:ascii="Times New Roman" w:hAnsi="Times New Roman"/>
                <w:sz w:val="24"/>
                <w:szCs w:val="24"/>
              </w:rPr>
              <w:t>možné vzhľadom na ich rozdielnosť a na rozdielnosť finálneho prevedenia  vyššie popísaných opatrení.</w:t>
            </w:r>
            <w:r w:rsidRPr="00D31BA1" w:rsidR="00912E04">
              <w:rPr>
                <w:rFonts w:ascii="Times New Roman" w:hAnsi="Times New Roman"/>
                <w:sz w:val="24"/>
                <w:szCs w:val="24"/>
              </w:rPr>
              <w:t xml:space="preserve"> </w:t>
            </w:r>
          </w:p>
          <w:p w:rsidR="00D15B7F" w:rsidRPr="00D31BA1" w:rsidP="00287039">
            <w:pPr>
              <w:pStyle w:val="Standard"/>
              <w:bidi w:val="0"/>
              <w:ind w:left="720"/>
              <w:jc w:val="both"/>
              <w:rPr>
                <w:rFonts w:ascii="Times New Roman" w:hAnsi="Times New Roman"/>
                <w:sz w:val="24"/>
                <w:szCs w:val="24"/>
              </w:rPr>
            </w:pPr>
          </w:p>
          <w:p w:rsidR="00803A5B" w:rsidRPr="00D31BA1" w:rsidP="00287039">
            <w:pPr>
              <w:pStyle w:val="Standard"/>
              <w:bidi w:val="0"/>
              <w:jc w:val="both"/>
              <w:textAlignment w:val="auto"/>
              <w:rPr>
                <w:rFonts w:ascii="Times New Roman" w:hAnsi="Times New Roman"/>
                <w:i/>
                <w:sz w:val="24"/>
                <w:szCs w:val="24"/>
              </w:rPr>
            </w:pPr>
            <w:r w:rsidRPr="00D31BA1">
              <w:rPr>
                <w:rFonts w:ascii="Times New Roman" w:hAnsi="Times New Roman"/>
                <w:i/>
                <w:sz w:val="24"/>
                <w:szCs w:val="24"/>
              </w:rPr>
              <w:t>Prienik a</w:t>
            </w:r>
            <w:r w:rsidRPr="00D31BA1" w:rsidR="00D15B7F">
              <w:rPr>
                <w:rFonts w:ascii="Times New Roman" w:hAnsi="Times New Roman"/>
                <w:i/>
                <w:sz w:val="24"/>
                <w:szCs w:val="24"/>
              </w:rPr>
              <w:t>d</w:t>
            </w:r>
            <w:r w:rsidRPr="00D31BA1">
              <w:rPr>
                <w:rFonts w:ascii="Times New Roman" w:hAnsi="Times New Roman"/>
                <w:i/>
                <w:sz w:val="24"/>
                <w:szCs w:val="24"/>
              </w:rPr>
              <w:t>ministratívnych a priamych nákladov</w:t>
            </w:r>
          </w:p>
          <w:p w:rsidR="00D15B7F" w:rsidRPr="00D31BA1" w:rsidP="00287039">
            <w:pPr>
              <w:pStyle w:val="Standard"/>
              <w:bidi w:val="0"/>
              <w:jc w:val="both"/>
              <w:textAlignment w:val="auto"/>
              <w:rPr>
                <w:rFonts w:ascii="Times New Roman" w:hAnsi="Times New Roman"/>
                <w:sz w:val="24"/>
                <w:szCs w:val="24"/>
              </w:rPr>
            </w:pPr>
            <w:r w:rsidRPr="00D31BA1">
              <w:rPr>
                <w:rFonts w:ascii="Times New Roman" w:hAnsi="Times New Roman"/>
                <w:sz w:val="24"/>
                <w:szCs w:val="24"/>
              </w:rPr>
              <w:t>Zrušuje sa povinnosť osobitnej registrácie informačných systémov</w:t>
            </w:r>
            <w:r w:rsidRPr="00D31BA1" w:rsidR="00912E04">
              <w:rPr>
                <w:rFonts w:ascii="Times New Roman" w:hAnsi="Times New Roman"/>
                <w:sz w:val="24"/>
                <w:szCs w:val="24"/>
              </w:rPr>
              <w:t xml:space="preserve"> na úrade</w:t>
            </w:r>
            <w:r w:rsidRPr="00D31BA1">
              <w:rPr>
                <w:rFonts w:ascii="Times New Roman" w:hAnsi="Times New Roman"/>
                <w:sz w:val="24"/>
                <w:szCs w:val="24"/>
              </w:rPr>
              <w:t>, ktorú bol prevádzkovateľ povinný vykonať v zákonom stanovených prípadoch spracúvania (spracúvanie biometrických údajov, spracúvanie na účely ochrany práv a právom chránených záujmov prevádzkovateľa alebo tretej strany, ak o tom rozhodne úrad, pri prenose osobitnej kategórie osobných údajov do tretích krajín, ktoré nezaručujú primeranú úroveň ochrany prostredníctvom zmluvných doložiek, vnútropodnikových záväzných pravidiel alebo ďalších nástrojov). Za rok 2016 bolo osobitne registrovaných 237 osobitných registrácií informačných systémov prevádzkovateľov (opä</w:t>
            </w:r>
            <w:r w:rsidRPr="00D31BA1" w:rsidR="0013704D">
              <w:rPr>
                <w:rFonts w:ascii="Times New Roman" w:hAnsi="Times New Roman"/>
                <w:sz w:val="24"/>
                <w:szCs w:val="24"/>
              </w:rPr>
              <w:t xml:space="preserve">tovne jeden prevádzkovateľ </w:t>
            </w:r>
            <w:r w:rsidRPr="00D31BA1">
              <w:rPr>
                <w:rFonts w:ascii="Times New Roman" w:hAnsi="Times New Roman"/>
                <w:sz w:val="24"/>
                <w:szCs w:val="24"/>
              </w:rPr>
              <w:t xml:space="preserve">mohol registrovať aj viaceré informačné systémy). </w:t>
            </w:r>
          </w:p>
          <w:p w:rsidR="00D15B7F" w:rsidRPr="00D31BA1" w:rsidP="00287039">
            <w:pPr>
              <w:pStyle w:val="Standard"/>
              <w:bidi w:val="0"/>
              <w:ind w:left="720"/>
              <w:jc w:val="both"/>
              <w:rPr>
                <w:rFonts w:ascii="Times New Roman" w:hAnsi="Times New Roman"/>
                <w:sz w:val="24"/>
                <w:szCs w:val="24"/>
              </w:rPr>
            </w:pPr>
          </w:p>
          <w:p w:rsidR="00803A5B" w:rsidRPr="00D31BA1" w:rsidP="00287039">
            <w:pPr>
              <w:pStyle w:val="Standard"/>
              <w:bidi w:val="0"/>
              <w:jc w:val="both"/>
              <w:textAlignment w:val="auto"/>
              <w:rPr>
                <w:rFonts w:ascii="Times New Roman" w:hAnsi="Times New Roman"/>
                <w:i/>
                <w:sz w:val="24"/>
                <w:szCs w:val="24"/>
              </w:rPr>
            </w:pPr>
            <w:r w:rsidRPr="00D31BA1" w:rsidR="0013704D">
              <w:rPr>
                <w:rFonts w:ascii="Times New Roman" w:hAnsi="Times New Roman"/>
                <w:i/>
                <w:sz w:val="24"/>
                <w:szCs w:val="24"/>
              </w:rPr>
              <w:t>A</w:t>
            </w:r>
            <w:r w:rsidRPr="00D31BA1" w:rsidR="00AF2073">
              <w:rPr>
                <w:rFonts w:ascii="Times New Roman" w:hAnsi="Times New Roman"/>
                <w:i/>
                <w:sz w:val="24"/>
                <w:szCs w:val="24"/>
              </w:rPr>
              <w:t>dministratívne náklady</w:t>
            </w:r>
          </w:p>
          <w:p w:rsidR="00D15B7F" w:rsidRPr="00D31BA1" w:rsidP="00287039">
            <w:pPr>
              <w:pStyle w:val="Standard"/>
              <w:bidi w:val="0"/>
              <w:jc w:val="both"/>
              <w:textAlignment w:val="auto"/>
              <w:rPr>
                <w:rFonts w:ascii="Times New Roman" w:hAnsi="Times New Roman"/>
                <w:sz w:val="24"/>
                <w:szCs w:val="24"/>
              </w:rPr>
            </w:pPr>
            <w:r w:rsidRPr="00D31BA1">
              <w:rPr>
                <w:rFonts w:ascii="Times New Roman" w:hAnsi="Times New Roman"/>
                <w:sz w:val="24"/>
                <w:szCs w:val="24"/>
              </w:rPr>
              <w:t>Zrušuje sa povinnosť vypracovania bezpečnostného projektu, a táto je nahradená povinnosťou posudzovania vplyvu na ochranu osobných údajov a</w:t>
            </w:r>
            <w:r w:rsidRPr="00D31BA1" w:rsidR="0013704D">
              <w:rPr>
                <w:rFonts w:ascii="Times New Roman" w:hAnsi="Times New Roman"/>
                <w:sz w:val="24"/>
                <w:szCs w:val="24"/>
              </w:rPr>
              <w:t> predchádzajúcimi konzultáciami s úradom.</w:t>
            </w:r>
            <w:r w:rsidRPr="00D31BA1">
              <w:rPr>
                <w:rFonts w:ascii="Times New Roman" w:hAnsi="Times New Roman"/>
                <w:sz w:val="24"/>
                <w:szCs w:val="24"/>
              </w:rPr>
              <w:t xml:space="preserve"> </w:t>
            </w:r>
            <w:r w:rsidRPr="00D31BA1" w:rsidR="004C0285">
              <w:rPr>
                <w:rFonts w:ascii="Times New Roman" w:hAnsi="Times New Roman"/>
                <w:sz w:val="24"/>
                <w:szCs w:val="24"/>
              </w:rPr>
              <w:t xml:space="preserve">Avšak povinnosť posúdenia vplyvu a možnej následnej konzultácie s úradom predpokladáme, že sa na základe </w:t>
            </w:r>
            <w:r w:rsidRPr="00D31BA1" w:rsidR="002462BD">
              <w:rPr>
                <w:rFonts w:ascii="Times New Roman" w:hAnsi="Times New Roman"/>
                <w:sz w:val="24"/>
                <w:szCs w:val="24"/>
              </w:rPr>
              <w:t xml:space="preserve">stanovených navrhovaných </w:t>
            </w:r>
            <w:r w:rsidRPr="00D31BA1" w:rsidR="004C0285">
              <w:rPr>
                <w:rFonts w:ascii="Times New Roman" w:hAnsi="Times New Roman"/>
                <w:sz w:val="24"/>
                <w:szCs w:val="24"/>
              </w:rPr>
              <w:t>kritérií bude týkať menšieho počtu prevádzkovateľov, ako tomu bolo podľa terajšej právnej úpravy</w:t>
            </w:r>
            <w:r w:rsidRPr="00D31BA1" w:rsidR="00912E04">
              <w:rPr>
                <w:rFonts w:ascii="Times New Roman" w:hAnsi="Times New Roman"/>
                <w:sz w:val="24"/>
                <w:szCs w:val="24"/>
              </w:rPr>
              <w:t>, kedy sa naopak povinnosť vypracovať bezpečnostný projekt dotkla vždy subjektu ktorý splnil dané kritériá podľa súčasnej právnej</w:t>
            </w:r>
            <w:r w:rsidRPr="00D31BA1" w:rsidR="002462BD">
              <w:rPr>
                <w:rFonts w:ascii="Times New Roman" w:hAnsi="Times New Roman"/>
                <w:sz w:val="24"/>
                <w:szCs w:val="24"/>
              </w:rPr>
              <w:t xml:space="preserve"> úpravy;</w:t>
            </w:r>
            <w:r w:rsidRPr="00D31BA1" w:rsidR="00912E04">
              <w:rPr>
                <w:rFonts w:ascii="Times New Roman" w:hAnsi="Times New Roman"/>
                <w:sz w:val="24"/>
                <w:szCs w:val="24"/>
              </w:rPr>
              <w:t xml:space="preserve"> napríklad</w:t>
            </w:r>
            <w:r w:rsidRPr="00D31BA1" w:rsidR="002462BD">
              <w:rPr>
                <w:rFonts w:ascii="Times New Roman" w:hAnsi="Times New Roman"/>
                <w:sz w:val="24"/>
                <w:szCs w:val="24"/>
              </w:rPr>
              <w:t xml:space="preserve"> ak prevádzkovateľ spracúval</w:t>
            </w:r>
            <w:r w:rsidRPr="00D31BA1" w:rsidR="00912E04">
              <w:rPr>
                <w:rFonts w:ascii="Times New Roman" w:hAnsi="Times New Roman"/>
                <w:sz w:val="24"/>
                <w:szCs w:val="24"/>
              </w:rPr>
              <w:t xml:space="preserve"> rodné číslo na počítači prepojenom s verejne prístupnou </w:t>
            </w:r>
            <w:r w:rsidRPr="00D31BA1" w:rsidR="002462BD">
              <w:rPr>
                <w:rFonts w:ascii="Times New Roman" w:hAnsi="Times New Roman"/>
                <w:sz w:val="24"/>
                <w:szCs w:val="24"/>
              </w:rPr>
              <w:t>počítačovou sieťou (internetom), mal povinnosť vypracovať bezpečnostný projekt. Ako sme vyššie uviedli predpokladáme skôr pokles povinnosti posúdenia vplyvu prípadne povinnosti následnej predchádzajúcej konzultácie s úradom, čo by sa malo priamo odraziť na znížení, resp. nenavýšení nákladov.</w:t>
            </w:r>
          </w:p>
          <w:p w:rsidR="00D15B7F" w:rsidRPr="00D31BA1" w:rsidP="00287039">
            <w:pPr>
              <w:pStyle w:val="Standard"/>
              <w:bidi w:val="0"/>
              <w:jc w:val="both"/>
              <w:rPr>
                <w:rFonts w:ascii="Times New Roman" w:hAnsi="Times New Roman"/>
                <w:sz w:val="24"/>
                <w:szCs w:val="24"/>
              </w:rPr>
            </w:pPr>
          </w:p>
          <w:p w:rsidR="00D15B7F" w:rsidRPr="00D31BA1" w:rsidP="00287039">
            <w:pPr>
              <w:pStyle w:val="Standard"/>
              <w:bidi w:val="0"/>
              <w:jc w:val="both"/>
              <w:textAlignment w:val="auto"/>
              <w:rPr>
                <w:rFonts w:ascii="Times New Roman" w:hAnsi="Times New Roman"/>
                <w:sz w:val="24"/>
                <w:szCs w:val="24"/>
              </w:rPr>
            </w:pPr>
            <w:r w:rsidRPr="00D31BA1" w:rsidR="00803A5B">
              <w:rPr>
                <w:rFonts w:ascii="Times New Roman" w:hAnsi="Times New Roman"/>
                <w:sz w:val="24"/>
                <w:szCs w:val="24"/>
              </w:rPr>
              <w:t>S</w:t>
            </w:r>
            <w:r w:rsidRPr="00D31BA1">
              <w:rPr>
                <w:rFonts w:ascii="Times New Roman" w:hAnsi="Times New Roman"/>
                <w:sz w:val="24"/>
                <w:szCs w:val="24"/>
              </w:rPr>
              <w:t>tanovuje sa prevádzkovateľovi nová povinnosť vyplývajúca zo snahy o zabezpečenie mate</w:t>
            </w:r>
            <w:r w:rsidRPr="00D31BA1" w:rsidR="00AF207C">
              <w:rPr>
                <w:rFonts w:ascii="Times New Roman" w:hAnsi="Times New Roman"/>
                <w:sz w:val="24"/>
                <w:szCs w:val="24"/>
              </w:rPr>
              <w:t>riálnej ochrany osobných údajov</w:t>
            </w:r>
            <w:r w:rsidRPr="00D31BA1">
              <w:rPr>
                <w:rFonts w:ascii="Times New Roman" w:hAnsi="Times New Roman"/>
                <w:sz w:val="24"/>
                <w:szCs w:val="24"/>
              </w:rPr>
              <w:t xml:space="preserve"> oznamovať porušenie ochrany osobných údajov úradu a pri vysokom riziku pre práva a slobody fyzických osôb  dotknutým osobám ako aj Úradu na ochranu osobných údajov zo strany prevádzkovateľov (túto povinnosť má aj sprostredkovateľ avšak len voči prevádzkovateľovi v mene, ktorého spracúva osobné údaje dotknutej osoby) s výnimkou prípadov, kedy </w:t>
            </w:r>
            <w:r w:rsidRPr="00D31BA1" w:rsidR="00AF207C">
              <w:rPr>
                <w:rFonts w:ascii="Times New Roman" w:hAnsi="Times New Roman"/>
                <w:sz w:val="24"/>
                <w:szCs w:val="24"/>
              </w:rPr>
              <w:t xml:space="preserve">zanalyzované </w:t>
            </w:r>
            <w:r w:rsidRPr="00D31BA1">
              <w:rPr>
                <w:rFonts w:ascii="Times New Roman" w:hAnsi="Times New Roman"/>
                <w:sz w:val="24"/>
                <w:szCs w:val="24"/>
              </w:rPr>
              <w:t xml:space="preserve">porušenie </w:t>
            </w:r>
            <w:r w:rsidRPr="00D31BA1" w:rsidR="00AF207C">
              <w:rPr>
                <w:rFonts w:ascii="Times New Roman" w:hAnsi="Times New Roman"/>
                <w:sz w:val="24"/>
                <w:szCs w:val="24"/>
              </w:rPr>
              <w:t xml:space="preserve">ochrany osobných údajov </w:t>
            </w:r>
            <w:r w:rsidRPr="00D31BA1">
              <w:rPr>
                <w:rFonts w:ascii="Times New Roman" w:hAnsi="Times New Roman"/>
                <w:sz w:val="24"/>
                <w:szCs w:val="24"/>
              </w:rPr>
              <w:t>nepovedie k riziku pre práva a </w:t>
            </w:r>
            <w:r w:rsidRPr="00D31BA1" w:rsidR="002462BD">
              <w:rPr>
                <w:rFonts w:ascii="Times New Roman" w:hAnsi="Times New Roman"/>
                <w:sz w:val="24"/>
                <w:szCs w:val="24"/>
              </w:rPr>
              <w:t>slobody fyzických osôb. Dotknutej osobe</w:t>
            </w:r>
            <w:r w:rsidRPr="00D31BA1">
              <w:rPr>
                <w:rFonts w:ascii="Times New Roman" w:hAnsi="Times New Roman"/>
                <w:sz w:val="24"/>
                <w:szCs w:val="24"/>
              </w:rPr>
              <w:t xml:space="preserve"> nemusí byť porušenie ochrany osobných údajov oznámené, ak by to vyžadovalo neprimerané úsilie</w:t>
            </w:r>
            <w:r w:rsidRPr="00D31BA1" w:rsidR="002462BD">
              <w:rPr>
                <w:rFonts w:ascii="Times New Roman" w:hAnsi="Times New Roman"/>
                <w:sz w:val="24"/>
                <w:szCs w:val="24"/>
              </w:rPr>
              <w:t xml:space="preserve"> prevádzkovateľa</w:t>
            </w:r>
            <w:r w:rsidRPr="00D31BA1">
              <w:rPr>
                <w:rFonts w:ascii="Times New Roman" w:hAnsi="Times New Roman"/>
                <w:sz w:val="24"/>
                <w:szCs w:val="24"/>
              </w:rPr>
              <w:t xml:space="preserve">, ak </w:t>
            </w:r>
            <w:r w:rsidRPr="00D31BA1" w:rsidR="002462BD">
              <w:rPr>
                <w:rFonts w:ascii="Times New Roman" w:hAnsi="Times New Roman"/>
                <w:sz w:val="24"/>
                <w:szCs w:val="24"/>
              </w:rPr>
              <w:t xml:space="preserve">ním </w:t>
            </w:r>
            <w:r w:rsidRPr="00D31BA1">
              <w:rPr>
                <w:rFonts w:ascii="Times New Roman" w:hAnsi="Times New Roman"/>
                <w:sz w:val="24"/>
                <w:szCs w:val="24"/>
              </w:rPr>
              <w:t xml:space="preserve">boli prijaté primerané opatrenia, takže údaje nebudú čitateľné pre všetky osoby prípadne ak boli prijaté následne opatrenia, ktorými sa zabezpečí, že vysoké riziko pre práva osôb nebude mať dôsledky. V súvislosti s oznámeniami porušenia ochrany osobných údajov vzniká prevádzkovateľovi nová povinnosť dokumentovať prípady porušenia ochrany osobných údajov. </w:t>
            </w:r>
            <w:r w:rsidRPr="00D31BA1" w:rsidR="004C0285">
              <w:rPr>
                <w:rFonts w:ascii="Times New Roman" w:hAnsi="Times New Roman"/>
                <w:sz w:val="24"/>
                <w:szCs w:val="24"/>
              </w:rPr>
              <w:t>Povinnosť oznamovať porušenie ochrany osobných údajov ako úradu tak dotknutej osobe, ak subjektu vznikne</w:t>
            </w:r>
            <w:r w:rsidRPr="00D31BA1" w:rsidR="00AF207C">
              <w:rPr>
                <w:rFonts w:ascii="Times New Roman" w:hAnsi="Times New Roman"/>
                <w:sz w:val="24"/>
                <w:szCs w:val="24"/>
              </w:rPr>
              <w:t>,</w:t>
            </w:r>
            <w:r w:rsidRPr="00D31BA1" w:rsidR="004C0285">
              <w:rPr>
                <w:rFonts w:ascii="Times New Roman" w:hAnsi="Times New Roman"/>
                <w:sz w:val="24"/>
                <w:szCs w:val="24"/>
              </w:rPr>
              <w:t xml:space="preserve"> sa týka všetkých subjektov. </w:t>
            </w:r>
          </w:p>
          <w:p w:rsidR="00D15B7F" w:rsidRPr="00D31BA1" w:rsidP="00287039">
            <w:pPr>
              <w:pStyle w:val="Standard"/>
              <w:bidi w:val="0"/>
              <w:ind w:left="720"/>
              <w:jc w:val="both"/>
              <w:rPr>
                <w:rFonts w:ascii="Times New Roman" w:hAnsi="Times New Roman"/>
                <w:sz w:val="24"/>
                <w:szCs w:val="24"/>
              </w:rPr>
            </w:pPr>
          </w:p>
          <w:p w:rsidR="00D15B7F" w:rsidRPr="00D31BA1" w:rsidP="00287039">
            <w:pPr>
              <w:pStyle w:val="Standard"/>
              <w:bidi w:val="0"/>
              <w:jc w:val="both"/>
              <w:textAlignment w:val="auto"/>
              <w:rPr>
                <w:rFonts w:ascii="Times New Roman" w:hAnsi="Times New Roman"/>
                <w:sz w:val="24"/>
                <w:szCs w:val="24"/>
              </w:rPr>
            </w:pPr>
            <w:r w:rsidRPr="00D31BA1">
              <w:rPr>
                <w:rFonts w:ascii="Times New Roman" w:hAnsi="Times New Roman"/>
                <w:sz w:val="24"/>
                <w:szCs w:val="24"/>
              </w:rPr>
              <w:t>Upravujú sa podmienky prenosu osobných údajov do tretích krajín a zavádza sa povinnosť zosúladiť postupy s primeranými záruka</w:t>
            </w:r>
            <w:r w:rsidRPr="00D31BA1" w:rsidR="002462BD">
              <w:rPr>
                <w:rFonts w:ascii="Times New Roman" w:hAnsi="Times New Roman"/>
                <w:sz w:val="24"/>
                <w:szCs w:val="24"/>
              </w:rPr>
              <w:t>mi, nielen zohľadnenie zoznamu Európskej Komisie</w:t>
            </w:r>
            <w:r w:rsidRPr="00D31BA1">
              <w:rPr>
                <w:rFonts w:ascii="Times New Roman" w:hAnsi="Times New Roman"/>
                <w:sz w:val="24"/>
                <w:szCs w:val="24"/>
              </w:rPr>
              <w:t xml:space="preserve"> krajín/doložiek spĺňajúcimi primeranú úroveň ochrany.</w:t>
            </w:r>
            <w:r w:rsidRPr="00D31BA1" w:rsidR="004C0285">
              <w:rPr>
                <w:rFonts w:ascii="Times New Roman" w:hAnsi="Times New Roman"/>
                <w:sz w:val="24"/>
                <w:szCs w:val="24"/>
              </w:rPr>
              <w:t xml:space="preserve"> Tento administratívny náklad vznikne iba tým prevádzkovateľom, ktorí prenášajú osobné údaje do tretích krajín; celkový počet </w:t>
            </w:r>
            <w:r w:rsidRPr="00D31BA1" w:rsidR="002462BD">
              <w:rPr>
                <w:rFonts w:ascii="Times New Roman" w:hAnsi="Times New Roman"/>
                <w:sz w:val="24"/>
                <w:szCs w:val="24"/>
              </w:rPr>
              <w:t xml:space="preserve">dotknutých subjektov </w:t>
            </w:r>
            <w:r w:rsidRPr="00D31BA1" w:rsidR="004C0285">
              <w:rPr>
                <w:rFonts w:ascii="Times New Roman" w:hAnsi="Times New Roman"/>
                <w:sz w:val="24"/>
                <w:szCs w:val="24"/>
              </w:rPr>
              <w:t>preto nie je možné definovať.</w:t>
            </w:r>
          </w:p>
          <w:p w:rsidR="00803A5B" w:rsidRPr="00D31BA1" w:rsidP="00287039">
            <w:pPr>
              <w:pStyle w:val="Standard"/>
              <w:bidi w:val="0"/>
              <w:ind w:left="720"/>
              <w:jc w:val="both"/>
              <w:textAlignment w:val="auto"/>
              <w:rPr>
                <w:rFonts w:ascii="Times New Roman" w:hAnsi="Times New Roman"/>
                <w:sz w:val="24"/>
                <w:szCs w:val="24"/>
              </w:rPr>
            </w:pPr>
          </w:p>
          <w:p w:rsidR="00803A5B" w:rsidRPr="00D31BA1" w:rsidP="00287039">
            <w:pPr>
              <w:pStyle w:val="Standard"/>
              <w:bidi w:val="0"/>
              <w:jc w:val="both"/>
              <w:textAlignment w:val="auto"/>
              <w:rPr>
                <w:rFonts w:ascii="Times New Roman" w:hAnsi="Times New Roman"/>
                <w:sz w:val="24"/>
                <w:szCs w:val="24"/>
              </w:rPr>
            </w:pPr>
            <w:r w:rsidRPr="00D31BA1">
              <w:rPr>
                <w:rFonts w:ascii="Times New Roman" w:hAnsi="Times New Roman"/>
                <w:sz w:val="24"/>
                <w:szCs w:val="24"/>
              </w:rPr>
              <w:t>Zrušuje sa evidenčná povinnosť, ktorá sa nahrádza povinnosťou viesť záznamy o spracovateľských činnostiach tak pre prevádzkovateľa, ako aj sprostredkovateľa. V súčasnej právnej</w:t>
            </w:r>
            <w:r w:rsidRPr="00D31BA1" w:rsidR="0013704D">
              <w:rPr>
                <w:rFonts w:ascii="Times New Roman" w:hAnsi="Times New Roman"/>
                <w:sz w:val="24"/>
                <w:szCs w:val="24"/>
              </w:rPr>
              <w:t xml:space="preserve"> úprave bola táto povinnosť daná</w:t>
            </w:r>
            <w:r w:rsidRPr="00D31BA1">
              <w:rPr>
                <w:rFonts w:ascii="Times New Roman" w:hAnsi="Times New Roman"/>
                <w:sz w:val="24"/>
                <w:szCs w:val="24"/>
              </w:rPr>
              <w:t>, len prevádzkovateľovi.</w:t>
            </w:r>
          </w:p>
          <w:p w:rsidR="00803A5B" w:rsidRPr="00D31BA1" w:rsidP="00287039">
            <w:pPr>
              <w:pStyle w:val="Standard"/>
              <w:bidi w:val="0"/>
              <w:jc w:val="both"/>
              <w:rPr>
                <w:rFonts w:ascii="Times New Roman" w:hAnsi="Times New Roman"/>
                <w:sz w:val="24"/>
                <w:szCs w:val="24"/>
              </w:rPr>
            </w:pPr>
          </w:p>
          <w:p w:rsidR="002462BD" w:rsidRPr="00D31BA1" w:rsidP="00287039">
            <w:pPr>
              <w:pStyle w:val="Standard"/>
              <w:bidi w:val="0"/>
              <w:jc w:val="both"/>
              <w:rPr>
                <w:rFonts w:ascii="Times New Roman" w:hAnsi="Times New Roman"/>
                <w:sz w:val="24"/>
                <w:szCs w:val="24"/>
              </w:rPr>
            </w:pPr>
            <w:r w:rsidRPr="00D31BA1" w:rsidR="00803A5B">
              <w:rPr>
                <w:rFonts w:ascii="Times New Roman" w:hAnsi="Times New Roman"/>
                <w:sz w:val="24"/>
                <w:szCs w:val="24"/>
              </w:rPr>
              <w:t>Zrušuje sa povinnosť oznamovania informačných systémov, ktoré boli v zákonom stanovených pr</w:t>
            </w:r>
            <w:r w:rsidRPr="00D31BA1" w:rsidR="0013704D">
              <w:rPr>
                <w:rFonts w:ascii="Times New Roman" w:hAnsi="Times New Roman"/>
                <w:sz w:val="24"/>
                <w:szCs w:val="24"/>
              </w:rPr>
              <w:t>ípadoch prevádzkovatelia povinní</w:t>
            </w:r>
            <w:r w:rsidRPr="00D31BA1" w:rsidR="00803A5B">
              <w:rPr>
                <w:rFonts w:ascii="Times New Roman" w:hAnsi="Times New Roman"/>
                <w:sz w:val="24"/>
                <w:szCs w:val="24"/>
              </w:rPr>
              <w:t xml:space="preserve"> oznamovať pred začatím spracúvania </w:t>
            </w:r>
            <w:r w:rsidRPr="00D31BA1" w:rsidR="00AF207C">
              <w:rPr>
                <w:rFonts w:ascii="Times New Roman" w:hAnsi="Times New Roman"/>
                <w:sz w:val="24"/>
                <w:szCs w:val="24"/>
              </w:rPr>
              <w:t>úradu</w:t>
            </w:r>
            <w:r w:rsidRPr="00D31BA1" w:rsidR="00803A5B">
              <w:rPr>
                <w:rFonts w:ascii="Times New Roman" w:hAnsi="Times New Roman"/>
                <w:sz w:val="24"/>
                <w:szCs w:val="24"/>
              </w:rPr>
              <w:t>. Táto povinnosť sa odvodzuje od právneho základu spracúvania prevádzkovateľa, to znamená, ak osobné údaje spracúval na základe súhlasu dotknutej osoby; alebo s ohľadom na ustanovenie zodpovednej osoby prevádzkovateľom. V súčasnosti v systéme oznámení figuruje 13 350 oznámení informačných systémov od prevádzkovateľov, s tým, že viacero oznámení mohlo byť vykonaných aj jedným podnikateľským subjektom</w:t>
            </w:r>
            <w:r w:rsidRPr="00D31BA1">
              <w:rPr>
                <w:rFonts w:ascii="Times New Roman" w:hAnsi="Times New Roman"/>
                <w:sz w:val="24"/>
                <w:szCs w:val="24"/>
              </w:rPr>
              <w:t xml:space="preserve"> - </w:t>
            </w:r>
            <w:r w:rsidRPr="00D31BA1" w:rsidR="00803A5B">
              <w:rPr>
                <w:rFonts w:ascii="Times New Roman" w:hAnsi="Times New Roman"/>
                <w:sz w:val="24"/>
                <w:szCs w:val="24"/>
              </w:rPr>
              <w:t xml:space="preserve"> prevádzkovateľom. </w:t>
            </w:r>
          </w:p>
          <w:p w:rsidR="002462BD" w:rsidRPr="00D31BA1" w:rsidP="00287039">
            <w:pPr>
              <w:pStyle w:val="Standard"/>
              <w:bidi w:val="0"/>
              <w:jc w:val="both"/>
              <w:rPr>
                <w:rFonts w:ascii="Times New Roman" w:hAnsi="Times New Roman"/>
                <w:sz w:val="24"/>
                <w:szCs w:val="24"/>
              </w:rPr>
            </w:pPr>
          </w:p>
          <w:p w:rsidR="002462BD" w:rsidRPr="00D31BA1" w:rsidP="00287039">
            <w:pPr>
              <w:pStyle w:val="Standard"/>
              <w:bidi w:val="0"/>
              <w:jc w:val="both"/>
              <w:rPr>
                <w:rFonts w:ascii="Times New Roman" w:hAnsi="Times New Roman"/>
                <w:sz w:val="24"/>
                <w:szCs w:val="24"/>
              </w:rPr>
            </w:pPr>
            <w:r w:rsidRPr="00D31BA1">
              <w:rPr>
                <w:rFonts w:ascii="Times New Roman" w:hAnsi="Times New Roman"/>
                <w:sz w:val="24"/>
                <w:szCs w:val="24"/>
              </w:rPr>
              <w:t>Na základe výsledkov výpočtov vychádzajúcich z konzultácií a podkladov, k</w:t>
            </w:r>
            <w:r w:rsidRPr="00D31BA1" w:rsidR="0046140A">
              <w:rPr>
                <w:rFonts w:ascii="Times New Roman" w:hAnsi="Times New Roman"/>
                <w:sz w:val="24"/>
                <w:szCs w:val="24"/>
              </w:rPr>
              <w:t xml:space="preserve">toré </w:t>
            </w:r>
            <w:r w:rsidRPr="00D31BA1">
              <w:rPr>
                <w:rFonts w:ascii="Times New Roman" w:hAnsi="Times New Roman"/>
                <w:sz w:val="24"/>
                <w:szCs w:val="24"/>
              </w:rPr>
              <w:t>poskyt</w:t>
            </w:r>
            <w:r w:rsidRPr="00D31BA1" w:rsidR="00B26D32">
              <w:rPr>
                <w:rFonts w:ascii="Times New Roman" w:hAnsi="Times New Roman"/>
                <w:sz w:val="24"/>
                <w:szCs w:val="24"/>
              </w:rPr>
              <w:t>lo</w:t>
            </w:r>
            <w:r w:rsidRPr="00D31BA1">
              <w:rPr>
                <w:rFonts w:ascii="Times New Roman" w:hAnsi="Times New Roman"/>
                <w:sz w:val="24"/>
                <w:szCs w:val="24"/>
              </w:rPr>
              <w:t xml:space="preserve"> úradu Centrum pre lepšiu reguláciu predbežn</w:t>
            </w:r>
            <w:r w:rsidRPr="00D31BA1" w:rsidR="00FB20D0">
              <w:rPr>
                <w:rFonts w:ascii="Times New Roman" w:hAnsi="Times New Roman"/>
                <w:sz w:val="24"/>
                <w:szCs w:val="24"/>
              </w:rPr>
              <w:t>é</w:t>
            </w:r>
            <w:r w:rsidRPr="00D31BA1">
              <w:rPr>
                <w:rFonts w:ascii="Times New Roman" w:hAnsi="Times New Roman"/>
                <w:sz w:val="24"/>
                <w:szCs w:val="24"/>
              </w:rPr>
              <w:t xml:space="preserve"> vyčísl</w:t>
            </w:r>
            <w:r w:rsidRPr="00D31BA1" w:rsidR="00FB20D0">
              <w:rPr>
                <w:rFonts w:ascii="Times New Roman" w:hAnsi="Times New Roman"/>
                <w:sz w:val="24"/>
                <w:szCs w:val="24"/>
              </w:rPr>
              <w:t>enie</w:t>
            </w:r>
            <w:r w:rsidRPr="00D31BA1">
              <w:rPr>
                <w:rFonts w:ascii="Times New Roman" w:hAnsi="Times New Roman"/>
                <w:sz w:val="24"/>
                <w:szCs w:val="24"/>
              </w:rPr>
              <w:t xml:space="preserve"> </w:t>
            </w:r>
            <w:r w:rsidRPr="00D31BA1" w:rsidR="0046140A">
              <w:rPr>
                <w:rFonts w:ascii="Times New Roman" w:hAnsi="Times New Roman"/>
                <w:sz w:val="24"/>
                <w:szCs w:val="24"/>
              </w:rPr>
              <w:t>administratívn</w:t>
            </w:r>
            <w:r w:rsidRPr="00D31BA1" w:rsidR="00FB20D0">
              <w:rPr>
                <w:rFonts w:ascii="Times New Roman" w:hAnsi="Times New Roman"/>
                <w:sz w:val="24"/>
                <w:szCs w:val="24"/>
              </w:rPr>
              <w:t>ych</w:t>
            </w:r>
            <w:r w:rsidRPr="00D31BA1" w:rsidR="0046140A">
              <w:rPr>
                <w:rFonts w:ascii="Times New Roman" w:hAnsi="Times New Roman"/>
                <w:sz w:val="24"/>
                <w:szCs w:val="24"/>
              </w:rPr>
              <w:t xml:space="preserve"> náklad</w:t>
            </w:r>
            <w:r w:rsidRPr="00D31BA1" w:rsidR="00FB20D0">
              <w:rPr>
                <w:rFonts w:ascii="Times New Roman" w:hAnsi="Times New Roman"/>
                <w:sz w:val="24"/>
                <w:szCs w:val="24"/>
              </w:rPr>
              <w:t>ov</w:t>
            </w:r>
            <w:r w:rsidRPr="00D31BA1" w:rsidR="0046140A">
              <w:rPr>
                <w:rFonts w:ascii="Times New Roman" w:hAnsi="Times New Roman"/>
                <w:sz w:val="24"/>
                <w:szCs w:val="24"/>
              </w:rPr>
              <w:t xml:space="preserve"> </w:t>
            </w:r>
            <w:r w:rsidRPr="00D31BA1" w:rsidR="00FB20D0">
              <w:rPr>
                <w:rFonts w:ascii="Times New Roman" w:hAnsi="Times New Roman"/>
                <w:sz w:val="24"/>
                <w:szCs w:val="24"/>
              </w:rPr>
              <w:t xml:space="preserve">pokiaľ ide o MSP, tie </w:t>
            </w:r>
            <w:r w:rsidRPr="00D31BA1" w:rsidR="0046140A">
              <w:rPr>
                <w:rFonts w:ascii="Times New Roman" w:hAnsi="Times New Roman"/>
                <w:sz w:val="24"/>
                <w:szCs w:val="24"/>
              </w:rPr>
              <w:t>by mali byť približne na úrovni niečo viac ako 42 mil. eur.</w:t>
            </w:r>
          </w:p>
          <w:p w:rsidR="002010D1" w:rsidRPr="00D31BA1" w:rsidP="00287039">
            <w:pPr>
              <w:pStyle w:val="Standard"/>
              <w:bidi w:val="0"/>
              <w:rPr>
                <w:rFonts w:ascii="Times New Roman" w:hAnsi="Times New Roman"/>
                <w:b/>
                <w:i/>
                <w:sz w:val="24"/>
                <w:szCs w:val="24"/>
              </w:rPr>
            </w:pPr>
          </w:p>
        </w:tc>
      </w:tr>
      <w:tr>
        <w:tblPrEx>
          <w:tblW w:w="9212" w:type="dxa"/>
          <w:tblInd w:w="-108" w:type="dxa"/>
          <w:tblLayout w:type="fixed"/>
          <w:tblCellMar>
            <w:left w:w="10" w:type="dxa"/>
            <w:right w:w="10" w:type="dxa"/>
          </w:tblCellMar>
        </w:tblPrEx>
        <w:trPr>
          <w:trHeight w:val="2318"/>
        </w:trPr>
        <w:tc>
          <w:tcPr>
            <w:tcW w:w="9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b/>
                <w:i/>
                <w:sz w:val="24"/>
                <w:szCs w:val="24"/>
              </w:rPr>
            </w:pPr>
            <w:r w:rsidRPr="00D31BA1" w:rsidR="006E5496">
              <w:rPr>
                <w:rFonts w:ascii="Times New Roman" w:hAnsi="Times New Roman"/>
                <w:b/>
                <w:i/>
                <w:sz w:val="24"/>
                <w:szCs w:val="24"/>
              </w:rPr>
              <w:t>3.3.4 Súhrnná tabuľka nákladov regulácie</w:t>
            </w:r>
          </w:p>
          <w:p w:rsidR="002010D1" w:rsidRPr="00D31BA1" w:rsidP="00287039">
            <w:pPr>
              <w:pStyle w:val="Standard"/>
              <w:bidi w:val="0"/>
              <w:rPr>
                <w:rFonts w:ascii="Times New Roman" w:hAnsi="Times New Roman"/>
                <w:i/>
                <w:sz w:val="24"/>
                <w:szCs w:val="24"/>
              </w:rPr>
            </w:pPr>
          </w:p>
          <w:tbl>
            <w:tblPr>
              <w:tblStyle w:val="TableNormal"/>
              <w:tblW w:w="8981" w:type="dxa"/>
              <w:tblLayout w:type="fixed"/>
              <w:tblCellMar>
                <w:left w:w="10" w:type="dxa"/>
                <w:right w:w="10" w:type="dxa"/>
              </w:tblCellMar>
            </w:tblPr>
            <w:tblGrid>
              <w:gridCol w:w="2993"/>
              <w:gridCol w:w="2992"/>
              <w:gridCol w:w="2996"/>
            </w:tblGrid>
            <w:tr>
              <w:tblPrEx>
                <w:tblW w:w="8981" w:type="dxa"/>
                <w:tblLayout w:type="fixed"/>
                <w:tblCellMar>
                  <w:left w:w="10" w:type="dxa"/>
                  <w:right w:w="10" w:type="dxa"/>
                </w:tblCellMar>
              </w:tblPrEx>
              <w:tc>
                <w:tcPr>
                  <w:tcW w:w="2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i/>
                      <w:sz w:val="24"/>
                      <w:szCs w:val="24"/>
                    </w:rPr>
                  </w:pPr>
                </w:p>
              </w:tc>
              <w:tc>
                <w:tcPr>
                  <w:tcW w:w="2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jc w:val="center"/>
                    <w:rPr>
                      <w:rFonts w:ascii="Times New Roman" w:hAnsi="Times New Roman"/>
                      <w:i/>
                      <w:sz w:val="24"/>
                      <w:szCs w:val="24"/>
                    </w:rPr>
                  </w:pPr>
                  <w:r w:rsidRPr="00D31BA1" w:rsidR="006E5496">
                    <w:rPr>
                      <w:rFonts w:ascii="Times New Roman" w:hAnsi="Times New Roman"/>
                      <w:i/>
                      <w:sz w:val="24"/>
                      <w:szCs w:val="24"/>
                    </w:rPr>
                    <w:t>Náklady na 1 podnikateľa</w:t>
                  </w:r>
                </w:p>
              </w:tc>
              <w:tc>
                <w:tcPr>
                  <w:tcW w:w="2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jc w:val="center"/>
                    <w:rPr>
                      <w:rFonts w:ascii="Times New Roman" w:hAnsi="Times New Roman"/>
                      <w:i/>
                      <w:sz w:val="24"/>
                      <w:szCs w:val="24"/>
                    </w:rPr>
                  </w:pPr>
                  <w:r w:rsidRPr="00D31BA1" w:rsidR="006E5496">
                    <w:rPr>
                      <w:rFonts w:ascii="Times New Roman" w:hAnsi="Times New Roman"/>
                      <w:i/>
                      <w:sz w:val="24"/>
                      <w:szCs w:val="24"/>
                    </w:rPr>
                    <w:t>Náklady na celé podnikateľské prostredie</w:t>
                  </w:r>
                </w:p>
              </w:tc>
            </w:tr>
            <w:tr>
              <w:tblPrEx>
                <w:tblW w:w="8981" w:type="dxa"/>
                <w:tblLayout w:type="fixed"/>
                <w:tblCellMar>
                  <w:left w:w="10" w:type="dxa"/>
                  <w:right w:w="10" w:type="dxa"/>
                </w:tblCellMar>
              </w:tblPrEx>
              <w:tc>
                <w:tcPr>
                  <w:tcW w:w="2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i/>
                      <w:sz w:val="24"/>
                      <w:szCs w:val="24"/>
                    </w:rPr>
                  </w:pPr>
                  <w:r w:rsidRPr="00D31BA1" w:rsidR="006E5496">
                    <w:rPr>
                      <w:rFonts w:ascii="Times New Roman" w:hAnsi="Times New Roman"/>
                      <w:i/>
                      <w:sz w:val="24"/>
                      <w:szCs w:val="24"/>
                    </w:rPr>
                    <w:t>Priame finančné náklady</w:t>
                  </w:r>
                </w:p>
              </w:tc>
              <w:tc>
                <w:tcPr>
                  <w:tcW w:w="2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jc w:val="center"/>
                    <w:rPr>
                      <w:rFonts w:ascii="Times New Roman" w:hAnsi="Times New Roman"/>
                      <w:i/>
                      <w:sz w:val="24"/>
                      <w:szCs w:val="24"/>
                    </w:rPr>
                  </w:pPr>
                  <w:r w:rsidRPr="00D31BA1" w:rsidR="006E5496">
                    <w:rPr>
                      <w:rFonts w:ascii="Times New Roman" w:hAnsi="Times New Roman"/>
                      <w:i/>
                      <w:sz w:val="24"/>
                      <w:szCs w:val="24"/>
                    </w:rPr>
                    <w:t>0</w:t>
                  </w:r>
                </w:p>
              </w:tc>
              <w:tc>
                <w:tcPr>
                  <w:tcW w:w="2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jc w:val="center"/>
                    <w:rPr>
                      <w:rFonts w:ascii="Times New Roman" w:hAnsi="Times New Roman"/>
                      <w:i/>
                      <w:sz w:val="24"/>
                      <w:szCs w:val="24"/>
                    </w:rPr>
                  </w:pPr>
                  <w:r w:rsidRPr="00D31BA1" w:rsidR="006E5496">
                    <w:rPr>
                      <w:rFonts w:ascii="Times New Roman" w:hAnsi="Times New Roman"/>
                      <w:i/>
                      <w:sz w:val="24"/>
                      <w:szCs w:val="24"/>
                    </w:rPr>
                    <w:t>0</w:t>
                  </w:r>
                </w:p>
              </w:tc>
            </w:tr>
            <w:tr>
              <w:tblPrEx>
                <w:tblW w:w="8981" w:type="dxa"/>
                <w:tblLayout w:type="fixed"/>
                <w:tblCellMar>
                  <w:left w:w="10" w:type="dxa"/>
                  <w:right w:w="10" w:type="dxa"/>
                </w:tblCellMar>
              </w:tblPrEx>
              <w:tc>
                <w:tcPr>
                  <w:tcW w:w="2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i/>
                      <w:sz w:val="24"/>
                      <w:szCs w:val="24"/>
                    </w:rPr>
                  </w:pPr>
                  <w:r w:rsidRPr="00D31BA1" w:rsidR="006E5496">
                    <w:rPr>
                      <w:rFonts w:ascii="Times New Roman" w:hAnsi="Times New Roman"/>
                      <w:i/>
                      <w:sz w:val="24"/>
                      <w:szCs w:val="24"/>
                    </w:rPr>
                    <w:t>Nepriame finančné náklady</w:t>
                  </w:r>
                </w:p>
              </w:tc>
              <w:tc>
                <w:tcPr>
                  <w:tcW w:w="2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jc w:val="center"/>
                    <w:rPr>
                      <w:rFonts w:ascii="Times New Roman" w:hAnsi="Times New Roman"/>
                      <w:i/>
                      <w:sz w:val="24"/>
                      <w:szCs w:val="24"/>
                    </w:rPr>
                  </w:pPr>
                  <w:r w:rsidRPr="00D31BA1" w:rsidR="006E5496">
                    <w:rPr>
                      <w:rFonts w:ascii="Times New Roman" w:hAnsi="Times New Roman"/>
                      <w:i/>
                      <w:sz w:val="24"/>
                      <w:szCs w:val="24"/>
                    </w:rPr>
                    <w:t>0</w:t>
                  </w:r>
                </w:p>
              </w:tc>
              <w:tc>
                <w:tcPr>
                  <w:tcW w:w="2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jc w:val="center"/>
                    <w:rPr>
                      <w:rFonts w:ascii="Times New Roman" w:hAnsi="Times New Roman"/>
                      <w:i/>
                      <w:sz w:val="24"/>
                      <w:szCs w:val="24"/>
                    </w:rPr>
                  </w:pPr>
                  <w:r w:rsidRPr="00D31BA1" w:rsidR="006E5496">
                    <w:rPr>
                      <w:rFonts w:ascii="Times New Roman" w:hAnsi="Times New Roman"/>
                      <w:i/>
                      <w:sz w:val="24"/>
                      <w:szCs w:val="24"/>
                    </w:rPr>
                    <w:t>0</w:t>
                  </w:r>
                </w:p>
              </w:tc>
            </w:tr>
            <w:tr>
              <w:tblPrEx>
                <w:tblW w:w="8981" w:type="dxa"/>
                <w:tblLayout w:type="fixed"/>
                <w:tblCellMar>
                  <w:left w:w="10" w:type="dxa"/>
                  <w:right w:w="10" w:type="dxa"/>
                </w:tblCellMar>
              </w:tblPrEx>
              <w:tc>
                <w:tcPr>
                  <w:tcW w:w="2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i/>
                      <w:sz w:val="24"/>
                      <w:szCs w:val="24"/>
                    </w:rPr>
                  </w:pPr>
                  <w:r w:rsidRPr="00D31BA1" w:rsidR="006E5496">
                    <w:rPr>
                      <w:rFonts w:ascii="Times New Roman" w:hAnsi="Times New Roman"/>
                      <w:i/>
                      <w:sz w:val="24"/>
                      <w:szCs w:val="24"/>
                    </w:rPr>
                    <w:t>Administratívne náklady</w:t>
                  </w:r>
                </w:p>
              </w:tc>
              <w:tc>
                <w:tcPr>
                  <w:tcW w:w="2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jc w:val="center"/>
                    <w:rPr>
                      <w:rFonts w:ascii="Times New Roman" w:hAnsi="Times New Roman"/>
                      <w:i/>
                      <w:sz w:val="24"/>
                      <w:szCs w:val="24"/>
                    </w:rPr>
                  </w:pPr>
                  <w:r w:rsidRPr="00D31BA1" w:rsidR="006E5496">
                    <w:rPr>
                      <w:rFonts w:ascii="Times New Roman" w:hAnsi="Times New Roman"/>
                      <w:i/>
                      <w:sz w:val="24"/>
                      <w:szCs w:val="24"/>
                    </w:rPr>
                    <w:t>0</w:t>
                  </w:r>
                </w:p>
              </w:tc>
              <w:tc>
                <w:tcPr>
                  <w:tcW w:w="2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jc w:val="center"/>
                    <w:rPr>
                      <w:rFonts w:ascii="Times New Roman" w:hAnsi="Times New Roman"/>
                      <w:i/>
                      <w:sz w:val="24"/>
                      <w:szCs w:val="24"/>
                    </w:rPr>
                  </w:pPr>
                  <w:r w:rsidRPr="00D31BA1" w:rsidR="006E5496">
                    <w:rPr>
                      <w:rFonts w:ascii="Times New Roman" w:hAnsi="Times New Roman"/>
                      <w:i/>
                      <w:sz w:val="24"/>
                      <w:szCs w:val="24"/>
                    </w:rPr>
                    <w:t>0</w:t>
                  </w:r>
                </w:p>
              </w:tc>
            </w:tr>
            <w:tr>
              <w:tblPrEx>
                <w:tblW w:w="8981" w:type="dxa"/>
                <w:tblLayout w:type="fixed"/>
                <w:tblCellMar>
                  <w:left w:w="10" w:type="dxa"/>
                  <w:right w:w="10" w:type="dxa"/>
                </w:tblCellMar>
              </w:tblPrEx>
              <w:tc>
                <w:tcPr>
                  <w:tcW w:w="2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b/>
                      <w:i/>
                      <w:sz w:val="24"/>
                      <w:szCs w:val="24"/>
                    </w:rPr>
                  </w:pPr>
                  <w:r w:rsidRPr="00D31BA1" w:rsidR="006E5496">
                    <w:rPr>
                      <w:rFonts w:ascii="Times New Roman" w:hAnsi="Times New Roman"/>
                      <w:b/>
                      <w:i/>
                      <w:sz w:val="24"/>
                      <w:szCs w:val="24"/>
                    </w:rPr>
                    <w:t>Celkové náklady regulácie</w:t>
                  </w:r>
                </w:p>
              </w:tc>
              <w:tc>
                <w:tcPr>
                  <w:tcW w:w="2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jc w:val="center"/>
                    <w:rPr>
                      <w:rFonts w:ascii="Times New Roman" w:hAnsi="Times New Roman"/>
                      <w:b/>
                      <w:i/>
                      <w:sz w:val="24"/>
                      <w:szCs w:val="24"/>
                    </w:rPr>
                  </w:pPr>
                  <w:r w:rsidRPr="00D31BA1" w:rsidR="0046140A">
                    <w:rPr>
                      <w:rFonts w:ascii="Times New Roman" w:hAnsi="Times New Roman"/>
                      <w:b/>
                      <w:i/>
                      <w:sz w:val="24"/>
                      <w:szCs w:val="24"/>
                    </w:rPr>
                    <w:t>V závislosti na rôznych podmienkach spracúvania osobných údajov jednotlivým podnikateľským subjektom nie je možné vyčísliť.</w:t>
                  </w:r>
                </w:p>
              </w:tc>
              <w:tc>
                <w:tcPr>
                  <w:tcW w:w="2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jc w:val="center"/>
                    <w:rPr>
                      <w:rFonts w:ascii="Times New Roman" w:hAnsi="Times New Roman"/>
                      <w:b/>
                      <w:i/>
                      <w:sz w:val="24"/>
                      <w:szCs w:val="24"/>
                    </w:rPr>
                  </w:pPr>
                  <w:r w:rsidRPr="00D31BA1" w:rsidR="0046140A">
                    <w:rPr>
                      <w:rFonts w:ascii="Times New Roman" w:hAnsi="Times New Roman"/>
                      <w:b/>
                      <w:i/>
                      <w:sz w:val="24"/>
                      <w:szCs w:val="24"/>
                    </w:rPr>
                    <w:t>Predbežné vyčíslenie sa pohybuje na hodnote necelých 48 mil. eur</w:t>
                  </w:r>
                  <w:r w:rsidRPr="00D31BA1" w:rsidR="00FB20D0">
                    <w:rPr>
                      <w:rFonts w:ascii="Times New Roman" w:hAnsi="Times New Roman"/>
                      <w:b/>
                      <w:i/>
                      <w:sz w:val="24"/>
                      <w:szCs w:val="24"/>
                    </w:rPr>
                    <w:t xml:space="preserve"> pri dostupných údajoch o potenciálnych dotknutých subjektoch</w:t>
                  </w:r>
                  <w:r w:rsidRPr="00D31BA1" w:rsidR="0046140A">
                    <w:rPr>
                      <w:rFonts w:ascii="Times New Roman" w:hAnsi="Times New Roman"/>
                      <w:b/>
                      <w:i/>
                      <w:sz w:val="24"/>
                      <w:szCs w:val="24"/>
                    </w:rPr>
                    <w:t>.</w:t>
                  </w:r>
                </w:p>
              </w:tc>
            </w:tr>
          </w:tbl>
          <w:p w:rsidR="004465DC" w:rsidRPr="00D31BA1" w:rsidP="00287039">
            <w:pPr>
              <w:pStyle w:val="Standard"/>
              <w:bidi w:val="0"/>
              <w:rPr>
                <w:rFonts w:ascii="Times New Roman" w:hAnsi="Times New Roman"/>
                <w:i/>
                <w:sz w:val="24"/>
                <w:szCs w:val="24"/>
              </w:rPr>
            </w:pPr>
          </w:p>
        </w:tc>
      </w:tr>
      <w:tr>
        <w:tblPrEx>
          <w:tblW w:w="9212" w:type="dxa"/>
          <w:tblInd w:w="-108" w:type="dxa"/>
          <w:tblLayout w:type="fixed"/>
          <w:tblCellMar>
            <w:left w:w="10" w:type="dxa"/>
            <w:right w:w="10" w:type="dxa"/>
          </w:tblCellMar>
        </w:tblPrEx>
        <w:tc>
          <w:tcPr>
            <w:tcW w:w="921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b/>
                <w:sz w:val="24"/>
                <w:szCs w:val="24"/>
              </w:rPr>
            </w:pPr>
            <w:r w:rsidRPr="00D31BA1" w:rsidR="006E5496">
              <w:rPr>
                <w:rFonts w:ascii="Times New Roman" w:hAnsi="Times New Roman"/>
                <w:b/>
                <w:sz w:val="24"/>
                <w:szCs w:val="24"/>
              </w:rPr>
              <w:t>3.4 Konkurencieschopnosť a správanie sa podnikov na trhu</w:t>
            </w:r>
          </w:p>
          <w:p w:rsidR="002010D1" w:rsidRPr="00D31BA1" w:rsidP="00287039">
            <w:pPr>
              <w:pStyle w:val="Standard"/>
              <w:bidi w:val="0"/>
              <w:rPr>
                <w:rFonts w:ascii="Times New Roman" w:hAnsi="Times New Roman"/>
                <w:sz w:val="24"/>
                <w:szCs w:val="24"/>
              </w:rPr>
            </w:pPr>
            <w:r w:rsidRPr="00D31BA1" w:rsidR="006E5496">
              <w:rPr>
                <w:rFonts w:ascii="Times New Roman" w:hAnsi="Times New Roman"/>
                <w:b/>
                <w:sz w:val="24"/>
                <w:szCs w:val="24"/>
              </w:rPr>
              <w:t xml:space="preserve">       </w:t>
            </w:r>
            <w:r w:rsidRPr="00D31BA1" w:rsidR="006E5496">
              <w:rPr>
                <w:rFonts w:ascii="Times New Roman" w:hAnsi="Times New Roman"/>
                <w:sz w:val="24"/>
                <w:szCs w:val="24"/>
              </w:rPr>
              <w:t xml:space="preserve">- </w:t>
            </w:r>
            <w:r w:rsidRPr="00D31BA1" w:rsidR="006E5496">
              <w:rPr>
                <w:rFonts w:ascii="Times New Roman" w:hAnsi="Times New Roman"/>
                <w:b/>
                <w:sz w:val="24"/>
                <w:szCs w:val="24"/>
              </w:rPr>
              <w:t>z toho MSP</w:t>
            </w:r>
          </w:p>
        </w:tc>
      </w:tr>
      <w:tr>
        <w:tblPrEx>
          <w:tblW w:w="9212" w:type="dxa"/>
          <w:tblInd w:w="-108" w:type="dxa"/>
          <w:tblLayout w:type="fixed"/>
          <w:tblCellMar>
            <w:left w:w="10" w:type="dxa"/>
            <w:right w:w="10" w:type="dxa"/>
          </w:tblCellMar>
        </w:tblPrEx>
        <w:tc>
          <w:tcPr>
            <w:tcW w:w="9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jc w:val="both"/>
              <w:rPr>
                <w:rFonts w:ascii="Times New Roman" w:hAnsi="Times New Roman"/>
                <w:i/>
                <w:sz w:val="24"/>
                <w:szCs w:val="24"/>
              </w:rPr>
            </w:pPr>
            <w:r w:rsidRPr="00D31BA1" w:rsidR="006E5496">
              <w:rPr>
                <w:rFonts w:ascii="Times New Roman" w:hAnsi="Times New Roman"/>
                <w:i/>
                <w:sz w:val="24"/>
                <w:szCs w:val="24"/>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2010D1" w:rsidRPr="00D31BA1" w:rsidP="00287039">
            <w:pPr>
              <w:pStyle w:val="Standard"/>
              <w:bidi w:val="0"/>
              <w:jc w:val="both"/>
              <w:rPr>
                <w:rFonts w:ascii="Times New Roman" w:hAnsi="Times New Roman"/>
                <w:i/>
                <w:sz w:val="24"/>
                <w:szCs w:val="24"/>
              </w:rPr>
            </w:pPr>
            <w:r w:rsidRPr="00D31BA1" w:rsidR="006E5496">
              <w:rPr>
                <w:rFonts w:ascii="Times New Roman" w:hAnsi="Times New Roman"/>
                <w:i/>
                <w:sz w:val="24"/>
                <w:szCs w:val="24"/>
              </w:rPr>
              <w:t>Aký vplyv bude mať navrhovaná zmena na obchodné bariéry? Bude mať vplyv na vyvolanie cezhraničných investícií (príliv /odliv zahraničných investícií resp. uplatnenie slovenských podnikov na zahraničných trhoch)? Ak áno, popíšte.</w:t>
            </w:r>
          </w:p>
          <w:p w:rsidR="002010D1" w:rsidRPr="00D31BA1" w:rsidP="00287039">
            <w:pPr>
              <w:pStyle w:val="Standard"/>
              <w:bidi w:val="0"/>
              <w:jc w:val="both"/>
              <w:rPr>
                <w:rFonts w:ascii="Times New Roman" w:hAnsi="Times New Roman"/>
                <w:i/>
                <w:sz w:val="24"/>
                <w:szCs w:val="24"/>
              </w:rPr>
            </w:pPr>
            <w:r w:rsidRPr="00D31BA1" w:rsidR="006E5496">
              <w:rPr>
                <w:rFonts w:ascii="Times New Roman" w:hAnsi="Times New Roman"/>
                <w:i/>
                <w:sz w:val="24"/>
                <w:szCs w:val="24"/>
              </w:rPr>
              <w:t>Ako ovplyvní cenu alebo dostupnosť základných zdrojov (suroviny, mechanizmy, pracovná sila, energie atď.)?</w:t>
            </w:r>
          </w:p>
          <w:p w:rsidR="002010D1" w:rsidRPr="00D31BA1" w:rsidP="00287039">
            <w:pPr>
              <w:pStyle w:val="Standard"/>
              <w:bidi w:val="0"/>
              <w:jc w:val="both"/>
              <w:rPr>
                <w:rFonts w:ascii="Times New Roman" w:hAnsi="Times New Roman"/>
                <w:i/>
                <w:sz w:val="24"/>
                <w:szCs w:val="24"/>
              </w:rPr>
            </w:pPr>
            <w:r w:rsidRPr="00D31BA1" w:rsidR="006E5496">
              <w:rPr>
                <w:rFonts w:ascii="Times New Roman" w:hAnsi="Times New Roman"/>
                <w:i/>
                <w:sz w:val="24"/>
                <w:szCs w:val="24"/>
              </w:rPr>
              <w:t>Ovplyvňuje prístup k financiám? Ak áno, ako?</w:t>
            </w:r>
          </w:p>
        </w:tc>
      </w:tr>
      <w:tr>
        <w:tblPrEx>
          <w:tblW w:w="9212" w:type="dxa"/>
          <w:tblInd w:w="-108" w:type="dxa"/>
          <w:tblLayout w:type="fixed"/>
          <w:tblCellMar>
            <w:left w:w="10" w:type="dxa"/>
            <w:right w:w="10" w:type="dxa"/>
          </w:tblCellMar>
        </w:tblPrEx>
        <w:trPr>
          <w:trHeight w:val="1282"/>
        </w:trPr>
        <w:tc>
          <w:tcPr>
            <w:tcW w:w="9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46140A" w:rsidRPr="00D31BA1" w:rsidP="00287039">
            <w:pPr>
              <w:pStyle w:val="Standard"/>
              <w:bidi w:val="0"/>
              <w:jc w:val="both"/>
              <w:rPr>
                <w:rFonts w:ascii="Times New Roman" w:hAnsi="Times New Roman"/>
                <w:sz w:val="24"/>
                <w:szCs w:val="24"/>
              </w:rPr>
            </w:pPr>
            <w:r w:rsidRPr="00D31BA1" w:rsidR="006E5496">
              <w:rPr>
                <w:rFonts w:ascii="Times New Roman" w:hAnsi="Times New Roman"/>
                <w:sz w:val="24"/>
                <w:szCs w:val="24"/>
              </w:rPr>
              <w:t xml:space="preserve">Navrhovaná právna úprava zjednocuje právnu úpravu ochrany osobných údajov </w:t>
            </w:r>
            <w:r w:rsidRPr="00D31BA1">
              <w:rPr>
                <w:rFonts w:ascii="Times New Roman" w:hAnsi="Times New Roman"/>
                <w:sz w:val="24"/>
                <w:szCs w:val="24"/>
              </w:rPr>
              <w:t xml:space="preserve">v rámci Slovenskej republiky s právnou úpravou </w:t>
            </w:r>
            <w:r w:rsidRPr="00D31BA1" w:rsidR="006E5496">
              <w:rPr>
                <w:rFonts w:ascii="Times New Roman" w:hAnsi="Times New Roman"/>
                <w:sz w:val="24"/>
                <w:szCs w:val="24"/>
              </w:rPr>
              <w:t>vo všetkých členských štátoch Európskej únie zjednotením pravidiel, terminológie, p</w:t>
            </w:r>
            <w:r w:rsidRPr="00D31BA1">
              <w:rPr>
                <w:rFonts w:ascii="Times New Roman" w:hAnsi="Times New Roman"/>
                <w:sz w:val="24"/>
                <w:szCs w:val="24"/>
              </w:rPr>
              <w:t>odmienok spracúvania,</w:t>
            </w:r>
            <w:r w:rsidRPr="00D31BA1" w:rsidR="006E5496">
              <w:rPr>
                <w:rFonts w:ascii="Times New Roman" w:hAnsi="Times New Roman"/>
                <w:sz w:val="24"/>
                <w:szCs w:val="24"/>
              </w:rPr>
              <w:t xml:space="preserve">  čím odstraňuje legálne</w:t>
            </w:r>
            <w:r w:rsidRPr="00D31BA1">
              <w:rPr>
                <w:rFonts w:ascii="Times New Roman" w:hAnsi="Times New Roman"/>
                <w:sz w:val="24"/>
                <w:szCs w:val="24"/>
              </w:rPr>
              <w:t xml:space="preserve"> bariéry, zvyšuje právnu istotu</w:t>
            </w:r>
            <w:r w:rsidRPr="00D31BA1" w:rsidR="006E5496">
              <w:rPr>
                <w:rFonts w:ascii="Times New Roman" w:hAnsi="Times New Roman"/>
                <w:sz w:val="24"/>
                <w:szCs w:val="24"/>
              </w:rPr>
              <w:t xml:space="preserve"> podnikateľských subjektov  a zlepšuje ich konkurencieschopnosť. </w:t>
            </w:r>
          </w:p>
          <w:p w:rsidR="00963E69" w:rsidRPr="00D31BA1" w:rsidP="00287039">
            <w:pPr>
              <w:pStyle w:val="Standard"/>
              <w:bidi w:val="0"/>
              <w:jc w:val="both"/>
              <w:rPr>
                <w:rFonts w:ascii="Times New Roman" w:hAnsi="Times New Roman"/>
                <w:sz w:val="24"/>
                <w:szCs w:val="24"/>
              </w:rPr>
            </w:pPr>
            <w:r w:rsidRPr="00D31BA1" w:rsidR="006E5496">
              <w:rPr>
                <w:rFonts w:ascii="Times New Roman" w:hAnsi="Times New Roman"/>
                <w:sz w:val="24"/>
                <w:szCs w:val="24"/>
              </w:rPr>
              <w:t xml:space="preserve">Umožňuje </w:t>
            </w:r>
            <w:r w:rsidRPr="00D31BA1" w:rsidR="0046140A">
              <w:rPr>
                <w:rFonts w:ascii="Times New Roman" w:hAnsi="Times New Roman"/>
                <w:sz w:val="24"/>
                <w:szCs w:val="24"/>
              </w:rPr>
              <w:t xml:space="preserve">im tiež </w:t>
            </w:r>
            <w:r w:rsidRPr="00D31BA1" w:rsidR="006E5496">
              <w:rPr>
                <w:rFonts w:ascii="Times New Roman" w:hAnsi="Times New Roman"/>
                <w:sz w:val="24"/>
                <w:szCs w:val="24"/>
              </w:rPr>
              <w:t>využiť</w:t>
            </w:r>
            <w:r w:rsidRPr="00D31BA1">
              <w:rPr>
                <w:rFonts w:ascii="Times New Roman" w:hAnsi="Times New Roman"/>
                <w:sz w:val="24"/>
                <w:szCs w:val="24"/>
              </w:rPr>
              <w:t xml:space="preserve"> na báze dobrovoľnosti založené</w:t>
            </w:r>
            <w:r w:rsidRPr="00D31BA1" w:rsidR="006E5496">
              <w:rPr>
                <w:rFonts w:ascii="Times New Roman" w:hAnsi="Times New Roman"/>
                <w:sz w:val="24"/>
                <w:szCs w:val="24"/>
              </w:rPr>
              <w:t xml:space="preserve"> nové nástroje na zaistenie súladu spracúvania </w:t>
            </w:r>
            <w:r w:rsidRPr="00D31BA1" w:rsidR="0046140A">
              <w:rPr>
                <w:rFonts w:ascii="Times New Roman" w:hAnsi="Times New Roman"/>
                <w:sz w:val="24"/>
                <w:szCs w:val="24"/>
              </w:rPr>
              <w:t xml:space="preserve">osobných údajov </w:t>
            </w:r>
            <w:r w:rsidRPr="00D31BA1" w:rsidR="006E5496">
              <w:rPr>
                <w:rFonts w:ascii="Times New Roman" w:hAnsi="Times New Roman"/>
                <w:sz w:val="24"/>
                <w:szCs w:val="24"/>
              </w:rPr>
              <w:t>s pravidlami ochrany osobných údajov (certifikácia, kódexy správania), ako aj na preukázanie zabezpečenia primeraných záruk spracúvania pri prenosoch do tretích krajín</w:t>
            </w:r>
            <w:r w:rsidRPr="00D31BA1" w:rsidR="002B5BC3">
              <w:rPr>
                <w:rFonts w:ascii="Times New Roman" w:hAnsi="Times New Roman"/>
                <w:sz w:val="24"/>
                <w:szCs w:val="24"/>
              </w:rPr>
              <w:t xml:space="preserve"> všetko s cieľom posilniť postavenie dotknutej osoby pri ochrane súkromia v oblasti spracúvania jej osobných údajov</w:t>
            </w:r>
            <w:r w:rsidRPr="00D31BA1" w:rsidR="006E5496">
              <w:rPr>
                <w:rFonts w:ascii="Times New Roman" w:hAnsi="Times New Roman"/>
                <w:sz w:val="24"/>
                <w:szCs w:val="24"/>
              </w:rPr>
              <w:t>.</w:t>
            </w:r>
            <w:r w:rsidRPr="00D31BA1" w:rsidR="0046140A">
              <w:rPr>
                <w:rFonts w:ascii="Times New Roman" w:hAnsi="Times New Roman"/>
                <w:sz w:val="24"/>
                <w:szCs w:val="24"/>
              </w:rPr>
              <w:t xml:space="preserve"> </w:t>
            </w:r>
          </w:p>
          <w:p w:rsidR="002010D1" w:rsidRPr="00D31BA1" w:rsidP="00287039">
            <w:pPr>
              <w:pStyle w:val="Standard"/>
              <w:bidi w:val="0"/>
              <w:jc w:val="both"/>
              <w:rPr>
                <w:rFonts w:ascii="Times New Roman" w:hAnsi="Times New Roman"/>
                <w:sz w:val="24"/>
                <w:szCs w:val="24"/>
              </w:rPr>
            </w:pPr>
            <w:r w:rsidRPr="00D31BA1" w:rsidR="0046140A">
              <w:rPr>
                <w:rFonts w:ascii="Times New Roman" w:hAnsi="Times New Roman"/>
                <w:sz w:val="24"/>
                <w:szCs w:val="24"/>
              </w:rPr>
              <w:t>Predpokladáme, že obchodné bariéry budú do značnej miery odstránené, nakoľko navrhov</w:t>
            </w:r>
            <w:r w:rsidRPr="00D31BA1" w:rsidR="00287039">
              <w:rPr>
                <w:rFonts w:ascii="Times New Roman" w:hAnsi="Times New Roman"/>
                <w:sz w:val="24"/>
                <w:szCs w:val="24"/>
              </w:rPr>
              <w:t>aná právna úprava je súladná s n</w:t>
            </w:r>
            <w:r w:rsidRPr="00D31BA1" w:rsidR="0046140A">
              <w:rPr>
                <w:rFonts w:ascii="Times New Roman" w:hAnsi="Times New Roman"/>
                <w:sz w:val="24"/>
                <w:szCs w:val="24"/>
              </w:rPr>
              <w:t>ariadením, teda nevytvára zbytočné bariéry ani pre tých prevádzkovateľov, ktorí v rámci nimi vykonávaných činností nespadajú úplne alebo as</w:t>
            </w:r>
            <w:r w:rsidRPr="00D31BA1" w:rsidR="00BE74D9">
              <w:rPr>
                <w:rFonts w:ascii="Times New Roman" w:hAnsi="Times New Roman"/>
                <w:sz w:val="24"/>
                <w:szCs w:val="24"/>
              </w:rPr>
              <w:t>poň čiastočne pod právny rámec n</w:t>
            </w:r>
            <w:r w:rsidRPr="00D31BA1" w:rsidR="0046140A">
              <w:rPr>
                <w:rFonts w:ascii="Times New Roman" w:hAnsi="Times New Roman"/>
                <w:sz w:val="24"/>
                <w:szCs w:val="24"/>
              </w:rPr>
              <w:t>ariadenia (činnosti, na ktoré sa uplatňuje právny poriadok Európskej únie).</w:t>
            </w:r>
            <w:r w:rsidRPr="00D31BA1" w:rsidR="00963E69">
              <w:rPr>
                <w:rFonts w:ascii="Times New Roman" w:hAnsi="Times New Roman"/>
                <w:sz w:val="24"/>
                <w:szCs w:val="24"/>
              </w:rPr>
              <w:t xml:space="preserve"> Domnievame sa, že navrhovaná právna úprava práve vďaka svoj</w:t>
            </w:r>
            <w:r w:rsidRPr="00D31BA1" w:rsidR="00BE74D9">
              <w:rPr>
                <w:rFonts w:ascii="Times New Roman" w:hAnsi="Times New Roman"/>
                <w:sz w:val="24"/>
                <w:szCs w:val="24"/>
              </w:rPr>
              <w:t>ej homogénnosti a súladnosti s n</w:t>
            </w:r>
            <w:r w:rsidRPr="00D31BA1" w:rsidR="00963E69">
              <w:rPr>
                <w:rFonts w:ascii="Times New Roman" w:hAnsi="Times New Roman"/>
                <w:sz w:val="24"/>
                <w:szCs w:val="24"/>
              </w:rPr>
              <w:t>ariadením poskytne podnikateľským subjektom výbornú štartovaciu pozíciu</w:t>
            </w:r>
            <w:r w:rsidRPr="00D31BA1" w:rsidR="00AF207C">
              <w:rPr>
                <w:rFonts w:ascii="Times New Roman" w:hAnsi="Times New Roman"/>
                <w:sz w:val="24"/>
                <w:szCs w:val="24"/>
              </w:rPr>
              <w:t xml:space="preserve"> a konkurenčnú výhodu</w:t>
            </w:r>
            <w:r w:rsidRPr="00D31BA1" w:rsidR="00963E69">
              <w:rPr>
                <w:rFonts w:ascii="Times New Roman" w:hAnsi="Times New Roman"/>
                <w:sz w:val="24"/>
                <w:szCs w:val="24"/>
              </w:rPr>
              <w:t>, a to tak v rámci podnikania, ako aj  v minimalizácii dodatočných problémov súvisiacich s odstraňovaním právnych bariér v prípade, ak svoje podnikanie vykonávajú alebo plánujú vykonávať aj mimo Slovenskej republiky v rámci Európskej únie.</w:t>
            </w:r>
          </w:p>
        </w:tc>
      </w:tr>
      <w:tr>
        <w:tblPrEx>
          <w:tblW w:w="9212" w:type="dxa"/>
          <w:tblInd w:w="-108" w:type="dxa"/>
          <w:tblLayout w:type="fixed"/>
          <w:tblCellMar>
            <w:left w:w="10" w:type="dxa"/>
            <w:right w:w="10" w:type="dxa"/>
          </w:tblCellMar>
        </w:tblPrEx>
        <w:tc>
          <w:tcPr>
            <w:tcW w:w="921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b/>
                <w:sz w:val="24"/>
                <w:szCs w:val="24"/>
              </w:rPr>
            </w:pPr>
            <w:r w:rsidRPr="00D31BA1" w:rsidR="006E5496">
              <w:rPr>
                <w:rFonts w:ascii="Times New Roman" w:hAnsi="Times New Roman"/>
                <w:b/>
                <w:sz w:val="24"/>
                <w:szCs w:val="24"/>
              </w:rPr>
              <w:t>3.5 Inovácie</w:t>
            </w:r>
          </w:p>
          <w:p w:rsidR="002010D1" w:rsidRPr="00D31BA1" w:rsidP="00287039">
            <w:pPr>
              <w:pStyle w:val="Standard"/>
              <w:bidi w:val="0"/>
              <w:rPr>
                <w:rFonts w:ascii="Times New Roman" w:hAnsi="Times New Roman"/>
                <w:sz w:val="24"/>
                <w:szCs w:val="24"/>
              </w:rPr>
            </w:pPr>
            <w:r w:rsidRPr="00D31BA1" w:rsidR="006E5496">
              <w:rPr>
                <w:rFonts w:ascii="Times New Roman" w:hAnsi="Times New Roman"/>
                <w:sz w:val="24"/>
                <w:szCs w:val="24"/>
              </w:rPr>
              <w:t xml:space="preserve">       - </w:t>
            </w:r>
            <w:r w:rsidRPr="00D31BA1" w:rsidR="006E5496">
              <w:rPr>
                <w:rFonts w:ascii="Times New Roman" w:hAnsi="Times New Roman"/>
                <w:b/>
                <w:sz w:val="24"/>
                <w:szCs w:val="24"/>
              </w:rPr>
              <w:t>z toho MSP</w:t>
            </w:r>
          </w:p>
        </w:tc>
      </w:tr>
      <w:tr>
        <w:tblPrEx>
          <w:tblW w:w="9212" w:type="dxa"/>
          <w:tblInd w:w="-108" w:type="dxa"/>
          <w:tblLayout w:type="fixed"/>
          <w:tblCellMar>
            <w:left w:w="10" w:type="dxa"/>
            <w:right w:w="10" w:type="dxa"/>
          </w:tblCellMar>
        </w:tblPrEx>
        <w:tc>
          <w:tcPr>
            <w:tcW w:w="9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2010D1" w:rsidRPr="00D31BA1" w:rsidP="00287039">
            <w:pPr>
              <w:pStyle w:val="Standard"/>
              <w:bidi w:val="0"/>
              <w:rPr>
                <w:rFonts w:ascii="Times New Roman" w:hAnsi="Times New Roman"/>
                <w:i/>
                <w:sz w:val="24"/>
                <w:szCs w:val="24"/>
              </w:rPr>
            </w:pPr>
            <w:r w:rsidRPr="00D31BA1" w:rsidR="006E5496">
              <w:rPr>
                <w:rFonts w:ascii="Times New Roman" w:hAnsi="Times New Roman"/>
                <w:i/>
                <w:sz w:val="24"/>
                <w:szCs w:val="24"/>
              </w:rPr>
              <w:t>Uveďte, ako podporuje navrhovaná zmena inovácie.</w:t>
            </w:r>
          </w:p>
          <w:p w:rsidR="002010D1" w:rsidRPr="00D31BA1" w:rsidP="00287039">
            <w:pPr>
              <w:pStyle w:val="Standard"/>
              <w:bidi w:val="0"/>
              <w:rPr>
                <w:rFonts w:ascii="Times New Roman" w:hAnsi="Times New Roman"/>
                <w:i/>
                <w:sz w:val="24"/>
                <w:szCs w:val="24"/>
              </w:rPr>
            </w:pPr>
            <w:r w:rsidRPr="00D31BA1" w:rsidR="006E5496">
              <w:rPr>
                <w:rFonts w:ascii="Times New Roman" w:hAnsi="Times New Roman"/>
                <w:i/>
                <w:sz w:val="24"/>
                <w:szCs w:val="24"/>
              </w:rPr>
              <w:t>Zjednodušuje uvedenie alebo rozšírenie nových výrobných metód, technológií a výrobkov na trh?</w:t>
            </w:r>
          </w:p>
          <w:p w:rsidR="002010D1" w:rsidRPr="00D31BA1" w:rsidP="00287039">
            <w:pPr>
              <w:pStyle w:val="Standard"/>
              <w:bidi w:val="0"/>
              <w:rPr>
                <w:rFonts w:ascii="Times New Roman" w:hAnsi="Times New Roman"/>
                <w:i/>
                <w:sz w:val="24"/>
                <w:szCs w:val="24"/>
              </w:rPr>
            </w:pPr>
            <w:r w:rsidRPr="00D31BA1" w:rsidR="006E5496">
              <w:rPr>
                <w:rFonts w:ascii="Times New Roman" w:hAnsi="Times New Roman"/>
                <w:i/>
                <w:sz w:val="24"/>
                <w:szCs w:val="24"/>
              </w:rPr>
              <w:t>Uveďte, ako vplýva navrhovaná zmena na jednotlivé práva duševného vlastníctva (napr. patenty, ochranné známky, autorské práva, vlastníctvo know-how).</w:t>
            </w:r>
          </w:p>
          <w:p w:rsidR="002010D1" w:rsidRPr="00D31BA1" w:rsidP="00287039">
            <w:pPr>
              <w:pStyle w:val="Standard"/>
              <w:bidi w:val="0"/>
              <w:rPr>
                <w:rFonts w:ascii="Times New Roman" w:hAnsi="Times New Roman"/>
                <w:i/>
                <w:sz w:val="24"/>
                <w:szCs w:val="24"/>
              </w:rPr>
            </w:pPr>
            <w:r w:rsidRPr="00D31BA1" w:rsidR="006E5496">
              <w:rPr>
                <w:rFonts w:ascii="Times New Roman" w:hAnsi="Times New Roman"/>
                <w:i/>
                <w:sz w:val="24"/>
                <w:szCs w:val="24"/>
              </w:rPr>
              <w:t>Podporuje vyššiu efektivitu výroby/využívania zdrojov? Ak áno, ako?</w:t>
            </w:r>
          </w:p>
          <w:p w:rsidR="002010D1" w:rsidRPr="00D31BA1" w:rsidP="00287039">
            <w:pPr>
              <w:pStyle w:val="Standard"/>
              <w:bidi w:val="0"/>
              <w:rPr>
                <w:rFonts w:ascii="Times New Roman" w:hAnsi="Times New Roman"/>
                <w:i/>
                <w:sz w:val="24"/>
                <w:szCs w:val="24"/>
              </w:rPr>
            </w:pPr>
            <w:r w:rsidRPr="00D31BA1" w:rsidR="006E5496">
              <w:rPr>
                <w:rFonts w:ascii="Times New Roman" w:hAnsi="Times New Roman"/>
                <w:i/>
                <w:sz w:val="24"/>
                <w:szCs w:val="24"/>
              </w:rPr>
              <w:t>Vytvorí zmena nové pracovné miesta pre zamestnancov výskumu a vývoja v SR?</w:t>
            </w:r>
          </w:p>
        </w:tc>
      </w:tr>
      <w:tr>
        <w:tblPrEx>
          <w:tblW w:w="9212" w:type="dxa"/>
          <w:tblInd w:w="-108" w:type="dxa"/>
          <w:tblLayout w:type="fixed"/>
          <w:tblCellMar>
            <w:left w:w="10" w:type="dxa"/>
            <w:right w:w="10" w:type="dxa"/>
          </w:tblCellMar>
        </w:tblPrEx>
        <w:trPr>
          <w:trHeight w:val="1747"/>
        </w:trPr>
        <w:tc>
          <w:tcPr>
            <w:tcW w:w="92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lrTb"/>
            <w:vAlign w:val="top"/>
          </w:tcPr>
          <w:p w:rsidR="00963E69" w:rsidRPr="00D31BA1" w:rsidP="00A91F98">
            <w:pPr>
              <w:pStyle w:val="Standard"/>
              <w:bidi w:val="0"/>
              <w:jc w:val="both"/>
              <w:rPr>
                <w:rFonts w:ascii="Times New Roman" w:hAnsi="Times New Roman"/>
                <w:sz w:val="24"/>
                <w:szCs w:val="24"/>
              </w:rPr>
            </w:pPr>
            <w:r w:rsidRPr="00D31BA1">
              <w:rPr>
                <w:rFonts w:ascii="Times New Roman" w:hAnsi="Times New Roman"/>
                <w:sz w:val="24"/>
                <w:szCs w:val="24"/>
              </w:rPr>
              <w:t>Navrhovaná právna úprava nekladie prekážky novým technológiám, naopak, tieto zohľadňuje, čo môže byť prínosom nielen v rámci klasického podnikania, ale aj v rámci podnikania tzv. startupov a iných malých podnikateľských entít, ktorých potenciál je založený práve na nových technológiách a netradičných riešeniach, kedy práve zapracovanie ochrany osobných údajov priamo do technológií a aplikácií výrobku môže byť i</w:t>
            </w:r>
            <w:r w:rsidRPr="00D31BA1" w:rsidR="00AF207C">
              <w:rPr>
                <w:rFonts w:ascii="Times New Roman" w:hAnsi="Times New Roman"/>
                <w:sz w:val="24"/>
                <w:szCs w:val="24"/>
              </w:rPr>
              <w:t>ch konkurenčnou výhodou na trhu</w:t>
            </w:r>
            <w:r w:rsidRPr="00D31BA1">
              <w:rPr>
                <w:rFonts w:ascii="Times New Roman" w:hAnsi="Times New Roman"/>
                <w:sz w:val="24"/>
                <w:szCs w:val="24"/>
              </w:rPr>
              <w:t xml:space="preserve">. </w:t>
            </w:r>
          </w:p>
          <w:p w:rsidR="002010D1" w:rsidRPr="00D31BA1" w:rsidP="00974839">
            <w:pPr>
              <w:bidi w:val="0"/>
              <w:spacing w:line="240" w:lineRule="auto"/>
              <w:jc w:val="both"/>
              <w:rPr>
                <w:rFonts w:ascii="Times New Roman" w:hAnsi="Times New Roman" w:cs="Times New Roman"/>
                <w:color w:val="17365D"/>
                <w:kern w:val="0"/>
                <w:sz w:val="24"/>
                <w:szCs w:val="24"/>
                <w:lang w:eastAsia="sk-SK"/>
              </w:rPr>
            </w:pPr>
            <w:r w:rsidRPr="00D31BA1" w:rsidR="00963E69">
              <w:rPr>
                <w:rFonts w:ascii="Times New Roman" w:hAnsi="Times New Roman" w:cs="Times New Roman" w:hint="default"/>
                <w:sz w:val="24"/>
                <w:szCs w:val="24"/>
              </w:rPr>
              <w:t>Domnievame sa, ž</w:t>
            </w:r>
            <w:r w:rsidRPr="00D31BA1" w:rsidR="00963E69">
              <w:rPr>
                <w:rFonts w:ascii="Times New Roman" w:hAnsi="Times New Roman" w:cs="Times New Roman" w:hint="default"/>
                <w:sz w:val="24"/>
                <w:szCs w:val="24"/>
              </w:rPr>
              <w:t>e taký</w:t>
            </w:r>
            <w:r w:rsidRPr="00D31BA1" w:rsidR="00963E69">
              <w:rPr>
                <w:rFonts w:ascii="Times New Roman" w:hAnsi="Times New Roman" w:cs="Times New Roman" w:hint="default"/>
                <w:sz w:val="24"/>
                <w:szCs w:val="24"/>
              </w:rPr>
              <w:t>mto prí</w:t>
            </w:r>
            <w:r w:rsidRPr="00D31BA1" w:rsidR="00963E69">
              <w:rPr>
                <w:rFonts w:ascii="Times New Roman" w:hAnsi="Times New Roman" w:cs="Times New Roman" w:hint="default"/>
                <w:sz w:val="24"/>
                <w:szCs w:val="24"/>
              </w:rPr>
              <w:t>stupom navrhovaná</w:t>
            </w:r>
            <w:r w:rsidRPr="00D31BA1" w:rsidR="00963E69">
              <w:rPr>
                <w:rFonts w:ascii="Times New Roman" w:hAnsi="Times New Roman" w:cs="Times New Roman" w:hint="default"/>
                <w:sz w:val="24"/>
                <w:szCs w:val="24"/>
              </w:rPr>
              <w:t xml:space="preserve"> prá</w:t>
            </w:r>
            <w:r w:rsidRPr="00D31BA1" w:rsidR="00963E69">
              <w:rPr>
                <w:rFonts w:ascii="Times New Roman" w:hAnsi="Times New Roman" w:cs="Times New Roman" w:hint="default"/>
                <w:sz w:val="24"/>
                <w:szCs w:val="24"/>
              </w:rPr>
              <w:t>vna ú</w:t>
            </w:r>
            <w:r w:rsidRPr="00D31BA1" w:rsidR="00963E69">
              <w:rPr>
                <w:rFonts w:ascii="Times New Roman" w:hAnsi="Times New Roman" w:cs="Times New Roman" w:hint="default"/>
                <w:sz w:val="24"/>
                <w:szCs w:val="24"/>
              </w:rPr>
              <w:t>prava je spô</w:t>
            </w:r>
            <w:r w:rsidRPr="00D31BA1" w:rsidR="00963E69">
              <w:rPr>
                <w:rFonts w:ascii="Times New Roman" w:hAnsi="Times New Roman" w:cs="Times New Roman" w:hint="default"/>
                <w:sz w:val="24"/>
                <w:szCs w:val="24"/>
              </w:rPr>
              <w:t>sobilá</w:t>
            </w:r>
            <w:r w:rsidRPr="00D31BA1" w:rsidR="00963E69">
              <w:rPr>
                <w:rFonts w:ascii="Times New Roman" w:hAnsi="Times New Roman" w:cs="Times New Roman" w:hint="default"/>
                <w:sz w:val="24"/>
                <w:szCs w:val="24"/>
              </w:rPr>
              <w:t xml:space="preserve"> podporovať</w:t>
            </w:r>
            <w:r w:rsidRPr="00D31BA1" w:rsidR="00963E69">
              <w:rPr>
                <w:rFonts w:ascii="Times New Roman" w:hAnsi="Times New Roman" w:cs="Times New Roman" w:hint="default"/>
                <w:sz w:val="24"/>
                <w:szCs w:val="24"/>
              </w:rPr>
              <w:t xml:space="preserve"> inová</w:t>
            </w:r>
            <w:r w:rsidRPr="00D31BA1" w:rsidR="00963E69">
              <w:rPr>
                <w:rFonts w:ascii="Times New Roman" w:hAnsi="Times New Roman" w:cs="Times New Roman" w:hint="default"/>
                <w:sz w:val="24"/>
                <w:szCs w:val="24"/>
              </w:rPr>
              <w:t>cie, vedu a </w:t>
            </w:r>
            <w:r w:rsidRPr="00D31BA1" w:rsidR="00963E69">
              <w:rPr>
                <w:rFonts w:ascii="Times New Roman" w:hAnsi="Times New Roman" w:cs="Times New Roman" w:hint="default"/>
                <w:sz w:val="24"/>
                <w:szCs w:val="24"/>
              </w:rPr>
              <w:t>vý</w:t>
            </w:r>
            <w:r w:rsidRPr="00D31BA1" w:rsidR="00963E69">
              <w:rPr>
                <w:rFonts w:ascii="Times New Roman" w:hAnsi="Times New Roman" w:cs="Times New Roman" w:hint="default"/>
                <w:sz w:val="24"/>
                <w:szCs w:val="24"/>
              </w:rPr>
              <w:t>skum a </w:t>
            </w:r>
            <w:r w:rsidRPr="00D31BA1" w:rsidR="00963E69">
              <w:rPr>
                <w:rFonts w:ascii="Times New Roman" w:hAnsi="Times New Roman" w:cs="Times New Roman" w:hint="default"/>
                <w:sz w:val="24"/>
                <w:szCs w:val="24"/>
              </w:rPr>
              <w:t>produkovať</w:t>
            </w:r>
            <w:r w:rsidRPr="00D31BA1" w:rsidR="00963E69">
              <w:rPr>
                <w:rFonts w:ascii="Times New Roman" w:hAnsi="Times New Roman" w:cs="Times New Roman" w:hint="default"/>
                <w:sz w:val="24"/>
                <w:szCs w:val="24"/>
              </w:rPr>
              <w:t xml:space="preserve"> a </w:t>
            </w:r>
            <w:r w:rsidRPr="00D31BA1" w:rsidR="00963E69">
              <w:rPr>
                <w:rFonts w:ascii="Times New Roman" w:hAnsi="Times New Roman" w:cs="Times New Roman" w:hint="default"/>
                <w:sz w:val="24"/>
                <w:szCs w:val="24"/>
              </w:rPr>
              <w:t>podporovať</w:t>
            </w:r>
            <w:r w:rsidRPr="00D31BA1" w:rsidR="00963E69">
              <w:rPr>
                <w:rFonts w:ascii="Times New Roman" w:hAnsi="Times New Roman" w:cs="Times New Roman" w:hint="default"/>
                <w:sz w:val="24"/>
                <w:szCs w:val="24"/>
              </w:rPr>
              <w:t xml:space="preserve"> kvalitné</w:t>
            </w:r>
            <w:r w:rsidRPr="00D31BA1" w:rsidR="00963E69">
              <w:rPr>
                <w:rFonts w:ascii="Times New Roman" w:hAnsi="Times New Roman" w:cs="Times New Roman" w:hint="default"/>
                <w:sz w:val="24"/>
                <w:szCs w:val="24"/>
              </w:rPr>
              <w:t xml:space="preserve"> vý</w:t>
            </w:r>
            <w:r w:rsidRPr="00D31BA1" w:rsidR="00963E69">
              <w:rPr>
                <w:rFonts w:ascii="Times New Roman" w:hAnsi="Times New Roman" w:cs="Times New Roman" w:hint="default"/>
                <w:sz w:val="24"/>
                <w:szCs w:val="24"/>
              </w:rPr>
              <w:t>vojá</w:t>
            </w:r>
            <w:r w:rsidRPr="00D31BA1" w:rsidR="00963E69">
              <w:rPr>
                <w:rFonts w:ascii="Times New Roman" w:hAnsi="Times New Roman" w:cs="Times New Roman" w:hint="default"/>
                <w:sz w:val="24"/>
                <w:szCs w:val="24"/>
              </w:rPr>
              <w:t>rsk</w:t>
            </w:r>
            <w:r w:rsidRPr="00D31BA1" w:rsidR="00963E69">
              <w:rPr>
                <w:rFonts w:ascii="Times New Roman" w:hAnsi="Times New Roman" w:cs="Times New Roman" w:hint="default"/>
                <w:sz w:val="24"/>
                <w:szCs w:val="24"/>
              </w:rPr>
              <w:t>e č</w:t>
            </w:r>
            <w:r w:rsidRPr="00D31BA1" w:rsidR="00963E69">
              <w:rPr>
                <w:rFonts w:ascii="Times New Roman" w:hAnsi="Times New Roman" w:cs="Times New Roman" w:hint="default"/>
                <w:sz w:val="24"/>
                <w:szCs w:val="24"/>
              </w:rPr>
              <w:t>innosti a </w:t>
            </w:r>
            <w:r w:rsidRPr="00D31BA1" w:rsidR="00AF207C">
              <w:rPr>
                <w:rFonts w:ascii="Times New Roman" w:hAnsi="Times New Roman" w:cs="Times New Roman"/>
                <w:sz w:val="24"/>
                <w:szCs w:val="24"/>
              </w:rPr>
              <w:t>projekty</w:t>
            </w:r>
            <w:r w:rsidRPr="00D31BA1" w:rsidR="00963E69">
              <w:rPr>
                <w:rFonts w:ascii="Times New Roman" w:hAnsi="Times New Roman" w:cs="Times New Roman"/>
                <w:sz w:val="24"/>
                <w:szCs w:val="24"/>
              </w:rPr>
              <w:t>, a </w:t>
            </w:r>
            <w:r w:rsidRPr="00D31BA1" w:rsidR="00963E69">
              <w:rPr>
                <w:rFonts w:ascii="Times New Roman" w:hAnsi="Times New Roman" w:cs="Times New Roman" w:hint="default"/>
                <w:sz w:val="24"/>
                <w:szCs w:val="24"/>
              </w:rPr>
              <w:t>tý</w:t>
            </w:r>
            <w:r w:rsidRPr="00D31BA1" w:rsidR="00963E69">
              <w:rPr>
                <w:rFonts w:ascii="Times New Roman" w:hAnsi="Times New Roman" w:cs="Times New Roman" w:hint="default"/>
                <w:sz w:val="24"/>
                <w:szCs w:val="24"/>
              </w:rPr>
              <w:t>m pozdvihnúť</w:t>
            </w:r>
            <w:r w:rsidRPr="00D31BA1" w:rsidR="00963E69">
              <w:rPr>
                <w:rFonts w:ascii="Times New Roman" w:hAnsi="Times New Roman" w:cs="Times New Roman" w:hint="default"/>
                <w:sz w:val="24"/>
                <w:szCs w:val="24"/>
              </w:rPr>
              <w:t xml:space="preserve"> aj povedomie o ochrane a </w:t>
            </w:r>
            <w:r w:rsidRPr="00D31BA1" w:rsidR="00963E69">
              <w:rPr>
                <w:rFonts w:ascii="Times New Roman" w:hAnsi="Times New Roman" w:cs="Times New Roman" w:hint="default"/>
                <w:sz w:val="24"/>
                <w:szCs w:val="24"/>
              </w:rPr>
              <w:t>spracú</w:t>
            </w:r>
            <w:r w:rsidRPr="00D31BA1" w:rsidR="00963E69">
              <w:rPr>
                <w:rFonts w:ascii="Times New Roman" w:hAnsi="Times New Roman" w:cs="Times New Roman" w:hint="default"/>
                <w:sz w:val="24"/>
                <w:szCs w:val="24"/>
              </w:rPr>
              <w:t>vaní</w:t>
            </w:r>
            <w:r w:rsidRPr="00D31BA1" w:rsidR="00963E69">
              <w:rPr>
                <w:rFonts w:ascii="Times New Roman" w:hAnsi="Times New Roman" w:cs="Times New Roman" w:hint="default"/>
                <w:sz w:val="24"/>
                <w:szCs w:val="24"/>
              </w:rPr>
              <w:t xml:space="preserve"> osobný</w:t>
            </w:r>
            <w:r w:rsidRPr="00D31BA1" w:rsidR="00963E69">
              <w:rPr>
                <w:rFonts w:ascii="Times New Roman" w:hAnsi="Times New Roman" w:cs="Times New Roman" w:hint="default"/>
                <w:sz w:val="24"/>
                <w:szCs w:val="24"/>
              </w:rPr>
              <w:t>ch ú</w:t>
            </w:r>
            <w:r w:rsidRPr="00D31BA1" w:rsidR="00963E69">
              <w:rPr>
                <w:rFonts w:ascii="Times New Roman" w:hAnsi="Times New Roman" w:cs="Times New Roman" w:hint="default"/>
                <w:sz w:val="24"/>
                <w:szCs w:val="24"/>
              </w:rPr>
              <w:t>dajov v </w:t>
            </w:r>
            <w:r w:rsidRPr="00D31BA1" w:rsidR="00963E69">
              <w:rPr>
                <w:rFonts w:ascii="Times New Roman" w:hAnsi="Times New Roman" w:cs="Times New Roman" w:hint="default"/>
                <w:sz w:val="24"/>
                <w:szCs w:val="24"/>
              </w:rPr>
              <w:t>spoloč</w:t>
            </w:r>
            <w:r w:rsidRPr="00D31BA1" w:rsidR="00963E69">
              <w:rPr>
                <w:rFonts w:ascii="Times New Roman" w:hAnsi="Times New Roman" w:cs="Times New Roman" w:hint="default"/>
                <w:sz w:val="24"/>
                <w:szCs w:val="24"/>
              </w:rPr>
              <w:t>nosti celkovo.</w:t>
            </w:r>
            <w:r w:rsidRPr="00D31BA1" w:rsidR="00CB660B">
              <w:rPr>
                <w:rFonts w:ascii="Times New Roman" w:hAnsi="Times New Roman" w:cs="Times New Roman"/>
                <w:sz w:val="24"/>
                <w:szCs w:val="24"/>
              </w:rPr>
              <w:t xml:space="preserve"> N</w:t>
            </w:r>
            <w:r w:rsidRPr="00D31BA1" w:rsidR="00963E69">
              <w:rPr>
                <w:rFonts w:ascii="Times New Roman" w:hAnsi="Times New Roman" w:cs="Times New Roman"/>
                <w:sz w:val="24"/>
                <w:szCs w:val="24"/>
              </w:rPr>
              <w:t>a</w:t>
            </w:r>
            <w:r w:rsidRPr="00D31BA1" w:rsidR="00CB660B">
              <w:rPr>
                <w:rFonts w:ascii="Times New Roman" w:hAnsi="Times New Roman" w:cs="Times New Roman" w:hint="default"/>
                <w:sz w:val="24"/>
                <w:szCs w:val="24"/>
              </w:rPr>
              <w:t>koľ</w:t>
            </w:r>
            <w:r w:rsidRPr="00D31BA1" w:rsidR="00CB660B">
              <w:rPr>
                <w:rFonts w:ascii="Times New Roman" w:hAnsi="Times New Roman" w:cs="Times New Roman" w:hint="default"/>
                <w:sz w:val="24"/>
                <w:szCs w:val="24"/>
              </w:rPr>
              <w:t>ko je predpoklad zapracú</w:t>
            </w:r>
            <w:r w:rsidRPr="00D31BA1" w:rsidR="00CB660B">
              <w:rPr>
                <w:rFonts w:ascii="Times New Roman" w:hAnsi="Times New Roman" w:cs="Times New Roman" w:hint="default"/>
                <w:sz w:val="24"/>
                <w:szCs w:val="24"/>
              </w:rPr>
              <w:t>vania</w:t>
            </w:r>
            <w:r w:rsidRPr="00D31BA1" w:rsidR="00963E69">
              <w:rPr>
                <w:rFonts w:ascii="Times New Roman" w:hAnsi="Times New Roman" w:cs="Times New Roman" w:hint="default"/>
                <w:sz w:val="24"/>
                <w:szCs w:val="24"/>
              </w:rPr>
              <w:t xml:space="preserve"> prvkov ochrany osobný</w:t>
            </w:r>
            <w:r w:rsidRPr="00D31BA1" w:rsidR="00963E69">
              <w:rPr>
                <w:rFonts w:ascii="Times New Roman" w:hAnsi="Times New Roman" w:cs="Times New Roman" w:hint="default"/>
                <w:sz w:val="24"/>
                <w:szCs w:val="24"/>
              </w:rPr>
              <w:t>ch ú</w:t>
            </w:r>
            <w:r w:rsidRPr="00D31BA1" w:rsidR="00963E69">
              <w:rPr>
                <w:rFonts w:ascii="Times New Roman" w:hAnsi="Times New Roman" w:cs="Times New Roman" w:hint="default"/>
                <w:sz w:val="24"/>
                <w:szCs w:val="24"/>
              </w:rPr>
              <w:t>dajov priamo do vý</w:t>
            </w:r>
            <w:r w:rsidRPr="00D31BA1" w:rsidR="00963E69">
              <w:rPr>
                <w:rFonts w:ascii="Times New Roman" w:hAnsi="Times New Roman" w:cs="Times New Roman" w:hint="default"/>
                <w:sz w:val="24"/>
                <w:szCs w:val="24"/>
              </w:rPr>
              <w:t>robkov s</w:t>
            </w:r>
            <w:r w:rsidRPr="00D31BA1" w:rsidR="00CB660B">
              <w:rPr>
                <w:rFonts w:ascii="Times New Roman" w:hAnsi="Times New Roman" w:cs="Times New Roman"/>
                <w:sz w:val="24"/>
                <w:szCs w:val="24"/>
              </w:rPr>
              <w:t> </w:t>
            </w:r>
            <w:r w:rsidRPr="00D31BA1" w:rsidR="00963E69">
              <w:rPr>
                <w:rFonts w:ascii="Times New Roman" w:hAnsi="Times New Roman" w:cs="Times New Roman"/>
                <w:sz w:val="24"/>
                <w:szCs w:val="24"/>
              </w:rPr>
              <w:t>tech</w:t>
            </w:r>
            <w:r w:rsidRPr="00D31BA1" w:rsidR="00963E69">
              <w:rPr>
                <w:rFonts w:ascii="Times New Roman" w:hAnsi="Times New Roman" w:cs="Times New Roman" w:hint="default"/>
                <w:sz w:val="24"/>
                <w:szCs w:val="24"/>
              </w:rPr>
              <w:t>noló</w:t>
            </w:r>
            <w:r w:rsidRPr="00D31BA1" w:rsidR="00963E69">
              <w:rPr>
                <w:rFonts w:ascii="Times New Roman" w:hAnsi="Times New Roman" w:cs="Times New Roman" w:hint="default"/>
                <w:sz w:val="24"/>
                <w:szCs w:val="24"/>
              </w:rPr>
              <w:t>giami</w:t>
            </w:r>
            <w:r w:rsidRPr="00D31BA1" w:rsidR="00CB660B">
              <w:rPr>
                <w:rFonts w:ascii="Times New Roman" w:hAnsi="Times New Roman" w:cs="Times New Roman"/>
                <w:sz w:val="24"/>
                <w:szCs w:val="24"/>
              </w:rPr>
              <w:t xml:space="preserve"> (privacy by design)</w:t>
            </w:r>
            <w:r w:rsidRPr="00D31BA1" w:rsidR="00963E69">
              <w:rPr>
                <w:rFonts w:ascii="Times New Roman" w:hAnsi="Times New Roman" w:cs="Times New Roman" w:hint="default"/>
                <w:sz w:val="24"/>
                <w:szCs w:val="24"/>
              </w:rPr>
              <w:t>, je predpoklad aj š</w:t>
            </w:r>
            <w:r w:rsidRPr="00D31BA1" w:rsidR="00963E69">
              <w:rPr>
                <w:rFonts w:ascii="Times New Roman" w:hAnsi="Times New Roman" w:cs="Times New Roman" w:hint="default"/>
                <w:sz w:val="24"/>
                <w:szCs w:val="24"/>
              </w:rPr>
              <w:t>e</w:t>
            </w:r>
            <w:r w:rsidRPr="00D31BA1" w:rsidR="00963E69">
              <w:rPr>
                <w:rFonts w:ascii="Times New Roman" w:hAnsi="Times New Roman" w:cs="Times New Roman" w:hint="default"/>
                <w:sz w:val="24"/>
                <w:szCs w:val="24"/>
              </w:rPr>
              <w:t>trenia tovarov a </w:t>
            </w:r>
            <w:r w:rsidRPr="00D31BA1" w:rsidR="00963E69">
              <w:rPr>
                <w:rFonts w:ascii="Times New Roman" w:hAnsi="Times New Roman" w:cs="Times New Roman" w:hint="default"/>
                <w:sz w:val="24"/>
                <w:szCs w:val="24"/>
              </w:rPr>
              <w:t>suroví</w:t>
            </w:r>
            <w:r w:rsidRPr="00D31BA1" w:rsidR="00963E69">
              <w:rPr>
                <w:rFonts w:ascii="Times New Roman" w:hAnsi="Times New Roman" w:cs="Times New Roman" w:hint="default"/>
                <w:sz w:val="24"/>
                <w:szCs w:val="24"/>
              </w:rPr>
              <w:t>n, nakoľ</w:t>
            </w:r>
            <w:r w:rsidRPr="00D31BA1" w:rsidR="00963E69">
              <w:rPr>
                <w:rFonts w:ascii="Times New Roman" w:hAnsi="Times New Roman" w:cs="Times New Roman" w:hint="default"/>
                <w:sz w:val="24"/>
                <w:szCs w:val="24"/>
              </w:rPr>
              <w:t>ko vý</w:t>
            </w:r>
            <w:r w:rsidRPr="00D31BA1" w:rsidR="00963E69">
              <w:rPr>
                <w:rFonts w:ascii="Times New Roman" w:hAnsi="Times New Roman" w:cs="Times New Roman" w:hint="default"/>
                <w:sz w:val="24"/>
                <w:szCs w:val="24"/>
              </w:rPr>
              <w:t>robok alebo služ</w:t>
            </w:r>
            <w:r w:rsidRPr="00D31BA1" w:rsidR="00963E69">
              <w:rPr>
                <w:rFonts w:ascii="Times New Roman" w:hAnsi="Times New Roman" w:cs="Times New Roman" w:hint="default"/>
                <w:sz w:val="24"/>
                <w:szCs w:val="24"/>
              </w:rPr>
              <w:t>ba</w:t>
            </w:r>
            <w:r w:rsidRPr="00D31BA1" w:rsidR="00CB660B">
              <w:rPr>
                <w:rFonts w:ascii="Times New Roman" w:hAnsi="Times New Roman" w:cs="Times New Roman" w:hint="default"/>
                <w:sz w:val="24"/>
                <w:szCs w:val="24"/>
              </w:rPr>
              <w:t xml:space="preserve"> obsahujú</w:t>
            </w:r>
            <w:r w:rsidRPr="00D31BA1" w:rsidR="00CB660B">
              <w:rPr>
                <w:rFonts w:ascii="Times New Roman" w:hAnsi="Times New Roman" w:cs="Times New Roman" w:hint="default"/>
                <w:sz w:val="24"/>
                <w:szCs w:val="24"/>
              </w:rPr>
              <w:t>ca</w:t>
            </w:r>
            <w:r w:rsidRPr="00D31BA1" w:rsidR="00963E69">
              <w:rPr>
                <w:rFonts w:ascii="Times New Roman" w:hAnsi="Times New Roman" w:cs="Times New Roman" w:hint="default"/>
                <w:sz w:val="24"/>
                <w:szCs w:val="24"/>
              </w:rPr>
              <w:t xml:space="preserve"> prvky ochrany osobný</w:t>
            </w:r>
            <w:r w:rsidRPr="00D31BA1" w:rsidR="00963E69">
              <w:rPr>
                <w:rFonts w:ascii="Times New Roman" w:hAnsi="Times New Roman" w:cs="Times New Roman" w:hint="default"/>
                <w:sz w:val="24"/>
                <w:szCs w:val="24"/>
              </w:rPr>
              <w:t>ch ú</w:t>
            </w:r>
            <w:r w:rsidRPr="00D31BA1" w:rsidR="00963E69">
              <w:rPr>
                <w:rFonts w:ascii="Times New Roman" w:hAnsi="Times New Roman" w:cs="Times New Roman" w:hint="default"/>
                <w:sz w:val="24"/>
                <w:szCs w:val="24"/>
              </w:rPr>
              <w:t xml:space="preserve">dajov </w:t>
            </w:r>
            <w:r w:rsidRPr="00D31BA1" w:rsidR="00CB660B">
              <w:rPr>
                <w:rFonts w:ascii="Times New Roman" w:hAnsi="Times New Roman" w:cs="Times New Roman" w:hint="default"/>
                <w:sz w:val="24"/>
                <w:szCs w:val="24"/>
              </w:rPr>
              <w:t>priamo od vý</w:t>
            </w:r>
            <w:r w:rsidRPr="00D31BA1" w:rsidR="00CB660B">
              <w:rPr>
                <w:rFonts w:ascii="Times New Roman" w:hAnsi="Times New Roman" w:cs="Times New Roman" w:hint="default"/>
                <w:sz w:val="24"/>
                <w:szCs w:val="24"/>
              </w:rPr>
              <w:t xml:space="preserve">roby </w:t>
            </w:r>
            <w:r w:rsidRPr="00D31BA1" w:rsidR="00963E69">
              <w:rPr>
                <w:rFonts w:ascii="Times New Roman" w:hAnsi="Times New Roman" w:cs="Times New Roman" w:hint="default"/>
                <w:sz w:val="24"/>
                <w:szCs w:val="24"/>
              </w:rPr>
              <w:t>má</w:t>
            </w:r>
            <w:r w:rsidRPr="00D31BA1" w:rsidR="00963E69">
              <w:rPr>
                <w:rFonts w:ascii="Times New Roman" w:hAnsi="Times New Roman" w:cs="Times New Roman" w:hint="default"/>
                <w:sz w:val="24"/>
                <w:szCs w:val="24"/>
              </w:rPr>
              <w:t xml:space="preserve"> na trhu predpoklad preraziť</w:t>
            </w:r>
            <w:r w:rsidRPr="00D31BA1" w:rsidR="00CB660B">
              <w:rPr>
                <w:rFonts w:ascii="Times New Roman" w:hAnsi="Times New Roman" w:cs="Times New Roman"/>
                <w:sz w:val="24"/>
                <w:szCs w:val="24"/>
              </w:rPr>
              <w:t xml:space="preserve"> a </w:t>
            </w:r>
            <w:r w:rsidRPr="00D31BA1" w:rsidR="00CB660B">
              <w:rPr>
                <w:rFonts w:ascii="Times New Roman" w:hAnsi="Times New Roman" w:cs="Times New Roman" w:hint="default"/>
                <w:sz w:val="24"/>
                <w:szCs w:val="24"/>
              </w:rPr>
              <w:t>zotrvať</w:t>
            </w:r>
            <w:r w:rsidRPr="00D31BA1" w:rsidR="00CB660B">
              <w:rPr>
                <w:rFonts w:ascii="Times New Roman" w:hAnsi="Times New Roman" w:cs="Times New Roman" w:hint="default"/>
                <w:sz w:val="24"/>
                <w:szCs w:val="24"/>
              </w:rPr>
              <w:t xml:space="preserve"> na ň</w:t>
            </w:r>
            <w:r w:rsidRPr="00D31BA1" w:rsidR="00CB660B">
              <w:rPr>
                <w:rFonts w:ascii="Times New Roman" w:hAnsi="Times New Roman" w:cs="Times New Roman" w:hint="default"/>
                <w:sz w:val="24"/>
                <w:szCs w:val="24"/>
              </w:rPr>
              <w:t>om dlhš</w:t>
            </w:r>
            <w:r w:rsidRPr="00D31BA1" w:rsidR="00CB660B">
              <w:rPr>
                <w:rFonts w:ascii="Times New Roman" w:hAnsi="Times New Roman" w:cs="Times New Roman" w:hint="default"/>
                <w:sz w:val="24"/>
                <w:szCs w:val="24"/>
              </w:rPr>
              <w:t>ie, ako vý</w:t>
            </w:r>
            <w:r w:rsidRPr="00D31BA1" w:rsidR="00CB660B">
              <w:rPr>
                <w:rFonts w:ascii="Times New Roman" w:hAnsi="Times New Roman" w:cs="Times New Roman" w:hint="default"/>
                <w:sz w:val="24"/>
                <w:szCs w:val="24"/>
              </w:rPr>
              <w:t>robok, ku ktoré</w:t>
            </w:r>
            <w:r w:rsidRPr="00D31BA1" w:rsidR="00CB660B">
              <w:rPr>
                <w:rFonts w:ascii="Times New Roman" w:hAnsi="Times New Roman" w:cs="Times New Roman" w:hint="default"/>
                <w:sz w:val="24"/>
                <w:szCs w:val="24"/>
              </w:rPr>
              <w:t>mu je nutnosť</w:t>
            </w:r>
            <w:r w:rsidRPr="00D31BA1" w:rsidR="00CB660B">
              <w:rPr>
                <w:rFonts w:ascii="Times New Roman" w:hAnsi="Times New Roman" w:cs="Times New Roman" w:hint="default"/>
                <w:sz w:val="24"/>
                <w:szCs w:val="24"/>
              </w:rPr>
              <w:t xml:space="preserve"> dokupovať</w:t>
            </w:r>
            <w:r w:rsidRPr="00D31BA1" w:rsidR="00CB660B">
              <w:rPr>
                <w:rFonts w:ascii="Times New Roman" w:hAnsi="Times New Roman" w:cs="Times New Roman" w:hint="default"/>
                <w:sz w:val="24"/>
                <w:szCs w:val="24"/>
              </w:rPr>
              <w:t xml:space="preserve"> jednorazovo alebo v </w:t>
            </w:r>
            <w:r w:rsidRPr="00D31BA1" w:rsidR="00CB660B">
              <w:rPr>
                <w:rFonts w:ascii="Times New Roman" w:hAnsi="Times New Roman" w:cs="Times New Roman" w:hint="default"/>
                <w:sz w:val="24"/>
                <w:szCs w:val="24"/>
              </w:rPr>
              <w:t>č</w:t>
            </w:r>
            <w:r w:rsidRPr="00D31BA1" w:rsidR="00CB660B">
              <w:rPr>
                <w:rFonts w:ascii="Times New Roman" w:hAnsi="Times New Roman" w:cs="Times New Roman" w:hint="default"/>
                <w:sz w:val="24"/>
                <w:szCs w:val="24"/>
              </w:rPr>
              <w:t>asový</w:t>
            </w:r>
            <w:r w:rsidRPr="00D31BA1" w:rsidR="00CB660B">
              <w:rPr>
                <w:rFonts w:ascii="Times New Roman" w:hAnsi="Times New Roman" w:cs="Times New Roman" w:hint="default"/>
                <w:sz w:val="24"/>
                <w:szCs w:val="24"/>
              </w:rPr>
              <w:t>ch odstupoch nov</w:t>
            </w:r>
            <w:r w:rsidRPr="00D31BA1" w:rsidR="00CB660B">
              <w:rPr>
                <w:rFonts w:ascii="Times New Roman" w:hAnsi="Times New Roman" w:cs="Times New Roman" w:hint="default"/>
                <w:sz w:val="24"/>
                <w:szCs w:val="24"/>
              </w:rPr>
              <w:t>ý</w:t>
            </w:r>
            <w:r w:rsidRPr="00D31BA1" w:rsidR="00CB660B">
              <w:rPr>
                <w:rFonts w:ascii="Times New Roman" w:hAnsi="Times New Roman" w:cs="Times New Roman" w:hint="default"/>
                <w:sz w:val="24"/>
                <w:szCs w:val="24"/>
              </w:rPr>
              <w:t xml:space="preserve"> softvé</w:t>
            </w:r>
            <w:r w:rsidRPr="00D31BA1" w:rsidR="00CB660B">
              <w:rPr>
                <w:rFonts w:ascii="Times New Roman" w:hAnsi="Times New Roman" w:cs="Times New Roman" w:hint="default"/>
                <w:sz w:val="24"/>
                <w:szCs w:val="24"/>
              </w:rPr>
              <w:t>r alebo č</w:t>
            </w:r>
            <w:r w:rsidRPr="00D31BA1" w:rsidR="00CB660B">
              <w:rPr>
                <w:rFonts w:ascii="Times New Roman" w:hAnsi="Times New Roman" w:cs="Times New Roman" w:hint="default"/>
                <w:sz w:val="24"/>
                <w:szCs w:val="24"/>
              </w:rPr>
              <w:t>asové</w:t>
            </w:r>
            <w:r w:rsidRPr="00D31BA1" w:rsidR="00CB660B">
              <w:rPr>
                <w:rFonts w:ascii="Times New Roman" w:hAnsi="Times New Roman" w:cs="Times New Roman" w:hint="default"/>
                <w:sz w:val="24"/>
                <w:szCs w:val="24"/>
              </w:rPr>
              <w:t xml:space="preserve"> verzie</w:t>
            </w:r>
            <w:r w:rsidRPr="00D31BA1" w:rsidR="00AF207C">
              <w:rPr>
                <w:rFonts w:ascii="Times New Roman" w:hAnsi="Times New Roman" w:cs="Times New Roman" w:hint="default"/>
                <w:sz w:val="24"/>
                <w:szCs w:val="24"/>
              </w:rPr>
              <w:t xml:space="preserve"> tý</w:t>
            </w:r>
            <w:r w:rsidRPr="00D31BA1" w:rsidR="00AF207C">
              <w:rPr>
                <w:rFonts w:ascii="Times New Roman" w:hAnsi="Times New Roman" w:cs="Times New Roman" w:hint="default"/>
                <w:sz w:val="24"/>
                <w:szCs w:val="24"/>
              </w:rPr>
              <w:t>kajú</w:t>
            </w:r>
            <w:r w:rsidRPr="00D31BA1" w:rsidR="00AF207C">
              <w:rPr>
                <w:rFonts w:ascii="Times New Roman" w:hAnsi="Times New Roman" w:cs="Times New Roman" w:hint="default"/>
                <w:sz w:val="24"/>
                <w:szCs w:val="24"/>
              </w:rPr>
              <w:t>ce sa ochrany osobný</w:t>
            </w:r>
            <w:r w:rsidRPr="00D31BA1" w:rsidR="00AF207C">
              <w:rPr>
                <w:rFonts w:ascii="Times New Roman" w:hAnsi="Times New Roman" w:cs="Times New Roman" w:hint="default"/>
                <w:sz w:val="24"/>
                <w:szCs w:val="24"/>
              </w:rPr>
              <w:t>ch ú</w:t>
            </w:r>
            <w:r w:rsidRPr="00D31BA1" w:rsidR="00AF207C">
              <w:rPr>
                <w:rFonts w:ascii="Times New Roman" w:hAnsi="Times New Roman" w:cs="Times New Roman" w:hint="default"/>
                <w:sz w:val="24"/>
                <w:szCs w:val="24"/>
              </w:rPr>
              <w:t>dajov</w:t>
            </w:r>
            <w:r w:rsidRPr="00D31BA1" w:rsidR="00CB660B">
              <w:rPr>
                <w:rFonts w:ascii="Times New Roman" w:hAnsi="Times New Roman" w:cs="Times New Roman"/>
                <w:sz w:val="24"/>
                <w:szCs w:val="24"/>
              </w:rPr>
              <w:t>.</w:t>
            </w:r>
            <w:r w:rsidRPr="00D31BA1" w:rsidR="00150B75">
              <w:rPr>
                <w:rFonts w:ascii="Times New Roman" w:hAnsi="Times New Roman" w:cs="Times New Roman"/>
                <w:sz w:val="24"/>
                <w:szCs w:val="24"/>
              </w:rPr>
              <w:t xml:space="preserve"> </w:t>
            </w:r>
            <w:r w:rsidRPr="00D31BA1" w:rsidR="00150B75">
              <w:rPr>
                <w:rFonts w:ascii="Times New Roman" w:hAnsi="Times New Roman" w:cs="Times New Roman" w:hint="default"/>
                <w:sz w:val="24"/>
                <w:szCs w:val="24"/>
                <w:lang w:eastAsia="sk-SK"/>
              </w:rPr>
              <w:t>Ná</w:t>
            </w:r>
            <w:r w:rsidRPr="00D31BA1" w:rsidR="00150B75">
              <w:rPr>
                <w:rFonts w:ascii="Times New Roman" w:hAnsi="Times New Roman" w:cs="Times New Roman" w:hint="default"/>
                <w:sz w:val="24"/>
                <w:szCs w:val="24"/>
                <w:lang w:eastAsia="sk-SK"/>
              </w:rPr>
              <w:t>vrh zá</w:t>
            </w:r>
            <w:r w:rsidRPr="00D31BA1" w:rsidR="00150B75">
              <w:rPr>
                <w:rFonts w:ascii="Times New Roman" w:hAnsi="Times New Roman" w:cs="Times New Roman" w:hint="default"/>
                <w:sz w:val="24"/>
                <w:szCs w:val="24"/>
                <w:lang w:eastAsia="sk-SK"/>
              </w:rPr>
              <w:t>kona upravuje nové</w:t>
            </w:r>
            <w:r w:rsidRPr="00D31BA1" w:rsidR="00150B75">
              <w:rPr>
                <w:rFonts w:ascii="Times New Roman" w:hAnsi="Times New Roman" w:cs="Times New Roman" w:hint="default"/>
                <w:sz w:val="24"/>
                <w:szCs w:val="24"/>
                <w:lang w:eastAsia="sk-SK"/>
              </w:rPr>
              <w:t xml:space="preserve"> č</w:t>
            </w:r>
            <w:r w:rsidRPr="00D31BA1" w:rsidR="00150B75">
              <w:rPr>
                <w:rFonts w:ascii="Times New Roman" w:hAnsi="Times New Roman" w:cs="Times New Roman" w:hint="default"/>
                <w:sz w:val="24"/>
                <w:szCs w:val="24"/>
                <w:lang w:eastAsia="sk-SK"/>
              </w:rPr>
              <w:t>innosti v </w:t>
            </w:r>
            <w:r w:rsidRPr="00D31BA1" w:rsidR="00150B75">
              <w:rPr>
                <w:rFonts w:ascii="Times New Roman" w:hAnsi="Times New Roman" w:cs="Times New Roman" w:hint="default"/>
                <w:sz w:val="24"/>
                <w:szCs w:val="24"/>
                <w:lang w:eastAsia="sk-SK"/>
              </w:rPr>
              <w:t>oblasti ochrany osobný</w:t>
            </w:r>
            <w:r w:rsidRPr="00D31BA1" w:rsidR="00150B75">
              <w:rPr>
                <w:rFonts w:ascii="Times New Roman" w:hAnsi="Times New Roman" w:cs="Times New Roman" w:hint="default"/>
                <w:sz w:val="24"/>
                <w:szCs w:val="24"/>
                <w:lang w:eastAsia="sk-SK"/>
              </w:rPr>
              <w:t>ch ú</w:t>
            </w:r>
            <w:r w:rsidRPr="00D31BA1" w:rsidR="00150B75">
              <w:rPr>
                <w:rFonts w:ascii="Times New Roman" w:hAnsi="Times New Roman" w:cs="Times New Roman" w:hint="default"/>
                <w:sz w:val="24"/>
                <w:szCs w:val="24"/>
                <w:lang w:eastAsia="sk-SK"/>
              </w:rPr>
              <w:t>dajov, ako monitorovanie dodrž</w:t>
            </w:r>
            <w:r w:rsidRPr="00D31BA1" w:rsidR="00150B75">
              <w:rPr>
                <w:rFonts w:ascii="Times New Roman" w:hAnsi="Times New Roman" w:cs="Times New Roman" w:hint="default"/>
                <w:sz w:val="24"/>
                <w:szCs w:val="24"/>
                <w:lang w:eastAsia="sk-SK"/>
              </w:rPr>
              <w:t>iavania kó</w:t>
            </w:r>
            <w:r w:rsidRPr="00D31BA1" w:rsidR="00150B75">
              <w:rPr>
                <w:rFonts w:ascii="Times New Roman" w:hAnsi="Times New Roman" w:cs="Times New Roman" w:hint="default"/>
                <w:sz w:val="24"/>
                <w:szCs w:val="24"/>
                <w:lang w:eastAsia="sk-SK"/>
              </w:rPr>
              <w:t>dexov sprá</w:t>
            </w:r>
            <w:r w:rsidRPr="00D31BA1" w:rsidR="00150B75">
              <w:rPr>
                <w:rFonts w:ascii="Times New Roman" w:hAnsi="Times New Roman" w:cs="Times New Roman" w:hint="default"/>
                <w:sz w:val="24"/>
                <w:szCs w:val="24"/>
                <w:lang w:eastAsia="sk-SK"/>
              </w:rPr>
              <w:t>va a </w:t>
            </w:r>
            <w:r w:rsidRPr="00D31BA1" w:rsidR="00150B75">
              <w:rPr>
                <w:rFonts w:ascii="Times New Roman" w:hAnsi="Times New Roman" w:cs="Times New Roman" w:hint="default"/>
                <w:sz w:val="24"/>
                <w:szCs w:val="24"/>
                <w:lang w:eastAsia="sk-SK"/>
              </w:rPr>
              <w:t>vydá</w:t>
            </w:r>
            <w:r w:rsidRPr="00D31BA1" w:rsidR="00150B75">
              <w:rPr>
                <w:rFonts w:ascii="Times New Roman" w:hAnsi="Times New Roman" w:cs="Times New Roman" w:hint="default"/>
                <w:sz w:val="24"/>
                <w:szCs w:val="24"/>
                <w:lang w:eastAsia="sk-SK"/>
              </w:rPr>
              <w:t>vanie certifiká</w:t>
            </w:r>
            <w:r w:rsidRPr="00D31BA1" w:rsidR="00150B75">
              <w:rPr>
                <w:rFonts w:ascii="Times New Roman" w:hAnsi="Times New Roman" w:cs="Times New Roman" w:hint="default"/>
                <w:sz w:val="24"/>
                <w:szCs w:val="24"/>
                <w:lang w:eastAsia="sk-SK"/>
              </w:rPr>
              <w:t>tov v </w:t>
            </w:r>
            <w:r w:rsidRPr="00D31BA1" w:rsidR="00150B75">
              <w:rPr>
                <w:rFonts w:ascii="Times New Roman" w:hAnsi="Times New Roman" w:cs="Times New Roman" w:hint="default"/>
                <w:sz w:val="24"/>
                <w:szCs w:val="24"/>
                <w:lang w:eastAsia="sk-SK"/>
              </w:rPr>
              <w:t>oboch prí</w:t>
            </w:r>
            <w:r w:rsidRPr="00D31BA1" w:rsidR="00150B75">
              <w:rPr>
                <w:rFonts w:ascii="Times New Roman" w:hAnsi="Times New Roman" w:cs="Times New Roman" w:hint="default"/>
                <w:sz w:val="24"/>
                <w:szCs w:val="24"/>
                <w:lang w:eastAsia="sk-SK"/>
              </w:rPr>
              <w:t>padoch akreditovaný</w:t>
            </w:r>
            <w:r w:rsidRPr="00D31BA1" w:rsidR="00150B75">
              <w:rPr>
                <w:rFonts w:ascii="Times New Roman" w:hAnsi="Times New Roman" w:cs="Times New Roman" w:hint="default"/>
                <w:sz w:val="24"/>
                <w:szCs w:val="24"/>
                <w:lang w:eastAsia="sk-SK"/>
              </w:rPr>
              <w:t>mi subjektami s r</w:t>
            </w:r>
            <w:r w:rsidRPr="00D31BA1" w:rsidR="00150B75">
              <w:rPr>
                <w:rFonts w:ascii="Times New Roman" w:hAnsi="Times New Roman" w:cs="Times New Roman" w:hint="default"/>
                <w:sz w:val="24"/>
                <w:szCs w:val="24"/>
                <w:lang w:eastAsia="sk-SK"/>
              </w:rPr>
              <w:t>elevantnou odbornou znalosť</w:t>
            </w:r>
            <w:r w:rsidRPr="00D31BA1" w:rsidR="00150B75">
              <w:rPr>
                <w:rFonts w:ascii="Times New Roman" w:hAnsi="Times New Roman" w:cs="Times New Roman" w:hint="default"/>
                <w:sz w:val="24"/>
                <w:szCs w:val="24"/>
                <w:lang w:eastAsia="sk-SK"/>
              </w:rPr>
              <w:t xml:space="preserve">ou problematiky.  </w:t>
            </w:r>
          </w:p>
        </w:tc>
      </w:tr>
    </w:tbl>
    <w:p w:rsidR="002010D1" w:rsidRPr="00D31BA1" w:rsidP="00287039">
      <w:pPr>
        <w:pStyle w:val="Standard"/>
        <w:bidi w:val="0"/>
        <w:rPr>
          <w:rFonts w:ascii="Times New Roman" w:hAnsi="Times New Roman"/>
          <w:sz w:val="24"/>
          <w:szCs w:val="24"/>
        </w:rPr>
      </w:pPr>
    </w:p>
    <w:p w:rsidR="002010D1" w:rsidRPr="00D31BA1" w:rsidP="00287039">
      <w:pPr>
        <w:pStyle w:val="Standard"/>
        <w:bidi w:val="0"/>
        <w:rPr>
          <w:rFonts w:ascii="Times New Roman" w:hAnsi="Times New Roman"/>
          <w:sz w:val="24"/>
          <w:szCs w:val="24"/>
        </w:rPr>
      </w:pPr>
    </w:p>
    <w:sectPr>
      <w:footerReference w:type="default" r:id="rId5"/>
      <w:pgSz w:w="11906" w:h="16838"/>
      <w:pgMar w:top="1417" w:right="1417" w:bottom="1417" w:left="1417"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MS Mincho">
    <w:altName w:val="‚l‚r –ľ’©"/>
    <w:panose1 w:val="02020609040205080304"/>
    <w:charset w:val="80"/>
    <w:family w:val="modern"/>
    <w:pitch w:val="fixed"/>
    <w:sig w:usb0="00000000" w:usb1="00000000" w:usb2="00000000" w:usb3="00000000" w:csb0="0002009F" w:csb1="00000000"/>
  </w:font>
  <w:font w:name="SimSun">
    <w:altName w:val="ËÎĚĺ"/>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Tahoma">
    <w:panose1 w:val="020B0604030504040204"/>
    <w:charset w:val="EE"/>
    <w:family w:val="swiss"/>
    <w:pitch w:val="variable"/>
    <w:sig w:usb0="00000000" w:usb1="00000000" w:usb2="00000000" w:usb3="00000000" w:csb0="000101FF" w:csb1="00000000"/>
  </w:font>
  <w:font w:name="Microsoft YaHei">
    <w:panose1 w:val="020B0503020204020204"/>
    <w:charset w:val="86"/>
    <w:family w:val="swiss"/>
    <w:pitch w:val="variable"/>
    <w:sig w:usb0="00000000" w:usb1="00000000" w:usb2="00000000" w:usb3="00000000" w:csb0="0004001F" w:csb1="00000000"/>
  </w:font>
  <w:font w:name="Lucida Sans">
    <w:panose1 w:val="020B0602030504020204"/>
    <w:charset w:val="00"/>
    <w:family w:val="swiss"/>
    <w:pitch w:val="variable"/>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SimSun">
    <w:panose1 w:val="02010600030101010101"/>
    <w:charset w:val="86"/>
    <w:family w:val="auto"/>
    <w:pitch w:val="variable"/>
    <w:sig w:usb0="00000000" w:usb1="00000000" w:usb2="00000000" w:usb3="00000000" w:csb0="00040001"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Microsoft YaHei">
    <w:panose1 w:val="020B0503020204020204"/>
    <w:charset w:val="86"/>
    <w:family w:val="swiss"/>
    <w:pitch w:val="variable"/>
    <w:sig w:usb0="00000000" w:usb1="00000000" w:usb2="00000000" w:usb3="00000000" w:csb0="0004001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FDF">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31BA1">
      <w:rPr>
        <w:rFonts w:ascii="Times New Roman" w:hAnsi="Times New Roman"/>
        <w:noProof/>
      </w:rPr>
      <w:t>1</w:t>
    </w:r>
    <w:r>
      <w:rPr>
        <w:rFonts w:ascii="Times New Roman" w:hAnsi="Times New Roman"/>
      </w:rPr>
      <w:fldChar w:fldCharType="end"/>
    </w:r>
  </w:p>
  <w:p w:rsidR="003E435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53648"/>
    <w:multiLevelType w:val="multilevel"/>
    <w:tmpl w:val="466E65A8"/>
    <w:styleLink w:val="WWNum3"/>
    <w:lvl w:ilvl="0">
      <w:start w:val="0"/>
      <w:numFmt w:val="bullet"/>
      <w:lvlText w:val=""/>
      <w:lvlJc w:val="left"/>
      <w:pPr>
        <w:ind w:left="720" w:hanging="360"/>
      </w:pPr>
    </w:lvl>
    <w:lvl w:ilvl="1">
      <w:start w:val="0"/>
      <w:numFmt w:val="bullet"/>
      <w:lvlText w:val="o"/>
      <w:lvlJc w:val="left"/>
      <w:pPr>
        <w:ind w:left="1440" w:hanging="360"/>
      </w:pPr>
    </w:lvl>
    <w:lvl w:ilvl="2">
      <w:start w:val="0"/>
      <w:numFmt w:val="bullet"/>
      <w:lvlText w:val=""/>
      <w:lvlJc w:val="left"/>
      <w:pPr>
        <w:ind w:left="2160" w:hanging="360"/>
      </w:pPr>
    </w:lvl>
    <w:lvl w:ilvl="3">
      <w:start w:val="0"/>
      <w:numFmt w:val="bullet"/>
      <w:lvlText w:val=""/>
      <w:lvlJc w:val="left"/>
      <w:pPr>
        <w:ind w:left="2880" w:hanging="360"/>
      </w:pPr>
    </w:lvl>
    <w:lvl w:ilvl="4">
      <w:start w:val="0"/>
      <w:numFmt w:val="bullet"/>
      <w:lvlText w:val="o"/>
      <w:lvlJc w:val="left"/>
      <w:pPr>
        <w:ind w:left="3600" w:hanging="360"/>
      </w:pPr>
    </w:lvl>
    <w:lvl w:ilvl="5">
      <w:start w:val="0"/>
      <w:numFmt w:val="bullet"/>
      <w:lvlText w:val=""/>
      <w:lvlJc w:val="left"/>
      <w:pPr>
        <w:ind w:left="4320" w:hanging="360"/>
      </w:pPr>
    </w:lvl>
    <w:lvl w:ilvl="6">
      <w:start w:val="0"/>
      <w:numFmt w:val="bullet"/>
      <w:lvlText w:val=""/>
      <w:lvlJc w:val="left"/>
      <w:pPr>
        <w:ind w:left="5040" w:hanging="360"/>
      </w:pPr>
    </w:lvl>
    <w:lvl w:ilvl="7">
      <w:start w:val="0"/>
      <w:numFmt w:val="bullet"/>
      <w:lvlText w:val="o"/>
      <w:lvlJc w:val="left"/>
      <w:pPr>
        <w:ind w:left="5760" w:hanging="360"/>
      </w:pPr>
    </w:lvl>
    <w:lvl w:ilvl="8">
      <w:start w:val="0"/>
      <w:numFmt w:val="bullet"/>
      <w:lvlText w:val=""/>
      <w:lvlJc w:val="left"/>
      <w:pPr>
        <w:ind w:left="6480" w:hanging="360"/>
      </w:pPr>
    </w:lvl>
  </w:abstractNum>
  <w:abstractNum w:abstractNumId="1">
    <w:nsid w:val="223A3AB5"/>
    <w:multiLevelType w:val="multilevel"/>
    <w:tmpl w:val="EE8270CC"/>
    <w:styleLink w:val="WWNum12"/>
    <w:lvl w:ilvl="0">
      <w:start w:val="0"/>
      <w:numFmt w:val="bullet"/>
      <w:lvlText w:val=""/>
      <w:lvlJc w:val="left"/>
      <w:pPr>
        <w:ind w:left="1428" w:hanging="360"/>
      </w:pPr>
    </w:lvl>
    <w:lvl w:ilvl="1">
      <w:start w:val="0"/>
      <w:numFmt w:val="bullet"/>
      <w:lvlText w:val="o"/>
      <w:lvlJc w:val="left"/>
      <w:pPr>
        <w:ind w:left="2148" w:hanging="360"/>
      </w:pPr>
    </w:lvl>
    <w:lvl w:ilvl="2">
      <w:start w:val="0"/>
      <w:numFmt w:val="bullet"/>
      <w:lvlText w:val=""/>
      <w:lvlJc w:val="left"/>
      <w:pPr>
        <w:ind w:left="2868" w:hanging="360"/>
      </w:pPr>
    </w:lvl>
    <w:lvl w:ilvl="3">
      <w:start w:val="0"/>
      <w:numFmt w:val="bullet"/>
      <w:lvlText w:val=""/>
      <w:lvlJc w:val="left"/>
      <w:pPr>
        <w:ind w:left="3588" w:hanging="360"/>
      </w:pPr>
    </w:lvl>
    <w:lvl w:ilvl="4">
      <w:start w:val="0"/>
      <w:numFmt w:val="bullet"/>
      <w:lvlText w:val="o"/>
      <w:lvlJc w:val="left"/>
      <w:pPr>
        <w:ind w:left="4308" w:hanging="360"/>
      </w:pPr>
    </w:lvl>
    <w:lvl w:ilvl="5">
      <w:start w:val="0"/>
      <w:numFmt w:val="bullet"/>
      <w:lvlText w:val=""/>
      <w:lvlJc w:val="left"/>
      <w:pPr>
        <w:ind w:left="5028" w:hanging="360"/>
      </w:pPr>
    </w:lvl>
    <w:lvl w:ilvl="6">
      <w:start w:val="0"/>
      <w:numFmt w:val="bullet"/>
      <w:lvlText w:val=""/>
      <w:lvlJc w:val="left"/>
      <w:pPr>
        <w:ind w:left="5748" w:hanging="360"/>
      </w:pPr>
    </w:lvl>
    <w:lvl w:ilvl="7">
      <w:start w:val="0"/>
      <w:numFmt w:val="bullet"/>
      <w:lvlText w:val="o"/>
      <w:lvlJc w:val="left"/>
      <w:pPr>
        <w:ind w:left="6468" w:hanging="360"/>
      </w:pPr>
    </w:lvl>
    <w:lvl w:ilvl="8">
      <w:start w:val="0"/>
      <w:numFmt w:val="bullet"/>
      <w:lvlText w:val=""/>
      <w:lvlJc w:val="left"/>
      <w:pPr>
        <w:ind w:left="7188" w:hanging="360"/>
      </w:pPr>
    </w:lvl>
  </w:abstractNum>
  <w:abstractNum w:abstractNumId="2">
    <w:nsid w:val="25415719"/>
    <w:multiLevelType w:val="multilevel"/>
    <w:tmpl w:val="56AA08D2"/>
    <w:styleLink w:val="WWNum7"/>
    <w:lvl w:ilvl="0">
      <w:start w:val="0"/>
      <w:numFmt w:val="bullet"/>
      <w:lvlText w:val="-"/>
      <w:lvlJc w:val="left"/>
      <w:pPr>
        <w:ind w:left="720" w:hanging="360"/>
      </w:pPr>
      <w:rPr>
        <w:rFonts w:eastAsia="Times New Roman"/>
      </w:rPr>
    </w:lvl>
    <w:lvl w:ilvl="1">
      <w:start w:val="0"/>
      <w:numFmt w:val="bullet"/>
      <w:lvlText w:val="o"/>
      <w:lvlJc w:val="left"/>
      <w:pPr>
        <w:ind w:left="1440" w:hanging="360"/>
      </w:pPr>
    </w:lvl>
    <w:lvl w:ilvl="2">
      <w:start w:val="0"/>
      <w:numFmt w:val="bullet"/>
      <w:lvlText w:val=""/>
      <w:lvlJc w:val="left"/>
      <w:pPr>
        <w:ind w:left="2160" w:hanging="360"/>
      </w:pPr>
    </w:lvl>
    <w:lvl w:ilvl="3">
      <w:start w:val="0"/>
      <w:numFmt w:val="bullet"/>
      <w:lvlText w:val=""/>
      <w:lvlJc w:val="left"/>
      <w:pPr>
        <w:ind w:left="2880" w:hanging="360"/>
      </w:pPr>
    </w:lvl>
    <w:lvl w:ilvl="4">
      <w:start w:val="0"/>
      <w:numFmt w:val="bullet"/>
      <w:lvlText w:val="o"/>
      <w:lvlJc w:val="left"/>
      <w:pPr>
        <w:ind w:left="3600" w:hanging="360"/>
      </w:pPr>
    </w:lvl>
    <w:lvl w:ilvl="5">
      <w:start w:val="0"/>
      <w:numFmt w:val="bullet"/>
      <w:lvlText w:val=""/>
      <w:lvlJc w:val="left"/>
      <w:pPr>
        <w:ind w:left="4320" w:hanging="360"/>
      </w:pPr>
    </w:lvl>
    <w:lvl w:ilvl="6">
      <w:start w:val="0"/>
      <w:numFmt w:val="bullet"/>
      <w:lvlText w:val=""/>
      <w:lvlJc w:val="left"/>
      <w:pPr>
        <w:ind w:left="5040" w:hanging="360"/>
      </w:pPr>
    </w:lvl>
    <w:lvl w:ilvl="7">
      <w:start w:val="0"/>
      <w:numFmt w:val="bullet"/>
      <w:lvlText w:val="o"/>
      <w:lvlJc w:val="left"/>
      <w:pPr>
        <w:ind w:left="5760" w:hanging="360"/>
      </w:pPr>
    </w:lvl>
    <w:lvl w:ilvl="8">
      <w:start w:val="0"/>
      <w:numFmt w:val="bullet"/>
      <w:lvlText w:val=""/>
      <w:lvlJc w:val="left"/>
      <w:pPr>
        <w:ind w:left="6480" w:hanging="360"/>
      </w:pPr>
    </w:lvl>
  </w:abstractNum>
  <w:abstractNum w:abstractNumId="3">
    <w:nsid w:val="27A101C6"/>
    <w:multiLevelType w:val="multilevel"/>
    <w:tmpl w:val="89B0942E"/>
    <w:styleLink w:val="WWNum6"/>
    <w:lvl w:ilvl="0">
      <w:start w:val="0"/>
      <w:numFmt w:val="bullet"/>
      <w:lvlText w:val=""/>
      <w:lvlJc w:val="left"/>
      <w:pPr>
        <w:ind w:left="720" w:hanging="360"/>
      </w:pPr>
    </w:lvl>
    <w:lvl w:ilvl="1">
      <w:start w:val="0"/>
      <w:numFmt w:val="bullet"/>
      <w:lvlText w:val="o"/>
      <w:lvlJc w:val="left"/>
      <w:pPr>
        <w:ind w:left="1440" w:hanging="360"/>
      </w:pPr>
    </w:lvl>
    <w:lvl w:ilvl="2">
      <w:start w:val="0"/>
      <w:numFmt w:val="bullet"/>
      <w:lvlText w:val=""/>
      <w:lvlJc w:val="left"/>
      <w:pPr>
        <w:ind w:left="2160" w:hanging="360"/>
      </w:pPr>
    </w:lvl>
    <w:lvl w:ilvl="3">
      <w:start w:val="0"/>
      <w:numFmt w:val="bullet"/>
      <w:lvlText w:val=""/>
      <w:lvlJc w:val="left"/>
      <w:pPr>
        <w:ind w:left="2880" w:hanging="360"/>
      </w:pPr>
    </w:lvl>
    <w:lvl w:ilvl="4">
      <w:start w:val="0"/>
      <w:numFmt w:val="bullet"/>
      <w:lvlText w:val="o"/>
      <w:lvlJc w:val="left"/>
      <w:pPr>
        <w:ind w:left="3600" w:hanging="360"/>
      </w:pPr>
    </w:lvl>
    <w:lvl w:ilvl="5">
      <w:start w:val="0"/>
      <w:numFmt w:val="bullet"/>
      <w:lvlText w:val=""/>
      <w:lvlJc w:val="left"/>
      <w:pPr>
        <w:ind w:left="4320" w:hanging="360"/>
      </w:pPr>
    </w:lvl>
    <w:lvl w:ilvl="6">
      <w:start w:val="0"/>
      <w:numFmt w:val="bullet"/>
      <w:lvlText w:val=""/>
      <w:lvlJc w:val="left"/>
      <w:pPr>
        <w:ind w:left="5040" w:hanging="360"/>
      </w:pPr>
    </w:lvl>
    <w:lvl w:ilvl="7">
      <w:start w:val="0"/>
      <w:numFmt w:val="bullet"/>
      <w:lvlText w:val="o"/>
      <w:lvlJc w:val="left"/>
      <w:pPr>
        <w:ind w:left="5760" w:hanging="360"/>
      </w:pPr>
    </w:lvl>
    <w:lvl w:ilvl="8">
      <w:start w:val="0"/>
      <w:numFmt w:val="bullet"/>
      <w:lvlText w:val=""/>
      <w:lvlJc w:val="left"/>
      <w:pPr>
        <w:ind w:left="6480" w:hanging="360"/>
      </w:pPr>
    </w:lvl>
  </w:abstractNum>
  <w:abstractNum w:abstractNumId="4">
    <w:nsid w:val="2E5536FB"/>
    <w:multiLevelType w:val="multilevel"/>
    <w:tmpl w:val="0E76084A"/>
    <w:styleLink w:val="WWNum10"/>
    <w:lvl w:ilvl="0">
      <w:start w:val="0"/>
      <w:numFmt w:val="bullet"/>
      <w:lvlText w:val=""/>
      <w:lvlJc w:val="left"/>
      <w:pPr>
        <w:ind w:left="1428" w:hanging="360"/>
      </w:pPr>
    </w:lvl>
    <w:lvl w:ilvl="1">
      <w:start w:val="0"/>
      <w:numFmt w:val="bullet"/>
      <w:lvlText w:val="o"/>
      <w:lvlJc w:val="left"/>
      <w:pPr>
        <w:ind w:left="2148" w:hanging="360"/>
      </w:pPr>
    </w:lvl>
    <w:lvl w:ilvl="2">
      <w:start w:val="0"/>
      <w:numFmt w:val="bullet"/>
      <w:lvlText w:val=""/>
      <w:lvlJc w:val="left"/>
      <w:pPr>
        <w:ind w:left="2868" w:hanging="360"/>
      </w:pPr>
    </w:lvl>
    <w:lvl w:ilvl="3">
      <w:start w:val="0"/>
      <w:numFmt w:val="bullet"/>
      <w:lvlText w:val=""/>
      <w:lvlJc w:val="left"/>
      <w:pPr>
        <w:ind w:left="3588" w:hanging="360"/>
      </w:pPr>
    </w:lvl>
    <w:lvl w:ilvl="4">
      <w:start w:val="0"/>
      <w:numFmt w:val="bullet"/>
      <w:lvlText w:val="o"/>
      <w:lvlJc w:val="left"/>
      <w:pPr>
        <w:ind w:left="4308" w:hanging="360"/>
      </w:pPr>
    </w:lvl>
    <w:lvl w:ilvl="5">
      <w:start w:val="0"/>
      <w:numFmt w:val="bullet"/>
      <w:lvlText w:val=""/>
      <w:lvlJc w:val="left"/>
      <w:pPr>
        <w:ind w:left="5028" w:hanging="360"/>
      </w:pPr>
    </w:lvl>
    <w:lvl w:ilvl="6">
      <w:start w:val="0"/>
      <w:numFmt w:val="bullet"/>
      <w:lvlText w:val=""/>
      <w:lvlJc w:val="left"/>
      <w:pPr>
        <w:ind w:left="5748" w:hanging="360"/>
      </w:pPr>
    </w:lvl>
    <w:lvl w:ilvl="7">
      <w:start w:val="0"/>
      <w:numFmt w:val="bullet"/>
      <w:lvlText w:val="o"/>
      <w:lvlJc w:val="left"/>
      <w:pPr>
        <w:ind w:left="6468" w:hanging="360"/>
      </w:pPr>
    </w:lvl>
    <w:lvl w:ilvl="8">
      <w:start w:val="0"/>
      <w:numFmt w:val="bullet"/>
      <w:lvlText w:val=""/>
      <w:lvlJc w:val="left"/>
      <w:pPr>
        <w:ind w:left="7188" w:hanging="360"/>
      </w:pPr>
    </w:lvl>
  </w:abstractNum>
  <w:abstractNum w:abstractNumId="5">
    <w:nsid w:val="39B179FA"/>
    <w:multiLevelType w:val="multilevel"/>
    <w:tmpl w:val="7B10BA40"/>
    <w:styleLink w:val="WWNum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1.%2.%3."/>
      <w:lvlJc w:val="right"/>
      <w:pPr>
        <w:ind w:left="2160" w:hanging="180"/>
      </w:pPr>
      <w:rPr>
        <w:rFonts w:cs="Times New Roman"/>
        <w:rtl w:val="0"/>
        <w:cs w:val="0"/>
      </w:rPr>
    </w:lvl>
    <w:lvl w:ilvl="3">
      <w:start w:val="1"/>
      <w:numFmt w:val="decimal"/>
      <w:lvlText w:val="%1.%2.%3.%4."/>
      <w:lvlJc w:val="left"/>
      <w:pPr>
        <w:ind w:left="2880" w:hanging="360"/>
      </w:pPr>
      <w:rPr>
        <w:rFonts w:cs="Times New Roman"/>
        <w:rtl w:val="0"/>
        <w:cs w:val="0"/>
      </w:rPr>
    </w:lvl>
    <w:lvl w:ilvl="4">
      <w:start w:val="1"/>
      <w:numFmt w:val="lowerLetter"/>
      <w:lvlText w:val="%1.%2.%3.%4.%5."/>
      <w:lvlJc w:val="left"/>
      <w:pPr>
        <w:ind w:left="3600" w:hanging="360"/>
      </w:pPr>
      <w:rPr>
        <w:rFonts w:cs="Times New Roman"/>
        <w:rtl w:val="0"/>
        <w:cs w:val="0"/>
      </w:rPr>
    </w:lvl>
    <w:lvl w:ilvl="5">
      <w:start w:val="1"/>
      <w:numFmt w:val="lowerRoman"/>
      <w:lvlText w:val="%1.%2.%3.%4.%5.%6."/>
      <w:lvlJc w:val="right"/>
      <w:pPr>
        <w:ind w:left="4320" w:hanging="180"/>
      </w:pPr>
      <w:rPr>
        <w:rFonts w:cs="Times New Roman"/>
        <w:rtl w:val="0"/>
        <w:cs w:val="0"/>
      </w:rPr>
    </w:lvl>
    <w:lvl w:ilvl="6">
      <w:start w:val="1"/>
      <w:numFmt w:val="decimal"/>
      <w:lvlText w:val="%1.%2.%3.%4.%5.%6.%7."/>
      <w:lvlJc w:val="left"/>
      <w:pPr>
        <w:ind w:left="5040" w:hanging="360"/>
      </w:pPr>
      <w:rPr>
        <w:rFonts w:cs="Times New Roman"/>
        <w:rtl w:val="0"/>
        <w:cs w:val="0"/>
      </w:rPr>
    </w:lvl>
    <w:lvl w:ilvl="7">
      <w:start w:val="1"/>
      <w:numFmt w:val="lowerLetter"/>
      <w:lvlText w:val="%1.%2.%3.%4.%5.%6.%7.%8."/>
      <w:lvlJc w:val="left"/>
      <w:pPr>
        <w:ind w:left="5760" w:hanging="360"/>
      </w:pPr>
      <w:rPr>
        <w:rFonts w:cs="Times New Roman"/>
        <w:rtl w:val="0"/>
        <w:cs w:val="0"/>
      </w:rPr>
    </w:lvl>
    <w:lvl w:ilvl="8">
      <w:start w:val="1"/>
      <w:numFmt w:val="lowerRoman"/>
      <w:lvlText w:val="%1.%2.%3.%4.%5.%6.%7.%8.%9."/>
      <w:lvlJc w:val="right"/>
      <w:pPr>
        <w:ind w:left="6480" w:hanging="180"/>
      </w:pPr>
      <w:rPr>
        <w:rFonts w:cs="Times New Roman"/>
        <w:rtl w:val="0"/>
        <w:cs w:val="0"/>
      </w:rPr>
    </w:lvl>
  </w:abstractNum>
  <w:abstractNum w:abstractNumId="6">
    <w:nsid w:val="3DB451F6"/>
    <w:multiLevelType w:val="multilevel"/>
    <w:tmpl w:val="2F2CFA30"/>
    <w:styleLink w:val="WWNum1"/>
    <w:lvl w:ilvl="0">
      <w:start w:val="0"/>
      <w:numFmt w:val="bullet"/>
      <w:lvlText w:val="­"/>
      <w:lvlJc w:val="left"/>
      <w:pPr>
        <w:ind w:left="720" w:hanging="360"/>
      </w:pPr>
    </w:lvl>
    <w:lvl w:ilvl="1">
      <w:start w:val="0"/>
      <w:numFmt w:val="bullet"/>
      <w:lvlText w:val="o"/>
      <w:lvlJc w:val="left"/>
      <w:pPr>
        <w:ind w:left="1440" w:hanging="360"/>
      </w:pPr>
    </w:lvl>
    <w:lvl w:ilvl="2">
      <w:start w:val="0"/>
      <w:numFmt w:val="bullet"/>
      <w:lvlText w:val=""/>
      <w:lvlJc w:val="left"/>
      <w:pPr>
        <w:ind w:left="2160" w:hanging="360"/>
      </w:pPr>
    </w:lvl>
    <w:lvl w:ilvl="3">
      <w:start w:val="0"/>
      <w:numFmt w:val="bullet"/>
      <w:lvlText w:val=""/>
      <w:lvlJc w:val="left"/>
      <w:pPr>
        <w:ind w:left="2880" w:hanging="360"/>
      </w:pPr>
    </w:lvl>
    <w:lvl w:ilvl="4">
      <w:start w:val="0"/>
      <w:numFmt w:val="bullet"/>
      <w:lvlText w:val="o"/>
      <w:lvlJc w:val="left"/>
      <w:pPr>
        <w:ind w:left="3600" w:hanging="360"/>
      </w:pPr>
    </w:lvl>
    <w:lvl w:ilvl="5">
      <w:start w:val="0"/>
      <w:numFmt w:val="bullet"/>
      <w:lvlText w:val=""/>
      <w:lvlJc w:val="left"/>
      <w:pPr>
        <w:ind w:left="4320" w:hanging="360"/>
      </w:pPr>
    </w:lvl>
    <w:lvl w:ilvl="6">
      <w:start w:val="0"/>
      <w:numFmt w:val="bullet"/>
      <w:lvlText w:val=""/>
      <w:lvlJc w:val="left"/>
      <w:pPr>
        <w:ind w:left="5040" w:hanging="360"/>
      </w:pPr>
    </w:lvl>
    <w:lvl w:ilvl="7">
      <w:start w:val="0"/>
      <w:numFmt w:val="bullet"/>
      <w:lvlText w:val="o"/>
      <w:lvlJc w:val="left"/>
      <w:pPr>
        <w:ind w:left="5760" w:hanging="360"/>
      </w:pPr>
    </w:lvl>
    <w:lvl w:ilvl="8">
      <w:start w:val="0"/>
      <w:numFmt w:val="bullet"/>
      <w:lvlText w:val=""/>
      <w:lvlJc w:val="left"/>
      <w:pPr>
        <w:ind w:left="6480" w:hanging="360"/>
      </w:pPr>
    </w:lvl>
  </w:abstractNum>
  <w:abstractNum w:abstractNumId="7">
    <w:nsid w:val="41F515FF"/>
    <w:multiLevelType w:val="multilevel"/>
    <w:tmpl w:val="1F4E586A"/>
    <w:styleLink w:val="WWNum11"/>
    <w:lvl w:ilvl="0">
      <w:start w:val="0"/>
      <w:numFmt w:val="bullet"/>
      <w:lvlText w:val=""/>
      <w:lvlJc w:val="left"/>
      <w:pPr>
        <w:ind w:left="1428" w:hanging="360"/>
      </w:pPr>
    </w:lvl>
    <w:lvl w:ilvl="1">
      <w:start w:val="0"/>
      <w:numFmt w:val="bullet"/>
      <w:lvlText w:val="o"/>
      <w:lvlJc w:val="left"/>
      <w:pPr>
        <w:ind w:left="2148" w:hanging="360"/>
      </w:pPr>
    </w:lvl>
    <w:lvl w:ilvl="2">
      <w:start w:val="0"/>
      <w:numFmt w:val="bullet"/>
      <w:lvlText w:val=""/>
      <w:lvlJc w:val="left"/>
      <w:pPr>
        <w:ind w:left="2868" w:hanging="360"/>
      </w:pPr>
    </w:lvl>
    <w:lvl w:ilvl="3">
      <w:start w:val="0"/>
      <w:numFmt w:val="bullet"/>
      <w:lvlText w:val=""/>
      <w:lvlJc w:val="left"/>
      <w:pPr>
        <w:ind w:left="3588" w:hanging="360"/>
      </w:pPr>
    </w:lvl>
    <w:lvl w:ilvl="4">
      <w:start w:val="0"/>
      <w:numFmt w:val="bullet"/>
      <w:lvlText w:val="o"/>
      <w:lvlJc w:val="left"/>
      <w:pPr>
        <w:ind w:left="4308" w:hanging="360"/>
      </w:pPr>
    </w:lvl>
    <w:lvl w:ilvl="5">
      <w:start w:val="0"/>
      <w:numFmt w:val="bullet"/>
      <w:lvlText w:val=""/>
      <w:lvlJc w:val="left"/>
      <w:pPr>
        <w:ind w:left="5028" w:hanging="360"/>
      </w:pPr>
    </w:lvl>
    <w:lvl w:ilvl="6">
      <w:start w:val="0"/>
      <w:numFmt w:val="bullet"/>
      <w:lvlText w:val=""/>
      <w:lvlJc w:val="left"/>
      <w:pPr>
        <w:ind w:left="5748" w:hanging="360"/>
      </w:pPr>
    </w:lvl>
    <w:lvl w:ilvl="7">
      <w:start w:val="0"/>
      <w:numFmt w:val="bullet"/>
      <w:lvlText w:val="o"/>
      <w:lvlJc w:val="left"/>
      <w:pPr>
        <w:ind w:left="6468" w:hanging="360"/>
      </w:pPr>
    </w:lvl>
    <w:lvl w:ilvl="8">
      <w:start w:val="0"/>
      <w:numFmt w:val="bullet"/>
      <w:lvlText w:val=""/>
      <w:lvlJc w:val="left"/>
      <w:pPr>
        <w:ind w:left="7188" w:hanging="360"/>
      </w:pPr>
    </w:lvl>
  </w:abstractNum>
  <w:abstractNum w:abstractNumId="8">
    <w:nsid w:val="4CAD4FF6"/>
    <w:multiLevelType w:val="multilevel"/>
    <w:tmpl w:val="C74EAC9C"/>
    <w:styleLink w:val="WWNum5"/>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1.%2.%3."/>
      <w:lvlJc w:val="right"/>
      <w:pPr>
        <w:ind w:left="2160" w:hanging="180"/>
      </w:pPr>
      <w:rPr>
        <w:rFonts w:cs="Times New Roman"/>
        <w:rtl w:val="0"/>
        <w:cs w:val="0"/>
      </w:rPr>
    </w:lvl>
    <w:lvl w:ilvl="3">
      <w:start w:val="1"/>
      <w:numFmt w:val="decimal"/>
      <w:lvlText w:val="%1.%2.%3.%4."/>
      <w:lvlJc w:val="left"/>
      <w:pPr>
        <w:ind w:left="2880" w:hanging="360"/>
      </w:pPr>
      <w:rPr>
        <w:rFonts w:cs="Times New Roman"/>
        <w:rtl w:val="0"/>
        <w:cs w:val="0"/>
      </w:rPr>
    </w:lvl>
    <w:lvl w:ilvl="4">
      <w:start w:val="1"/>
      <w:numFmt w:val="lowerLetter"/>
      <w:lvlText w:val="%1.%2.%3.%4.%5."/>
      <w:lvlJc w:val="left"/>
      <w:pPr>
        <w:ind w:left="3600" w:hanging="360"/>
      </w:pPr>
      <w:rPr>
        <w:rFonts w:cs="Times New Roman"/>
        <w:rtl w:val="0"/>
        <w:cs w:val="0"/>
      </w:rPr>
    </w:lvl>
    <w:lvl w:ilvl="5">
      <w:start w:val="1"/>
      <w:numFmt w:val="lowerRoman"/>
      <w:lvlText w:val="%1.%2.%3.%4.%5.%6."/>
      <w:lvlJc w:val="right"/>
      <w:pPr>
        <w:ind w:left="4320" w:hanging="180"/>
      </w:pPr>
      <w:rPr>
        <w:rFonts w:cs="Times New Roman"/>
        <w:rtl w:val="0"/>
        <w:cs w:val="0"/>
      </w:rPr>
    </w:lvl>
    <w:lvl w:ilvl="6">
      <w:start w:val="1"/>
      <w:numFmt w:val="decimal"/>
      <w:lvlText w:val="%1.%2.%3.%4.%5.%6.%7."/>
      <w:lvlJc w:val="left"/>
      <w:pPr>
        <w:ind w:left="5040" w:hanging="360"/>
      </w:pPr>
      <w:rPr>
        <w:rFonts w:cs="Times New Roman"/>
        <w:rtl w:val="0"/>
        <w:cs w:val="0"/>
      </w:rPr>
    </w:lvl>
    <w:lvl w:ilvl="7">
      <w:start w:val="1"/>
      <w:numFmt w:val="lowerLetter"/>
      <w:lvlText w:val="%1.%2.%3.%4.%5.%6.%7.%8."/>
      <w:lvlJc w:val="left"/>
      <w:pPr>
        <w:ind w:left="5760" w:hanging="360"/>
      </w:pPr>
      <w:rPr>
        <w:rFonts w:cs="Times New Roman"/>
        <w:rtl w:val="0"/>
        <w:cs w:val="0"/>
      </w:rPr>
    </w:lvl>
    <w:lvl w:ilvl="8">
      <w:start w:val="1"/>
      <w:numFmt w:val="lowerRoman"/>
      <w:lvlText w:val="%1.%2.%3.%4.%5.%6.%7.%8.%9."/>
      <w:lvlJc w:val="right"/>
      <w:pPr>
        <w:ind w:left="6480" w:hanging="180"/>
      </w:pPr>
      <w:rPr>
        <w:rFonts w:cs="Times New Roman"/>
        <w:rtl w:val="0"/>
        <w:cs w:val="0"/>
      </w:rPr>
    </w:lvl>
  </w:abstractNum>
  <w:abstractNum w:abstractNumId="9">
    <w:nsid w:val="50602D0B"/>
    <w:multiLevelType w:val="multilevel"/>
    <w:tmpl w:val="5DE81B1C"/>
    <w:styleLink w:val="WWNum9"/>
    <w:lvl w:ilvl="0">
      <w:start w:val="0"/>
      <w:numFmt w:val="bullet"/>
      <w:lvlText w:val=""/>
      <w:lvlJc w:val="left"/>
      <w:pPr>
        <w:ind w:left="1440" w:hanging="360"/>
      </w:pPr>
    </w:lvl>
    <w:lvl w:ilvl="1">
      <w:start w:val="0"/>
      <w:numFmt w:val="bullet"/>
      <w:lvlText w:val="o"/>
      <w:lvlJc w:val="left"/>
      <w:pPr>
        <w:ind w:left="2160" w:hanging="360"/>
      </w:pPr>
    </w:lvl>
    <w:lvl w:ilvl="2">
      <w:start w:val="0"/>
      <w:numFmt w:val="bullet"/>
      <w:lvlText w:val=""/>
      <w:lvlJc w:val="left"/>
      <w:pPr>
        <w:ind w:left="2880" w:hanging="360"/>
      </w:pPr>
    </w:lvl>
    <w:lvl w:ilvl="3">
      <w:start w:val="0"/>
      <w:numFmt w:val="bullet"/>
      <w:lvlText w:val=""/>
      <w:lvlJc w:val="left"/>
      <w:pPr>
        <w:ind w:left="3600" w:hanging="360"/>
      </w:pPr>
    </w:lvl>
    <w:lvl w:ilvl="4">
      <w:start w:val="0"/>
      <w:numFmt w:val="bullet"/>
      <w:lvlText w:val="o"/>
      <w:lvlJc w:val="left"/>
      <w:pPr>
        <w:ind w:left="4320" w:hanging="360"/>
      </w:pPr>
    </w:lvl>
    <w:lvl w:ilvl="5">
      <w:start w:val="0"/>
      <w:numFmt w:val="bullet"/>
      <w:lvlText w:val=""/>
      <w:lvlJc w:val="left"/>
      <w:pPr>
        <w:ind w:left="5040" w:hanging="360"/>
      </w:pPr>
    </w:lvl>
    <w:lvl w:ilvl="6">
      <w:start w:val="0"/>
      <w:numFmt w:val="bullet"/>
      <w:lvlText w:val=""/>
      <w:lvlJc w:val="left"/>
      <w:pPr>
        <w:ind w:left="5760" w:hanging="360"/>
      </w:pPr>
    </w:lvl>
    <w:lvl w:ilvl="7">
      <w:start w:val="0"/>
      <w:numFmt w:val="bullet"/>
      <w:lvlText w:val="o"/>
      <w:lvlJc w:val="left"/>
      <w:pPr>
        <w:ind w:left="6480" w:hanging="360"/>
      </w:pPr>
    </w:lvl>
    <w:lvl w:ilvl="8">
      <w:start w:val="0"/>
      <w:numFmt w:val="bullet"/>
      <w:lvlText w:val=""/>
      <w:lvlJc w:val="left"/>
      <w:pPr>
        <w:ind w:left="7200" w:hanging="360"/>
      </w:pPr>
    </w:lvl>
  </w:abstractNum>
  <w:abstractNum w:abstractNumId="10">
    <w:nsid w:val="635B62B8"/>
    <w:multiLevelType w:val="multilevel"/>
    <w:tmpl w:val="F57C472E"/>
    <w:styleLink w:val="WWNum2"/>
    <w:lvl w:ilvl="0">
      <w:start w:val="0"/>
      <w:numFmt w:val="bullet"/>
      <w:lvlText w:val="­"/>
      <w:lvlJc w:val="left"/>
      <w:pPr>
        <w:ind w:left="720" w:hanging="360"/>
      </w:pPr>
    </w:lvl>
    <w:lvl w:ilvl="1">
      <w:start w:val="0"/>
      <w:numFmt w:val="bullet"/>
      <w:lvlText w:val="o"/>
      <w:lvlJc w:val="left"/>
      <w:pPr>
        <w:ind w:left="1440" w:hanging="360"/>
      </w:pPr>
    </w:lvl>
    <w:lvl w:ilvl="2">
      <w:start w:val="0"/>
      <w:numFmt w:val="bullet"/>
      <w:lvlText w:val=""/>
      <w:lvlJc w:val="left"/>
      <w:pPr>
        <w:ind w:left="2160" w:hanging="360"/>
      </w:pPr>
    </w:lvl>
    <w:lvl w:ilvl="3">
      <w:start w:val="0"/>
      <w:numFmt w:val="bullet"/>
      <w:lvlText w:val=""/>
      <w:lvlJc w:val="left"/>
      <w:pPr>
        <w:ind w:left="2880" w:hanging="360"/>
      </w:pPr>
    </w:lvl>
    <w:lvl w:ilvl="4">
      <w:start w:val="0"/>
      <w:numFmt w:val="bullet"/>
      <w:lvlText w:val="o"/>
      <w:lvlJc w:val="left"/>
      <w:pPr>
        <w:ind w:left="3600" w:hanging="360"/>
      </w:pPr>
    </w:lvl>
    <w:lvl w:ilvl="5">
      <w:start w:val="0"/>
      <w:numFmt w:val="bullet"/>
      <w:lvlText w:val=""/>
      <w:lvlJc w:val="left"/>
      <w:pPr>
        <w:ind w:left="4320" w:hanging="360"/>
      </w:pPr>
    </w:lvl>
    <w:lvl w:ilvl="6">
      <w:start w:val="0"/>
      <w:numFmt w:val="bullet"/>
      <w:lvlText w:val=""/>
      <w:lvlJc w:val="left"/>
      <w:pPr>
        <w:ind w:left="5040" w:hanging="360"/>
      </w:pPr>
    </w:lvl>
    <w:lvl w:ilvl="7">
      <w:start w:val="0"/>
      <w:numFmt w:val="bullet"/>
      <w:lvlText w:val="o"/>
      <w:lvlJc w:val="left"/>
      <w:pPr>
        <w:ind w:left="5760" w:hanging="360"/>
      </w:pPr>
    </w:lvl>
    <w:lvl w:ilvl="8">
      <w:start w:val="0"/>
      <w:numFmt w:val="bullet"/>
      <w:lvlText w:val=""/>
      <w:lvlJc w:val="left"/>
      <w:pPr>
        <w:ind w:left="6480" w:hanging="360"/>
      </w:pPr>
    </w:lvl>
  </w:abstractNum>
  <w:abstractNum w:abstractNumId="11">
    <w:nsid w:val="6AB27FD3"/>
    <w:multiLevelType w:val="multilevel"/>
    <w:tmpl w:val="2CA40B60"/>
    <w:styleLink w:val="WWNum8"/>
    <w:lvl w:ilvl="0">
      <w:start w:val="0"/>
      <w:numFmt w:val="bullet"/>
      <w:lvlText w:val=""/>
      <w:lvlJc w:val="left"/>
      <w:pPr>
        <w:ind w:left="1428" w:hanging="360"/>
      </w:pPr>
    </w:lvl>
    <w:lvl w:ilvl="1">
      <w:start w:val="0"/>
      <w:numFmt w:val="bullet"/>
      <w:lvlText w:val="o"/>
      <w:lvlJc w:val="left"/>
      <w:pPr>
        <w:ind w:left="2148" w:hanging="360"/>
      </w:pPr>
    </w:lvl>
    <w:lvl w:ilvl="2">
      <w:start w:val="0"/>
      <w:numFmt w:val="bullet"/>
      <w:lvlText w:val=""/>
      <w:lvlJc w:val="left"/>
      <w:pPr>
        <w:ind w:left="2868" w:hanging="360"/>
      </w:pPr>
    </w:lvl>
    <w:lvl w:ilvl="3">
      <w:start w:val="0"/>
      <w:numFmt w:val="bullet"/>
      <w:lvlText w:val=""/>
      <w:lvlJc w:val="left"/>
      <w:pPr>
        <w:ind w:left="3588" w:hanging="360"/>
      </w:pPr>
    </w:lvl>
    <w:lvl w:ilvl="4">
      <w:start w:val="0"/>
      <w:numFmt w:val="bullet"/>
      <w:lvlText w:val="o"/>
      <w:lvlJc w:val="left"/>
      <w:pPr>
        <w:ind w:left="4308" w:hanging="360"/>
      </w:pPr>
    </w:lvl>
    <w:lvl w:ilvl="5">
      <w:start w:val="0"/>
      <w:numFmt w:val="bullet"/>
      <w:lvlText w:val=""/>
      <w:lvlJc w:val="left"/>
      <w:pPr>
        <w:ind w:left="5028" w:hanging="360"/>
      </w:pPr>
    </w:lvl>
    <w:lvl w:ilvl="6">
      <w:start w:val="0"/>
      <w:numFmt w:val="bullet"/>
      <w:lvlText w:val=""/>
      <w:lvlJc w:val="left"/>
      <w:pPr>
        <w:ind w:left="5748" w:hanging="360"/>
      </w:pPr>
    </w:lvl>
    <w:lvl w:ilvl="7">
      <w:start w:val="0"/>
      <w:numFmt w:val="bullet"/>
      <w:lvlText w:val="o"/>
      <w:lvlJc w:val="left"/>
      <w:pPr>
        <w:ind w:left="6468" w:hanging="360"/>
      </w:pPr>
    </w:lvl>
    <w:lvl w:ilvl="8">
      <w:start w:val="0"/>
      <w:numFmt w:val="bullet"/>
      <w:lvlText w:val=""/>
      <w:lvlJc w:val="left"/>
      <w:pPr>
        <w:ind w:left="7188" w:hanging="360"/>
      </w:pPr>
    </w:lvl>
  </w:abstractNum>
  <w:abstractNum w:abstractNumId="12">
    <w:nsid w:val="777F1BB3"/>
    <w:multiLevelType w:val="hybridMultilevel"/>
    <w:tmpl w:val="D11CC8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10"/>
  </w:num>
  <w:num w:numId="3">
    <w:abstractNumId w:val="0"/>
  </w:num>
  <w:num w:numId="4">
    <w:abstractNumId w:val="5"/>
  </w:num>
  <w:num w:numId="5">
    <w:abstractNumId w:val="8"/>
  </w:num>
  <w:num w:numId="6">
    <w:abstractNumId w:val="3"/>
  </w:num>
  <w:num w:numId="7">
    <w:abstractNumId w:val="2"/>
  </w:num>
  <w:num w:numId="8">
    <w:abstractNumId w:val="11"/>
  </w:num>
  <w:num w:numId="9">
    <w:abstractNumId w:val="9"/>
  </w:num>
  <w:num w:numId="10">
    <w:abstractNumId w:val="4"/>
  </w:num>
  <w:num w:numId="11">
    <w:abstractNumId w:val="7"/>
  </w:num>
  <w:num w:numId="12">
    <w:abstractNumId w:val="1"/>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autoHyphenation/>
  <w:hyphenationZone w:val="425"/>
  <w:characterSpacingControl w:val="doNotCompress"/>
  <w:compat>
    <w:useFELayout/>
    <w:doNotUseIndentAsNumberingTabStop/>
    <w:allowSpaceOfSameStyleInTable/>
    <w:splitPgBreakAndParaMark/>
    <w:useAnsiKerningPairs/>
  </w:compat>
  <w:rsids>
    <w:rsidRoot w:val="002010D1"/>
    <w:rsid w:val="00021A0F"/>
    <w:rsid w:val="00026598"/>
    <w:rsid w:val="00051FE4"/>
    <w:rsid w:val="0008307B"/>
    <w:rsid w:val="000E0B7E"/>
    <w:rsid w:val="000E2083"/>
    <w:rsid w:val="000F0F7C"/>
    <w:rsid w:val="00136B52"/>
    <w:rsid w:val="0013704D"/>
    <w:rsid w:val="00150B75"/>
    <w:rsid w:val="00193F28"/>
    <w:rsid w:val="001A4CC4"/>
    <w:rsid w:val="001D6995"/>
    <w:rsid w:val="001F2BB5"/>
    <w:rsid w:val="002010D1"/>
    <w:rsid w:val="002239B1"/>
    <w:rsid w:val="0024404E"/>
    <w:rsid w:val="002462BD"/>
    <w:rsid w:val="00287039"/>
    <w:rsid w:val="00290F79"/>
    <w:rsid w:val="00291ACF"/>
    <w:rsid w:val="00294266"/>
    <w:rsid w:val="002B5BC3"/>
    <w:rsid w:val="003307CE"/>
    <w:rsid w:val="003624F4"/>
    <w:rsid w:val="0038187D"/>
    <w:rsid w:val="003858E1"/>
    <w:rsid w:val="003C0B09"/>
    <w:rsid w:val="003D0EDD"/>
    <w:rsid w:val="003E100A"/>
    <w:rsid w:val="003E4350"/>
    <w:rsid w:val="0042792A"/>
    <w:rsid w:val="004465DC"/>
    <w:rsid w:val="00450B15"/>
    <w:rsid w:val="0046140A"/>
    <w:rsid w:val="0046684B"/>
    <w:rsid w:val="004C0285"/>
    <w:rsid w:val="004C2C54"/>
    <w:rsid w:val="004F6F4B"/>
    <w:rsid w:val="00522F3F"/>
    <w:rsid w:val="00545B15"/>
    <w:rsid w:val="005B5FDF"/>
    <w:rsid w:val="00635B4B"/>
    <w:rsid w:val="00654ED2"/>
    <w:rsid w:val="00657906"/>
    <w:rsid w:val="00660053"/>
    <w:rsid w:val="006853A3"/>
    <w:rsid w:val="006942E9"/>
    <w:rsid w:val="006B06ED"/>
    <w:rsid w:val="006B509C"/>
    <w:rsid w:val="006E5496"/>
    <w:rsid w:val="007D55CF"/>
    <w:rsid w:val="007F78C0"/>
    <w:rsid w:val="007F7F6C"/>
    <w:rsid w:val="00803A5B"/>
    <w:rsid w:val="00873A60"/>
    <w:rsid w:val="00912E04"/>
    <w:rsid w:val="00963E69"/>
    <w:rsid w:val="00970391"/>
    <w:rsid w:val="00974839"/>
    <w:rsid w:val="009D4EF4"/>
    <w:rsid w:val="009E3992"/>
    <w:rsid w:val="009E3EBE"/>
    <w:rsid w:val="00A03364"/>
    <w:rsid w:val="00A03BA5"/>
    <w:rsid w:val="00A36C34"/>
    <w:rsid w:val="00A7777D"/>
    <w:rsid w:val="00A91F98"/>
    <w:rsid w:val="00AA435C"/>
    <w:rsid w:val="00AD2EE8"/>
    <w:rsid w:val="00AF2073"/>
    <w:rsid w:val="00AF207C"/>
    <w:rsid w:val="00B050EF"/>
    <w:rsid w:val="00B20005"/>
    <w:rsid w:val="00B26D32"/>
    <w:rsid w:val="00B44178"/>
    <w:rsid w:val="00B52EB5"/>
    <w:rsid w:val="00B5498B"/>
    <w:rsid w:val="00B73976"/>
    <w:rsid w:val="00B75CD8"/>
    <w:rsid w:val="00BB04EE"/>
    <w:rsid w:val="00BC5FB7"/>
    <w:rsid w:val="00BE74D9"/>
    <w:rsid w:val="00BF4DDA"/>
    <w:rsid w:val="00C12883"/>
    <w:rsid w:val="00C277DF"/>
    <w:rsid w:val="00C7061E"/>
    <w:rsid w:val="00C822BE"/>
    <w:rsid w:val="00CB660B"/>
    <w:rsid w:val="00D15B7F"/>
    <w:rsid w:val="00D31BA1"/>
    <w:rsid w:val="00D4182C"/>
    <w:rsid w:val="00DD6DF5"/>
    <w:rsid w:val="00E053F1"/>
    <w:rsid w:val="00EB7BD1"/>
    <w:rsid w:val="00EC37F8"/>
    <w:rsid w:val="00F05867"/>
    <w:rsid w:val="00F507E8"/>
    <w:rsid w:val="00F639C0"/>
    <w:rsid w:val="00FB20D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suppressAutoHyphens/>
      <w:autoSpaceDE/>
      <w:autoSpaceDN w:val="0"/>
      <w:adjustRightInd/>
      <w:spacing w:after="200" w:line="276" w:lineRule="auto"/>
      <w:ind w:left="0" w:right="0"/>
      <w:jc w:val="left"/>
      <w:textAlignment w:val="baseline"/>
    </w:pPr>
    <w:rPr>
      <w:rFonts w:ascii="Calibri" w:eastAsia="SimSun" w:hAnsi="Calibri" w:cs="Tahoma"/>
      <w:kern w:val="3"/>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framePr w:wrap="auto"/>
      <w:widowControl/>
      <w:suppressAutoHyphens/>
      <w:autoSpaceDE/>
      <w:autoSpaceDN w:val="0"/>
      <w:adjustRightInd/>
      <w:ind w:left="0" w:right="0"/>
      <w:jc w:val="left"/>
      <w:textAlignment w:val="baseline"/>
    </w:pPr>
    <w:rPr>
      <w:rFonts w:cs="Times New Roman"/>
      <w:kern w:val="3"/>
      <w:sz w:val="20"/>
      <w:szCs w:val="20"/>
      <w:rtl w:val="0"/>
      <w:cs w:val="0"/>
      <w:lang w:val="sk-SK" w:eastAsia="sk-SK" w:bidi="ar-SA"/>
    </w:rPr>
  </w:style>
  <w:style w:type="paragraph" w:styleId="Title">
    <w:name w:val="Title"/>
    <w:basedOn w:val="Standard"/>
    <w:next w:val="Textbody"/>
    <w:pPr>
      <w:keepNext/>
      <w:spacing w:before="240" w:after="120"/>
      <w:jc w:val="left"/>
    </w:pPr>
    <w:rPr>
      <w:rFonts w:ascii="Arial" w:eastAsia="Microsoft YaHei" w:hAnsi="Arial" w:cs="Lucida Sans"/>
      <w:sz w:val="28"/>
      <w:szCs w:val="28"/>
    </w:rPr>
  </w:style>
  <w:style w:type="paragraph" w:customStyle="1" w:styleId="Textbody">
    <w:name w:val="Text body"/>
    <w:basedOn w:val="Standard"/>
    <w:pPr>
      <w:spacing w:after="120"/>
      <w:jc w:val="left"/>
    </w:pPr>
  </w:style>
  <w:style w:type="paragraph" w:styleId="Subtitle">
    <w:name w:val="Subtitle"/>
    <w:basedOn w:val="Title"/>
    <w:next w:val="Textbody"/>
    <w:pPr>
      <w:jc w:val="center"/>
    </w:pPr>
    <w:rPr>
      <w:i/>
      <w:iCs/>
    </w:rPr>
  </w:style>
  <w:style w:type="paragraph" w:styleId="List">
    <w:name w:val="List"/>
    <w:basedOn w:val="Textbody"/>
    <w:pPr>
      <w:jc w:val="left"/>
    </w:pPr>
    <w:rPr>
      <w:rFonts w:cs="Lucida Sans"/>
    </w:rPr>
  </w:style>
  <w:style w:type="paragraph" w:styleId="Caption">
    <w:name w:val="caption"/>
    <w:basedOn w:val="Standard"/>
    <w:pPr>
      <w:suppressLineNumbers/>
      <w:spacing w:before="120" w:after="120"/>
      <w:jc w:val="left"/>
    </w:pPr>
    <w:rPr>
      <w:rFonts w:cs="Lucida Sans"/>
      <w:i/>
      <w:iCs/>
      <w:sz w:val="24"/>
      <w:szCs w:val="24"/>
    </w:rPr>
  </w:style>
  <w:style w:type="paragraph" w:customStyle="1" w:styleId="Index">
    <w:name w:val="Index"/>
    <w:basedOn w:val="Standard"/>
    <w:pPr>
      <w:suppressLineNumbers/>
      <w:jc w:val="left"/>
    </w:pPr>
    <w:rPr>
      <w:rFonts w:cs="Lucida Sans"/>
    </w:rPr>
  </w:style>
  <w:style w:type="paragraph" w:styleId="ListParagraph">
    <w:name w:val="List Paragraph"/>
    <w:basedOn w:val="Standard"/>
    <w:uiPriority w:val="34"/>
    <w:qFormat/>
    <w:pPr>
      <w:spacing w:after="200" w:line="276" w:lineRule="auto"/>
      <w:ind w:left="720"/>
      <w:jc w:val="left"/>
    </w:pPr>
    <w:rPr>
      <w:rFonts w:ascii="Calibri" w:hAnsi="Calibri"/>
      <w:sz w:val="22"/>
      <w:szCs w:val="22"/>
      <w:lang w:eastAsia="en-US"/>
    </w:rPr>
  </w:style>
  <w:style w:type="paragraph" w:customStyle="1" w:styleId="BodyText1">
    <w:name w:val="Body Text1"/>
    <w:pPr>
      <w:framePr w:wrap="auto"/>
      <w:widowControl/>
      <w:suppressAutoHyphens/>
      <w:autoSpaceDE/>
      <w:autoSpaceDN w:val="0"/>
      <w:adjustRightInd/>
      <w:spacing w:after="120"/>
      <w:ind w:left="0" w:right="0"/>
      <w:jc w:val="left"/>
      <w:textAlignment w:val="baseline"/>
    </w:pPr>
    <w:rPr>
      <w:rFonts w:ascii="Arial" w:hAnsi="Arial" w:cs="Times New Roman"/>
      <w:color w:val="000000"/>
      <w:kern w:val="3"/>
      <w:sz w:val="19"/>
      <w:szCs w:val="48"/>
      <w:rtl w:val="0"/>
      <w:cs w:val="0"/>
      <w:lang w:val="sk-SK" w:eastAsia="en-US" w:bidi="ar-SA"/>
    </w:rPr>
  </w:style>
  <w:style w:type="paragraph" w:styleId="NormalWeb">
    <w:name w:val="Normal (Web)"/>
    <w:basedOn w:val="Standard"/>
    <w:pPr>
      <w:spacing w:before="100" w:after="100"/>
      <w:jc w:val="left"/>
    </w:pPr>
    <w:rPr>
      <w:sz w:val="24"/>
      <w:szCs w:val="24"/>
      <w:lang w:val="en-US" w:eastAsia="en-US"/>
    </w:rPr>
  </w:style>
  <w:style w:type="paragraph" w:customStyle="1" w:styleId="Deloittebodytext">
    <w:name w:val="Deloitte body text"/>
    <w:pPr>
      <w:framePr w:wrap="auto"/>
      <w:widowControl/>
      <w:suppressAutoHyphens/>
      <w:autoSpaceDE/>
      <w:autoSpaceDN w:val="0"/>
      <w:adjustRightInd/>
      <w:spacing w:after="240" w:line="280" w:lineRule="exact"/>
      <w:ind w:left="0" w:right="0"/>
      <w:jc w:val="both"/>
      <w:textAlignment w:val="baseline"/>
    </w:pPr>
    <w:rPr>
      <w:rFonts w:ascii="Arial" w:hAnsi="Arial" w:cs="Times New Roman"/>
      <w:color w:val="000000"/>
      <w:kern w:val="3"/>
      <w:sz w:val="22"/>
      <w:szCs w:val="48"/>
      <w:rtl w:val="0"/>
      <w:cs w:val="0"/>
      <w:lang w:val="sk-SK" w:eastAsia="en-US" w:bidi="ar-SA"/>
    </w:rPr>
  </w:style>
  <w:style w:type="paragraph" w:customStyle="1" w:styleId="TableColumnheader">
    <w:name w:val="Table Column header"/>
    <w:basedOn w:val="Standard"/>
    <w:pPr>
      <w:spacing w:before="80" w:after="80"/>
      <w:jc w:val="left"/>
    </w:pPr>
    <w:rPr>
      <w:rFonts w:ascii="Arial" w:eastAsia="Times" w:hAnsi="Arial"/>
      <w:b/>
      <w:color w:val="FFFFFF"/>
      <w:sz w:val="18"/>
      <w:szCs w:val="24"/>
      <w:lang w:val="en-US" w:eastAsia="en-US"/>
    </w:rPr>
  </w:style>
  <w:style w:type="paragraph" w:styleId="BalloonText">
    <w:name w:val="Balloon Text"/>
    <w:basedOn w:val="Standard"/>
    <w:pPr>
      <w:jc w:val="left"/>
    </w:pPr>
    <w:rPr>
      <w:rFonts w:ascii="Tahoma" w:hAnsi="Tahoma" w:cs="Tahoma"/>
      <w:sz w:val="16"/>
      <w:szCs w:val="16"/>
    </w:rPr>
  </w:style>
  <w:style w:type="paragraph" w:styleId="Header">
    <w:name w:val="header"/>
    <w:basedOn w:val="Standard"/>
    <w:pPr>
      <w:suppressLineNumbers/>
      <w:tabs>
        <w:tab w:val="center" w:pos="4536"/>
        <w:tab w:val="right" w:pos="9072"/>
      </w:tabs>
      <w:jc w:val="left"/>
    </w:pPr>
  </w:style>
  <w:style w:type="paragraph" w:styleId="Footer">
    <w:name w:val="footer"/>
    <w:basedOn w:val="Standard"/>
    <w:uiPriority w:val="99"/>
    <w:pPr>
      <w:suppressLineNumbers/>
      <w:tabs>
        <w:tab w:val="center" w:pos="4536"/>
        <w:tab w:val="right" w:pos="9072"/>
      </w:tabs>
      <w:jc w:val="left"/>
    </w:pPr>
  </w:style>
  <w:style w:type="paragraph" w:customStyle="1" w:styleId="TableContents">
    <w:name w:val="Table Contents"/>
    <w:basedOn w:val="Standard"/>
    <w:pPr>
      <w:suppressLineNumbers/>
      <w:jc w:val="left"/>
    </w:pPr>
  </w:style>
  <w:style w:type="character" w:customStyle="1" w:styleId="TextbublinyChar">
    <w:name w:val="Text bubliny Char"/>
    <w:rPr>
      <w:rFonts w:ascii="Tahoma" w:hAnsi="Tahoma" w:cs="Tahoma"/>
      <w:sz w:val="16"/>
      <w:lang w:val="x-none" w:eastAsia="sk-SK"/>
    </w:rPr>
  </w:style>
  <w:style w:type="character" w:customStyle="1" w:styleId="HlavikaChar">
    <w:name w:val="Hlavička Char"/>
    <w:rPr>
      <w:rFonts w:ascii="Times New Roman" w:hAnsi="Times New Roman" w:cs="Times New Roman"/>
      <w:sz w:val="20"/>
      <w:lang w:val="x-none" w:eastAsia="sk-SK"/>
    </w:rPr>
  </w:style>
  <w:style w:type="character" w:customStyle="1" w:styleId="PtaChar">
    <w:name w:val="Päta Char"/>
    <w:uiPriority w:val="99"/>
    <w:rPr>
      <w:rFonts w:ascii="Times New Roman" w:hAnsi="Times New Roman" w:cs="Times New Roman"/>
      <w:sz w:val="20"/>
      <w:lang w:val="x-none" w:eastAsia="sk-SK"/>
    </w:rPr>
  </w:style>
  <w:style w:type="character" w:customStyle="1" w:styleId="ListLabel1">
    <w:name w:val="ListLabel 1"/>
  </w:style>
  <w:style w:type="character" w:customStyle="1" w:styleId="ListLabel2">
    <w:name w:val="ListLabel 2"/>
  </w:style>
  <w:style w:type="character" w:customStyle="1" w:styleId="ListLabel3">
    <w:name w:val="ListLabel 3"/>
    <w:rPr>
      <w:rFonts w:eastAsia="Times New Roman"/>
    </w:rPr>
  </w:style>
  <w:style w:type="character" w:customStyle="1" w:styleId="Internetlink">
    <w:name w:val="Internet link"/>
    <w:rPr>
      <w:color w:val="000080"/>
      <w:u w:val="single"/>
    </w:rPr>
  </w:style>
  <w:style w:type="character" w:styleId="CommentReference">
    <w:name w:val="annotation reference"/>
    <w:uiPriority w:val="99"/>
    <w:semiHidden/>
    <w:unhideWhenUsed/>
    <w:rsid w:val="00D15B7F"/>
    <w:rPr>
      <w:sz w:val="16"/>
    </w:rPr>
  </w:style>
  <w:style w:type="paragraph" w:styleId="CommentText">
    <w:name w:val="annotation text"/>
    <w:basedOn w:val="Normal"/>
    <w:link w:val="TextkomentraChar"/>
    <w:uiPriority w:val="99"/>
    <w:semiHidden/>
    <w:unhideWhenUsed/>
    <w:rsid w:val="00D15B7F"/>
    <w:pPr>
      <w:widowControl/>
      <w:suppressAutoHyphens w:val="0"/>
      <w:autoSpaceDN/>
      <w:spacing w:after="160" w:line="240" w:lineRule="auto"/>
      <w:jc w:val="left"/>
      <w:textAlignment w:val="auto"/>
    </w:pPr>
    <w:rPr>
      <w:rFonts w:eastAsia="Calibri" w:cs="Times New Roman"/>
      <w:kern w:val="0"/>
      <w:sz w:val="20"/>
      <w:szCs w:val="20"/>
    </w:rPr>
  </w:style>
  <w:style w:type="character" w:customStyle="1" w:styleId="TextkomentraChar">
    <w:name w:val="Text komentára Char"/>
    <w:link w:val="CommentText"/>
    <w:uiPriority w:val="99"/>
    <w:semiHidden/>
    <w:locked/>
    <w:rsid w:val="00D15B7F"/>
    <w:rPr>
      <w:rFonts w:eastAsia="Calibri"/>
      <w:lang w:val="x-none" w:eastAsia="en-US"/>
    </w:rPr>
  </w:style>
  <w:style w:type="paragraph" w:styleId="CommentSubject">
    <w:name w:val="annotation subject"/>
    <w:basedOn w:val="CommentText"/>
    <w:next w:val="CommentText"/>
    <w:link w:val="PredmetkomentraChar"/>
    <w:uiPriority w:val="99"/>
    <w:semiHidden/>
    <w:unhideWhenUsed/>
    <w:rsid w:val="00E053F1"/>
    <w:pPr>
      <w:widowControl w:val="0"/>
      <w:suppressAutoHyphens/>
      <w:autoSpaceDN w:val="0"/>
      <w:spacing w:after="200" w:line="276" w:lineRule="auto"/>
      <w:jc w:val="left"/>
      <w:textAlignment w:val="baseline"/>
    </w:pPr>
    <w:rPr>
      <w:rFonts w:eastAsia="SimSun" w:cs="Tahoma"/>
      <w:b/>
      <w:bCs/>
      <w:kern w:val="3"/>
    </w:rPr>
  </w:style>
  <w:style w:type="character" w:customStyle="1" w:styleId="PredmetkomentraChar">
    <w:name w:val="Predmet komentára Char"/>
    <w:link w:val="CommentSubject"/>
    <w:uiPriority w:val="99"/>
    <w:semiHidden/>
    <w:locked/>
    <w:rsid w:val="00E053F1"/>
    <w:rPr>
      <w:rFonts w:eastAsia="Calibri"/>
      <w:b/>
      <w:kern w:val="3"/>
      <w:lang w:val="x-none" w:eastAsia="en-US"/>
    </w:rPr>
  </w:style>
  <w:style w:type="character" w:styleId="Hyperlink">
    <w:name w:val="Hyperlink"/>
    <w:uiPriority w:val="99"/>
    <w:unhideWhenUsed/>
    <w:rsid w:val="001D6995"/>
    <w:rPr>
      <w:color w:val="0563C1"/>
      <w:u w:val="single"/>
    </w:rPr>
  </w:style>
  <w:style w:type="numbering" w:customStyle="1" w:styleId="WWNum3">
    <w:name w:val="WWNum3"/>
    <w:basedOn w:val="NoList"/>
    <w:pPr>
      <w:numPr>
        <w:numId w:val="3"/>
      </w:numPr>
    </w:pPr>
  </w:style>
  <w:style w:type="numbering" w:customStyle="1" w:styleId="WWNum12">
    <w:name w:val="WWNum12"/>
    <w:basedOn w:val="NoList"/>
    <w:pPr>
      <w:numPr>
        <w:numId w:val="12"/>
      </w:numPr>
    </w:pPr>
  </w:style>
  <w:style w:type="numbering" w:customStyle="1" w:styleId="WWNum7">
    <w:name w:val="WWNum7"/>
    <w:basedOn w:val="NoList"/>
    <w:pPr>
      <w:numPr>
        <w:numId w:val="7"/>
      </w:numPr>
    </w:pPr>
  </w:style>
  <w:style w:type="numbering" w:customStyle="1" w:styleId="WWNum6">
    <w:name w:val="WWNum6"/>
    <w:basedOn w:val="NoList"/>
    <w:pPr>
      <w:numPr>
        <w:numId w:val="6"/>
      </w:numPr>
    </w:pPr>
  </w:style>
  <w:style w:type="numbering" w:customStyle="1" w:styleId="WWNum10">
    <w:name w:val="WWNum10"/>
    <w:basedOn w:val="NoList"/>
    <w:pPr>
      <w:numPr>
        <w:numId w:val="10"/>
      </w:numPr>
    </w:pPr>
  </w:style>
  <w:style w:type="numbering" w:customStyle="1" w:styleId="WWNum4">
    <w:name w:val="WWNum4"/>
    <w:basedOn w:val="NoList"/>
    <w:pPr>
      <w:numPr>
        <w:numId w:val="4"/>
      </w:numPr>
    </w:pPr>
  </w:style>
  <w:style w:type="numbering" w:customStyle="1" w:styleId="WWNum1">
    <w:name w:val="WWNum1"/>
    <w:basedOn w:val="NoList"/>
    <w:pPr>
      <w:numPr>
        <w:numId w:val="1"/>
      </w:numPr>
    </w:pPr>
  </w:style>
  <w:style w:type="numbering" w:customStyle="1" w:styleId="WWNum11">
    <w:name w:val="WWNum11"/>
    <w:basedOn w:val="NoList"/>
    <w:pPr>
      <w:numPr>
        <w:numId w:val="11"/>
      </w:numPr>
    </w:pPr>
  </w:style>
  <w:style w:type="numbering" w:customStyle="1" w:styleId="WWNum5">
    <w:name w:val="WWNum5"/>
    <w:basedOn w:val="NoList"/>
    <w:pPr>
      <w:numPr>
        <w:numId w:val="5"/>
      </w:numPr>
    </w:pPr>
  </w:style>
  <w:style w:type="numbering" w:customStyle="1" w:styleId="WWNum9">
    <w:name w:val="WWNum9"/>
    <w:basedOn w:val="NoList"/>
    <w:pPr>
      <w:numPr>
        <w:numId w:val="9"/>
      </w:numPr>
    </w:pPr>
  </w:style>
  <w:style w:type="numbering" w:customStyle="1" w:styleId="WWNum2">
    <w:name w:val="WWNum2"/>
    <w:basedOn w:val="NoList"/>
    <w:pPr>
      <w:numPr>
        <w:numId w:val="2"/>
      </w:numPr>
    </w:pPr>
  </w:style>
  <w:style w:type="numbering" w:customStyle="1" w:styleId="WWNum8">
    <w:name w:val="WWNum8"/>
    <w:basedOn w:val="NoList"/>
    <w:pPr>
      <w:numPr>
        <w:numId w:val="8"/>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ariadenie@pdp.gov.sk"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6</Pages>
  <Words>3017</Words>
  <Characters>17201</Characters>
  <Application>Microsoft Office Word</Application>
  <DocSecurity>0</DocSecurity>
  <Lines>0</Lines>
  <Paragraphs>0</Paragraphs>
  <ScaleCrop>false</ScaleCrop>
  <Company>UOOU SR</Company>
  <LinksUpToDate>false</LinksUpToDate>
  <CharactersWithSpaces>20178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Lucia Bezáková</cp:lastModifiedBy>
  <cp:revision>2</cp:revision>
  <cp:lastPrinted>2017-09-06T23:50:00Z</cp:lastPrinted>
  <dcterms:created xsi:type="dcterms:W3CDTF">2017-09-20T06:00:00Z</dcterms:created>
  <dcterms:modified xsi:type="dcterms:W3CDTF">2017-09-20T06:00:00Z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