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345174" w:rsidP="00A7461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5174">
        <w:rPr>
          <w:rFonts w:ascii="Times New Roman" w:hAnsi="Times New Roman"/>
          <w:b/>
          <w:bCs/>
          <w:sz w:val="24"/>
          <w:szCs w:val="24"/>
        </w:rPr>
        <w:t>Doložka vybraných vplyvov</w:t>
      </w:r>
    </w:p>
    <w:p w:rsidR="003501A1" w:rsidRPr="00345174" w:rsidP="00A74615">
      <w:pPr>
        <w:pStyle w:val="ListParagraph"/>
        <w:bidi w:val="0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0533E6">
              <w:rPr>
                <w:rFonts w:ascii="Times New Roman" w:hAnsi="Times New Roman"/>
                <w:sz w:val="24"/>
                <w:szCs w:val="24"/>
              </w:rPr>
              <w:t>Zákon o ochrane osobných údajov</w:t>
            </w:r>
            <w:r w:rsidRPr="00345174" w:rsidR="0030298E">
              <w:rPr>
                <w:rFonts w:ascii="Times New Roman" w:hAnsi="Times New Roman"/>
                <w:sz w:val="24"/>
                <w:szCs w:val="24"/>
              </w:rPr>
              <w:t xml:space="preserve"> a o zmene a doplnení niektorých zákonov</w:t>
            </w:r>
          </w:p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32844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Úrad na ochranu osobných údajov</w:t>
            </w:r>
            <w:r w:rsidRPr="00345174" w:rsidR="00A01071">
              <w:rPr>
                <w:rFonts w:ascii="Times New Roman" w:hAnsi="Times New Roman"/>
                <w:sz w:val="24"/>
                <w:szCs w:val="24"/>
              </w:rPr>
              <w:t xml:space="preserve"> Slovenskej republiky</w:t>
            </w:r>
          </w:p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A01071">
              <w:rPr>
                <w:rFonts w:ascii="Times New Roman" w:hAnsi="Times New Roman"/>
                <w:sz w:val="24"/>
                <w:szCs w:val="24"/>
              </w:rPr>
              <w:t>Ministerstvo spravodlivosti Slovenskej republiky</w:t>
            </w:r>
          </w:p>
          <w:p w:rsidR="00F34A7E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7E556C">
              <w:rPr>
                <w:rFonts w:ascii="Times New Roman" w:hAnsi="Times New Roman"/>
                <w:sz w:val="24"/>
                <w:szCs w:val="24"/>
              </w:rPr>
              <w:t>Ministerstvo vnútra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A01071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345174" w:rsidP="00A74615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232844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967D6D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967D6D">
              <w:rPr>
                <w:rFonts w:ascii="Times New Roman" w:hAnsi="Times New Roman"/>
                <w:sz w:val="24"/>
                <w:szCs w:val="24"/>
              </w:rPr>
              <w:t>Smernica 2016/680/EÚ z 27. apríla 2016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7425F9">
              <w:rPr>
                <w:rFonts w:ascii="Times New Roman" w:hAnsi="Times New Roman"/>
                <w:sz w:val="24"/>
                <w:szCs w:val="24"/>
              </w:rPr>
              <w:t>Jún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MPK</w:t>
            </w:r>
            <w:r w:rsidRPr="00345174" w:rsidR="00F6277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7425F9">
              <w:rPr>
                <w:rFonts w:ascii="Times New Roman" w:hAnsi="Times New Roman"/>
                <w:sz w:val="24"/>
                <w:szCs w:val="24"/>
              </w:rPr>
              <w:t>Jún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Rokovanie vlády SR</w:t>
            </w:r>
            <w:r w:rsidRPr="00345174" w:rsidR="00F6277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9C3F35">
              <w:rPr>
                <w:rFonts w:ascii="Times New Roman" w:hAnsi="Times New Roman"/>
                <w:sz w:val="24"/>
                <w:szCs w:val="24"/>
              </w:rPr>
              <w:t>September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 (pôvodne august 2017)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Defin</w:t>
            </w:r>
            <w:r w:rsidRPr="00345174" w:rsidR="00AC2477">
              <w:rPr>
                <w:rFonts w:ascii="Times New Roman" w:hAnsi="Times New Roman"/>
                <w:b/>
                <w:sz w:val="24"/>
                <w:szCs w:val="24"/>
              </w:rPr>
              <w:t>ovanie</w:t>
            </w: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E12EF1">
              <w:rPr>
                <w:rFonts w:ascii="Times New Roman" w:hAnsi="Times New Roman"/>
                <w:sz w:val="24"/>
                <w:szCs w:val="24"/>
              </w:rPr>
              <w:t>Dňa 14. apríla 2016 schválil Európsky parlament Nariadenie Európskeho parlamentu a Rady (EÚ) 2016/679 z 27. apríla 2016 o ochrane fyzických osôb pri spracúvaní osobných údajov a o voľnom pohybe takýchto údajov, ktorým sa zrušuje smernica 95/46/ES (všeobecné nariadenie o ochrane údajov)</w:t>
            </w:r>
            <w:r w:rsidRPr="00345174" w:rsidR="00A41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(Ú.v. EÚ L 119, 4.5.2016) </w:t>
            </w:r>
            <w:r w:rsidRPr="00345174" w:rsidR="00A41A40">
              <w:rPr>
                <w:rFonts w:ascii="Times New Roman" w:hAnsi="Times New Roman"/>
                <w:sz w:val="24"/>
                <w:szCs w:val="24"/>
              </w:rPr>
              <w:t>(ďalej len „nariadenie“)</w:t>
            </w:r>
            <w:r w:rsidRPr="00345174" w:rsidR="00E12EF1">
              <w:rPr>
                <w:rFonts w:ascii="Times New Roman" w:hAnsi="Times New Roman"/>
                <w:sz w:val="24"/>
                <w:szCs w:val="24"/>
              </w:rPr>
              <w:t>; toto nariadenie vstúpilo do platnosti 24. mája 2016 a  začne sa uplatňovať po uplynutí dvojročného prechodného obdobia, 25. mája 2018.</w:t>
            </w:r>
          </w:p>
          <w:p w:rsidR="00A34A54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AA2254">
              <w:rPr>
                <w:rFonts w:ascii="Times New Roman" w:hAnsi="Times New Roman"/>
                <w:sz w:val="24"/>
                <w:szCs w:val="24"/>
              </w:rPr>
              <w:t>Slovenská republika je povinná zabezpečiť implementáciu nariadenia do právneho</w:t>
            </w:r>
            <w:r w:rsidRPr="00345174" w:rsidR="00A4750E">
              <w:rPr>
                <w:rFonts w:ascii="Times New Roman" w:hAnsi="Times New Roman"/>
                <w:sz w:val="24"/>
                <w:szCs w:val="24"/>
              </w:rPr>
              <w:t xml:space="preserve"> poriadku Slovenskej republiky.  </w:t>
            </w:r>
          </w:p>
          <w:p w:rsidR="009C2A0E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6F2A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A34A54">
              <w:rPr>
                <w:rFonts w:ascii="Times New Roman" w:hAnsi="Times New Roman"/>
                <w:sz w:val="24"/>
                <w:szCs w:val="24"/>
              </w:rPr>
              <w:t>Navrhovaným zákonom sa tiež transponuje smernica 2016/680/EÚ z 27. apríla 2016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 (Ú. v. EU L 119, 4.5.2017)</w:t>
            </w:r>
            <w:r w:rsidRPr="00345174" w:rsidR="00A34A54">
              <w:rPr>
                <w:rFonts w:ascii="Times New Roman" w:hAnsi="Times New Roman"/>
                <w:sz w:val="24"/>
                <w:szCs w:val="24"/>
              </w:rPr>
              <w:t xml:space="preserve"> (ďalej</w:t>
            </w:r>
            <w:r w:rsidRPr="00345174" w:rsidR="00A41A40">
              <w:rPr>
                <w:rFonts w:ascii="Times New Roman" w:hAnsi="Times New Roman"/>
                <w:sz w:val="24"/>
                <w:szCs w:val="24"/>
              </w:rPr>
              <w:t xml:space="preserve"> len</w:t>
            </w:r>
            <w:r w:rsidRPr="00345174" w:rsidR="00A34A54">
              <w:rPr>
                <w:rFonts w:ascii="Times New Roman" w:hAnsi="Times New Roman"/>
                <w:sz w:val="24"/>
                <w:szCs w:val="24"/>
              </w:rPr>
              <w:t xml:space="preserve"> „smernica“) do právneho poriadku Slovenskej republiky. </w:t>
            </w:r>
          </w:p>
          <w:p w:rsidR="009C2A0E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7425F9">
              <w:rPr>
                <w:rFonts w:ascii="Times New Roman" w:hAnsi="Times New Roman"/>
                <w:sz w:val="24"/>
                <w:szCs w:val="24"/>
              </w:rPr>
              <w:t>Navrhovaná právna úprava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stanuje pravidlá ochrany fyzických osôb pri spracúvaní osobných údajov a pravidlá týkajúce sa voľného pohybu osobných údajov v rámci činností, ktoré nepatria do pôsobnosti </w:t>
            </w:r>
            <w:r w:rsidRPr="00345174" w:rsidR="00A41A40">
              <w:rPr>
                <w:rFonts w:ascii="Times New Roman" w:hAnsi="Times New Roman"/>
                <w:sz w:val="24"/>
                <w:szCs w:val="24"/>
              </w:rPr>
              <w:t xml:space="preserve">práva 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>Euró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 xml:space="preserve">pskej únie. </w:t>
            </w:r>
          </w:p>
          <w:p w:rsidR="009C2A0E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7425F9">
              <w:rPr>
                <w:rFonts w:ascii="Times New Roman" w:hAnsi="Times New Roman"/>
                <w:sz w:val="24"/>
                <w:szCs w:val="24"/>
              </w:rPr>
              <w:t>Navrhovaná právna úprava d</w:t>
            </w:r>
            <w:r w:rsidRPr="00345174" w:rsidR="00A41A40">
              <w:rPr>
                <w:rFonts w:ascii="Times New Roman" w:hAnsi="Times New Roman"/>
                <w:sz w:val="24"/>
                <w:szCs w:val="24"/>
              </w:rPr>
              <w:t>opĺňa pravidlá stanovené n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>ariadením pre spracúvanie v rámci činností, ktoré patria do pôsobnosti Európskej únie, konkrétne ide o pravidlá spracúvania osobných údajov na akademické, umel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ecké a literárne 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>účely, pravidlá spracúvania osobných údajov v súvislosti so zamestnaním, spracúvanie ná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rodného identifikačného čísla - 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>rodného čísla a prenos osobitnej kategórie osobných údajov do tretích krajín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 a medzinárodným organizáciám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, ktoré nezaručujú primeranú úroveň ochrany osobných údajov. </w:t>
            </w:r>
          </w:p>
          <w:p w:rsidR="00A34A54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6A2E92">
              <w:rPr>
                <w:rFonts w:ascii="Times New Roman" w:hAnsi="Times New Roman"/>
                <w:sz w:val="24"/>
                <w:szCs w:val="24"/>
              </w:rPr>
              <w:t xml:space="preserve">Návrh zákona 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>upravuje postavenie a organizáciu Úradu na ochranu osobných údajov SR a upravuje proces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>né pravidlá pre výkon kontroly, konania o ochrane osobných údajov a pre proces schvaľovanie kódexov správania a pre proces certifikácie.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 Návrh zákona tiež v rámci transpozície smernice upravuje spracúvanie a ochranu osobných údajov prevádzkovateľmi – príslušnými orgánmi.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34A54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Cieľom novej právnej úpravy je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 implementovaním a transponovan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>ím právnych aktov Európskej únie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splniť medzinárodné záväzky a zároveň tak reagovať na </w:t>
            </w:r>
            <w:r w:rsidRPr="00345174" w:rsidR="00CB7BED">
              <w:rPr>
                <w:rFonts w:ascii="Times New Roman" w:hAnsi="Times New Roman"/>
                <w:sz w:val="24"/>
                <w:szCs w:val="24"/>
              </w:rPr>
              <w:t>existenciu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globálneho podnikania a vývoj m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oderných technológií, ktoré 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>majú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vplyv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 xml:space="preserve"> na vznik nových spôsobov spracúvania osobných údajov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CB7BED">
              <w:rPr>
                <w:rFonts w:ascii="Times New Roman" w:hAnsi="Times New Roman"/>
                <w:sz w:val="24"/>
                <w:szCs w:val="24"/>
              </w:rPr>
              <w:t>Navrhovaná právna úprava má za cieľ zabezpečiť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jednotnú právnu reguláciu ochrany osobných údajov vo vnútroštátnom práve, zaistiť výkon práv dotkn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>utých osôb a kontrolu nad spracú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vaním ich osobných údajov v rozsahu garantovanom </w:t>
            </w:r>
            <w:r w:rsidRPr="00345174" w:rsidR="00764AF0">
              <w:rPr>
                <w:rFonts w:ascii="Times New Roman" w:hAnsi="Times New Roman"/>
                <w:sz w:val="24"/>
                <w:szCs w:val="24"/>
              </w:rPr>
              <w:t>n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>ariadením a smernicou, a tak podporiť dôveru dotknutých osôb v právny rámec zabezpečujúci ich základné ľudské práva, najmä právo na súkromie, upraviť povinnosti prevádzkovateľov a sprostredkovateľo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>v s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dôrazom na materiálne plnenie stanovených povinností a zaistenie reálnej bezpečnosti spracúvania osobných údajov a tiež upr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>aviť právomoci úradu, ako dozorného orgánu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nad ochranou osobných údajov vrátane rozšírenia právomocí pre oblasť vzájomnej spolupráce medzi dozornými orgánmi v jednotlivých členských štátoch.</w:t>
            </w:r>
          </w:p>
          <w:p w:rsidR="004C6F2A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635CD0">
              <w:rPr>
                <w:rFonts w:ascii="Times New Roman" w:hAnsi="Times New Roman"/>
                <w:sz w:val="24"/>
                <w:szCs w:val="24"/>
              </w:rPr>
              <w:t>Nová právna úprava zavádza aktualizovanú terminológiu najmä v súvislosti s novými spôsobmi zaistenia bezpečnosti údajov a cezhraničným spracúvaním a prenosmi, rozširuje rozsah práv dotknutých osôb a prispôsobuje povinnosti prevádzkovateľov a sprostredkovateľov zásadnej požiadavke zaistenia materiálneho súladu s požiadavkami zákona a právnych aktov Európskej únie na ochranu osobných údajov a zabezpečenia ich reálnej bezpečnosti. Predkladaný návrh zákon zrušuje doterajšie povinnosti prevádzkovateľov, a to oznamovaciu povinnosť a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> povinnosť osobitnej registrácie v ustanovených prípadoch.</w:t>
            </w:r>
            <w:r w:rsidRPr="00345174" w:rsidR="00764AF0">
              <w:rPr>
                <w:rFonts w:ascii="Times New Roman" w:hAnsi="Times New Roman"/>
                <w:sz w:val="24"/>
                <w:szCs w:val="24"/>
              </w:rPr>
              <w:t xml:space="preserve"> Zrušuje sa potreba zdokumentovania prijatých bezpečnostných opatrení vo forme bezpečnostného projektu a zavádza sa nová povinnosť posúdenia vplyvu a predbežných konzultácií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 xml:space="preserve"> s úradom v zákonom stanovených prípadoch</w:t>
            </w:r>
            <w:r w:rsidRPr="00345174" w:rsidR="00764AF0">
              <w:rPr>
                <w:rFonts w:ascii="Times New Roman" w:hAnsi="Times New Roman"/>
                <w:sz w:val="24"/>
                <w:szCs w:val="24"/>
              </w:rPr>
              <w:t>. Prevádzkovatelia budú oprávnení v rámci prijatých bezpečnostných opatr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 xml:space="preserve">ení dať na posúdenie úradu </w:t>
            </w:r>
            <w:r w:rsidRPr="00345174" w:rsidR="00764AF0">
              <w:rPr>
                <w:rFonts w:ascii="Times New Roman" w:hAnsi="Times New Roman"/>
                <w:sz w:val="24"/>
                <w:szCs w:val="24"/>
              </w:rPr>
              <w:t xml:space="preserve">tzv. kódexy správania; prípadne požiadať o certifikáciu preukazujúcu súlad s nariadením a zákonom. 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>V n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iektorých prípadoch 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 xml:space="preserve">sa zákonom 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stanovuje povinnosť prevádzkovateľa a sprostredkovateľa určiť zodpovednú osobu. Zároveň sa </w:t>
            </w:r>
            <w:r w:rsidRPr="00345174" w:rsidR="00764AF0">
              <w:rPr>
                <w:rFonts w:ascii="Times New Roman" w:hAnsi="Times New Roman"/>
                <w:sz w:val="24"/>
                <w:szCs w:val="24"/>
              </w:rPr>
              <w:t>nanovo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upravuje postavenie (právom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>oci a kompetencie) a organizácia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>úradu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 xml:space="preserve"> v oblasti vykonávania dozoru nad ochranou osobných údajov.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0533E6">
              <w:rPr>
                <w:rFonts w:ascii="Times New Roman" w:hAnsi="Times New Roman"/>
                <w:sz w:val="24"/>
                <w:szCs w:val="24"/>
              </w:rPr>
              <w:t xml:space="preserve">Prevádzkovatelia, sprostredkovatelia v súkromnom sektore aj vo verejnom sektore (orgány verejnej </w:t>
            </w:r>
            <w:r w:rsidRPr="00345174" w:rsidR="00635CD0">
              <w:rPr>
                <w:rFonts w:ascii="Times New Roman" w:hAnsi="Times New Roman"/>
                <w:sz w:val="24"/>
                <w:szCs w:val="24"/>
              </w:rPr>
              <w:t>moci</w:t>
            </w:r>
            <w:r w:rsidRPr="00345174" w:rsidR="00E2727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345174" w:rsidR="000533E6">
              <w:rPr>
                <w:rFonts w:ascii="Times New Roman" w:hAnsi="Times New Roman"/>
                <w:sz w:val="24"/>
                <w:szCs w:val="24"/>
              </w:rPr>
              <w:t>dotknuté osoby</w:t>
            </w:r>
            <w:r w:rsidRPr="00345174" w:rsidR="001B0E99">
              <w:rPr>
                <w:rFonts w:ascii="Times New Roman" w:hAnsi="Times New Roman"/>
                <w:sz w:val="24"/>
                <w:szCs w:val="24"/>
              </w:rPr>
              <w:t>, Úrad na ochranu osobných údajov SR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425F9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sz w:val="24"/>
                <w:szCs w:val="24"/>
              </w:rPr>
              <w:t>Alternatíva č. 0</w:t>
            </w:r>
            <w:r w:rsidRPr="00345174" w:rsidR="00302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C6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3A57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5F9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b/>
                <w:sz w:val="24"/>
                <w:szCs w:val="24"/>
              </w:rPr>
              <w:t>Zachovanie doterajšej právnej úpravy</w:t>
            </w:r>
            <w:r w:rsidRPr="00345174" w:rsidR="004C6F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C6F2A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Nezosúladenie vnútroštátneho právneho poriadku s nariadením a netransponovanie smernice do p</w:t>
            </w:r>
            <w:r w:rsidRPr="00345174" w:rsidR="009B4DFF">
              <w:rPr>
                <w:rFonts w:ascii="Times New Roman" w:hAnsi="Times New Roman"/>
                <w:sz w:val="24"/>
                <w:szCs w:val="24"/>
              </w:rPr>
              <w:t>rávneho poriadku Slovenskej republiky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by mohlo byť Európskou komisiou považované za nesplnenie povinností vyplývajúcich Slovenskej republike z primárneho práva Európskej únie (Zmluva o Európskej únii a Zmluva o fungovaní Európskej únie) a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> následne by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Európska komisia na základe článku 258 Zmluvy o fungovaní Európskej únie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 xml:space="preserve"> mohla predložiť toto svoje zistenie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Súdnemu dvoru Európskej únie</w:t>
            </w:r>
            <w:r w:rsidRPr="00345174" w:rsidR="009C25CA">
              <w:rPr>
                <w:rFonts w:ascii="Times New Roman" w:hAnsi="Times New Roman"/>
                <w:sz w:val="24"/>
                <w:szCs w:val="24"/>
              </w:rPr>
              <w:t xml:space="preserve"> v rámci tzv. infri</w:t>
            </w:r>
            <w:r w:rsidRPr="00345174" w:rsidR="00A01071">
              <w:rPr>
                <w:rFonts w:ascii="Times New Roman" w:hAnsi="Times New Roman"/>
                <w:sz w:val="24"/>
                <w:szCs w:val="24"/>
              </w:rPr>
              <w:t>n</w:t>
            </w:r>
            <w:r w:rsidRPr="00345174" w:rsidR="009C25CA">
              <w:rPr>
                <w:rFonts w:ascii="Times New Roman" w:hAnsi="Times New Roman"/>
                <w:sz w:val="24"/>
                <w:szCs w:val="24"/>
              </w:rPr>
              <w:t>gement proceedings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6F2A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5F9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sz w:val="24"/>
                <w:szCs w:val="24"/>
              </w:rPr>
              <w:t xml:space="preserve">Alternatíva č. 1 </w:t>
            </w:r>
          </w:p>
          <w:p w:rsidR="007425F9" w:rsidRPr="00345174" w:rsidP="00A74615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b/>
                <w:sz w:val="24"/>
                <w:szCs w:val="24"/>
              </w:rPr>
              <w:t>Prij</w:t>
            </w: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atie navrhovanej právnej úpravy:</w:t>
            </w:r>
          </w:p>
          <w:p w:rsidR="004C6F2A" w:rsidRPr="00345174" w:rsidP="00A74615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7425F9">
              <w:rPr>
                <w:rFonts w:ascii="Times New Roman" w:hAnsi="Times New Roman"/>
                <w:sz w:val="24"/>
                <w:szCs w:val="24"/>
              </w:rPr>
              <w:t>Z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>namená splnenie medzinárodných záväzkov, vytv</w:t>
            </w:r>
            <w:r w:rsidRPr="00345174" w:rsidR="00753A57">
              <w:rPr>
                <w:rFonts w:ascii="Times New Roman" w:hAnsi="Times New Roman"/>
                <w:sz w:val="24"/>
                <w:szCs w:val="24"/>
              </w:rPr>
              <w:t>orenie jednotnej (zosúladenej a transponovanej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) vnútroštátnej právnej úpravy ochrany osobných údajov a jej prispôsobenie </w:t>
            </w:r>
            <w:r w:rsidRPr="00345174" w:rsidR="007425F9">
              <w:rPr>
                <w:rFonts w:ascii="Times New Roman" w:hAnsi="Times New Roman"/>
                <w:sz w:val="24"/>
                <w:szCs w:val="24"/>
              </w:rPr>
              <w:t>sa moderným technológiám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a existencii globálneho podnikania.</w:t>
            </w: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6F2A" w:rsidRPr="00345174" w:rsidP="00A74615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5F9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sz w:val="24"/>
                <w:szCs w:val="24"/>
              </w:rPr>
              <w:t xml:space="preserve">Alternatíva </w:t>
            </w:r>
            <w:r w:rsidRPr="00345174" w:rsidR="009C25CA">
              <w:rPr>
                <w:rFonts w:ascii="Times New Roman" w:hAnsi="Times New Roman"/>
                <w:sz w:val="24"/>
                <w:szCs w:val="24"/>
              </w:rPr>
              <w:t>č. 2</w:t>
            </w:r>
            <w:r w:rsidRPr="00345174" w:rsidR="004C6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1A1" w:rsidRPr="00345174" w:rsidP="00A7461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74" w:rsidR="00287F0E">
              <w:rPr>
                <w:rFonts w:ascii="Times New Roman" w:hAnsi="Times New Roman"/>
                <w:b/>
                <w:sz w:val="24"/>
                <w:szCs w:val="24"/>
              </w:rPr>
              <w:t>Zapracovanie návrhov verejnosti</w:t>
            </w:r>
            <w:r w:rsidRPr="00345174" w:rsidR="00287F0E">
              <w:rPr>
                <w:rFonts w:ascii="Times New Roman" w:hAnsi="Times New Roman"/>
                <w:sz w:val="24"/>
                <w:szCs w:val="24"/>
              </w:rPr>
              <w:t xml:space="preserve"> na rozšírenie niektorých definícií, inú právnu úpravu vzťahu prevádzkovateľa a sprostredkovateľa by mohlo znamenať porušenie </w:t>
            </w:r>
            <w:r w:rsidRPr="00345174" w:rsidR="009C25CA">
              <w:rPr>
                <w:rFonts w:ascii="Times New Roman" w:hAnsi="Times New Roman"/>
                <w:sz w:val="24"/>
                <w:szCs w:val="24"/>
              </w:rPr>
              <w:t xml:space="preserve">povinností vyplývajúcich </w:t>
            </w:r>
            <w:r w:rsidRPr="00345174" w:rsidR="00287F0E">
              <w:rPr>
                <w:rFonts w:ascii="Times New Roman" w:hAnsi="Times New Roman"/>
                <w:sz w:val="24"/>
                <w:szCs w:val="24"/>
              </w:rPr>
              <w:t>Slovenskej republike z primárneho práva Európskej únie</w:t>
            </w:r>
            <w:r w:rsidRPr="00345174" w:rsidR="009C2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5174" w:rsidR="00287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DD514D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D13B6F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☐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Ak áno, uveďte ktoré oblasti budú nimi upravené, resp. ktorých vykonávacích predpisov sa zmena dotkne:</w:t>
            </w:r>
          </w:p>
          <w:p w:rsidR="009C2A0E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9C2A0E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Rušia sa:</w:t>
            </w:r>
          </w:p>
          <w:p w:rsidR="009C2A0E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v</w:t>
            </w:r>
            <w:r w:rsidRPr="00345174" w:rsidR="00DD514D">
              <w:rPr>
                <w:rFonts w:ascii="Times New Roman" w:hAnsi="Times New Roman"/>
                <w:sz w:val="24"/>
                <w:szCs w:val="24"/>
              </w:rPr>
              <w:t xml:space="preserve">yhláška úradu č. 164/2013 Z. z. o rozsahu a dokumentácii bezpečnostných opatrení, </w:t>
            </w:r>
          </w:p>
          <w:p w:rsidR="00DD514D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vyhláška úradu č. 165/2013 Z. z. ktorou sa ustanovujú podrobnosti o skúške fyzickej osoby na výkon funkcie zodpovednej osoby sa zrušia.</w:t>
            </w:r>
          </w:p>
          <w:p w:rsidR="009C2A0E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A74615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DD514D">
              <w:rPr>
                <w:rFonts w:ascii="Times New Roman" w:hAnsi="Times New Roman"/>
                <w:b/>
                <w:sz w:val="24"/>
                <w:szCs w:val="24"/>
              </w:rPr>
              <w:t>Predpokladá sa vydanie vykoná</w:t>
            </w: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 xml:space="preserve">vacích predpisov upravujúcich: </w:t>
            </w:r>
          </w:p>
          <w:p w:rsidR="00AC1EE9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Vykonávací predpis podľa § 29 ods. 9 návrhu zákona</w:t>
            </w:r>
          </w:p>
          <w:p w:rsidR="003A64A2" w:rsidRPr="00345174" w:rsidP="00AC1EE9">
            <w:pPr>
              <w:pStyle w:val="l51"/>
              <w:bidi w:val="0"/>
              <w:spacing w:line="276" w:lineRule="auto"/>
              <w:ind w:right="340"/>
              <w:rPr>
                <w:rFonts w:ascii="Times New Roman" w:hAnsi="Times New Roman"/>
                <w:i/>
              </w:rPr>
            </w:pPr>
            <w:r w:rsidRPr="00345174" w:rsidR="00AC1EE9">
              <w:rPr>
                <w:rFonts w:ascii="Times New Roman" w:hAnsi="Times New Roman"/>
                <w:i/>
              </w:rPr>
              <w:t>„Informácie, ktoré majú byť obsiahnuté v štandardizovaných ikonách a postupy určovania štandardizovaných ikon, ustanoví všeobecne záväzný právny predpis.”.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Vykonávací predpis podľa § 70 ods. 4 návrhu zákona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„Ďalšie spracovateľské operácie pre príslušný orgán, ktoré podliehajú povinnosti uskutočniť predchádzajúce konzultácie podľa odseku 1, ustanoví všeobecne záväzný právny predpis.”.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Vykonávací predpis podľa § 86 ods. 19 návrhu zákona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  <w:lang w:val="sk-SK" w:eastAsia="sk-SK"/>
              </w:rPr>
              <w:t>„Certifikačné kritéria, podmienky certifikačného postupu, obsahové náležitosti technickej a bezpečnostnej dokumentácie a podmienky výkonu auditu ochrany osobných údajov vrátane podmienok odborných znalostí audítora vykonávajúceho audit ochrany osobných údajov ustanoví všeobecne záväzný právny predpis, ktorý vydá úrad.”.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Vykonávací predpis podľa § 87 ods. 20 návrhu zákona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  <w:lang w:val="sk-SK" w:eastAsia="sk-SK"/>
              </w:rPr>
              <w:t>„Kritéria na udelenie akreditácie, podmienky akreditačného postupu, obsahové náležitosti technickej a bezpečnostnej dokumentácie a podmienky výkonu auditu monitorovania kódexu správania vrátane podmienok odborných znalostí audítora ustanoví všeobecne záväzný právny predpis, ktorý vydá úrad.”.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Vykonávací predpis podľa § 88 ods. 19 návrhu zákona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  <w:lang w:val="sk-SK" w:eastAsia="sk-SK"/>
              </w:rPr>
              <w:t>„Kritéria na udelenie akreditácie, podmienky certifikačného postupu, certifikačné kritéria, obsahové náležitosti technickej a bezpečnostnej dokumentácie a podmienky výkonu auditu certifikačného postupu vrátane podmienok odborných znalostí audítora ustanoví všeobecne záväzný právny predpis, ktorý vydá úrad.”.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Vykonávací predpis podľa § 108 ods. 2 návrhu zákona</w:t>
            </w:r>
          </w:p>
          <w:p w:rsidR="00AC1EE9" w:rsidRPr="00345174" w:rsidP="00AC1EE9">
            <w:pPr>
              <w:pStyle w:val="p2"/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  <w:lang w:val="sk-SK" w:eastAsia="sk-SK"/>
              </w:rPr>
              <w:t xml:space="preserve">„Ďalšie prípady spracovateľských operácii, ktoré podliehajú posúdeniu vplyvu na ochranu osobných údajov a postup pri posudzovaní vplyvu na ochranu osobných údajov podľa tohto zákona ustanoví všeobecne záväzný právny predpis, ktorý vydá úrad.”. </w:t>
            </w:r>
          </w:p>
          <w:p w:rsidR="00AC1EE9" w:rsidRPr="00345174" w:rsidP="00AC1EE9">
            <w:pPr>
              <w:pStyle w:val="l51"/>
              <w:bidi w:val="0"/>
              <w:spacing w:line="276" w:lineRule="auto"/>
              <w:ind w:right="34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174" w:rsidR="009C25CA">
              <w:rPr>
                <w:rFonts w:ascii="Times New Roman" w:hAnsi="Times New Roman"/>
                <w:i/>
                <w:sz w:val="24"/>
                <w:szCs w:val="24"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Preskúmanie účelnosti</w:t>
            </w:r>
            <w:r w:rsidRPr="00345174" w:rsidR="00F6277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</w:rPr>
              <w:t>Uveďte termín, kedy by malo dôjsť k preskúmaniu účinnosti a účelnosti navrhovaného predpisu.</w:t>
            </w:r>
          </w:p>
          <w:p w:rsidR="003501A1" w:rsidRPr="00345174" w:rsidP="00A74615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174">
              <w:rPr>
                <w:rFonts w:ascii="Times New Roman" w:hAnsi="Times New Roman"/>
                <w:i/>
                <w:sz w:val="24"/>
                <w:szCs w:val="24"/>
              </w:rPr>
              <w:t>Uveďte kritériá, na základe ktorých bude preskúmanie vykonané.</w:t>
            </w:r>
          </w:p>
          <w:p w:rsidR="003501A1" w:rsidRPr="00345174" w:rsidP="00A74615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13B6F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F62771" w:rsidRPr="00345174" w:rsidP="00A74615">
            <w:pPr>
              <w:bidi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345174" w:rsidR="004C60B8">
              <w:rPr>
                <w:rFonts w:ascii="Times New Roman" w:hAnsi="Times New Roman"/>
                <w:sz w:val="24"/>
                <w:szCs w:val="24"/>
              </w:rPr>
              <w:t>vyplniť iba v prípade, ak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4C60B8">
              <w:rPr>
                <w:rFonts w:ascii="Times New Roman" w:hAnsi="Times New Roman"/>
                <w:sz w:val="24"/>
                <w:szCs w:val="24"/>
              </w:rPr>
              <w:t xml:space="preserve">materiál 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nie je </w:t>
            </w:r>
            <w:r w:rsidRPr="00345174" w:rsidR="004C60B8">
              <w:rPr>
                <w:rFonts w:ascii="Times New Roman" w:hAnsi="Times New Roman"/>
                <w:sz w:val="24"/>
                <w:szCs w:val="24"/>
              </w:rPr>
              <w:t>zahrnutý do Plánu práce vlády Slovenskej republiky alebo Plánu        legislatívnych úloh vlády Slovenskej republiky.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F62771">
              <w:rPr>
                <w:rFonts w:ascii="Times New Roman" w:hAnsi="Times New Roman"/>
                <w:sz w:val="24"/>
                <w:szCs w:val="24"/>
              </w:rPr>
              <w:t>*</w:t>
            </w:r>
            <w:r w:rsidRPr="00345174" w:rsidR="00F22831">
              <w:rPr>
                <w:rFonts w:ascii="Times New Roman" w:hAnsi="Times New Roman"/>
                <w:sz w:val="24"/>
                <w:szCs w:val="24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8E5AFA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8E5AFA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FE0921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A3169B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316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316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6306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5174" w:rsidR="0063066A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</w:tbl>
    <w:p w:rsidR="00FD16FA" w:rsidRPr="00345174" w:rsidP="00A74615">
      <w:pPr>
        <w:bidi w:val="0"/>
        <w:rPr>
          <w:rFonts w:ascii="Times New Roman" w:hAnsi="Times New Roman"/>
          <w:vanish/>
          <w:sz w:val="24"/>
          <w:szCs w:val="24"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345174" w:rsidP="00A74615">
            <w:pPr>
              <w:bidi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345174" w:rsidP="00A74615">
            <w:pPr>
              <w:bidi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345174" w:rsidP="00A74615">
            <w:pPr>
              <w:bidi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345174" w:rsidP="00A74615">
            <w:pPr>
              <w:bidi w:val="0"/>
              <w:ind w:left="196" w:hanging="19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A6FB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A6FB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345174" w:rsidP="00A74615">
            <w:pPr>
              <w:bidi w:val="0"/>
              <w:ind w:left="168" w:hanging="16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4750E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A6FB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345174" w:rsidP="00A7461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A6FB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345174" w:rsidP="00A74615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</w:tbl>
    <w:p w:rsidR="003501A1" w:rsidRPr="00345174" w:rsidP="00A74615">
      <w:pPr>
        <w:bidi w:val="0"/>
        <w:ind w:right="141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C2A0E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sz w:val="24"/>
                <w:szCs w:val="24"/>
              </w:rPr>
              <w:t xml:space="preserve">JUDr. Daniela Palkovičová, 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>riaditeľka odboru právnych služieb úradu, tel.:</w:t>
            </w:r>
            <w:r w:rsidRPr="00345174" w:rsidR="004C6F2A">
              <w:rPr>
                <w:rFonts w:ascii="Times New Roman" w:hAnsi="Times New Roman"/>
                <w:sz w:val="24"/>
                <w:szCs w:val="24"/>
              </w:rPr>
              <w:t>02/323 132 16</w:t>
            </w:r>
            <w:r w:rsidRPr="00345174" w:rsidR="00A01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5174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" w:history="1">
              <w:r w:rsidRPr="0034517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daniela.palkovicova@pdp.gov.sk</w:t>
              </w:r>
            </w:hyperlink>
          </w:p>
          <w:p w:rsidR="00A74615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3501A1" w:rsidRPr="00345174" w:rsidP="00A7461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345174" w:rsidR="004C6F2A">
              <w:rPr>
                <w:rFonts w:ascii="Times New Roman" w:hAnsi="Times New Roman"/>
                <w:sz w:val="24"/>
                <w:szCs w:val="24"/>
              </w:rPr>
              <w:t>JUDr. Lucia Bezáková</w:t>
            </w:r>
            <w:r w:rsidRPr="00345174" w:rsidR="00A3169B">
              <w:rPr>
                <w:rFonts w:ascii="Times New Roman" w:hAnsi="Times New Roman"/>
                <w:sz w:val="24"/>
                <w:szCs w:val="24"/>
              </w:rPr>
              <w:t>,</w:t>
            </w:r>
            <w:r w:rsidRPr="00345174" w:rsidR="00A01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 xml:space="preserve">tel.: </w:t>
            </w:r>
            <w:r w:rsidRPr="00345174" w:rsidR="00A01071">
              <w:rPr>
                <w:rFonts w:ascii="Times New Roman" w:hAnsi="Times New Roman"/>
                <w:sz w:val="24"/>
                <w:szCs w:val="24"/>
              </w:rPr>
              <w:t>02/323 132 39</w:t>
            </w:r>
            <w:r w:rsidRPr="00345174" w:rsidR="00287F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5174" w:rsidR="009C2A0E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" w:history="1">
              <w:r w:rsidRPr="00345174" w:rsidR="009C2A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lucia.bezakova</w:t>
              </w:r>
              <w:r w:rsidRPr="00345174" w:rsidR="009C2A0E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345174" w:rsidR="009C2A0E">
                <w:rPr>
                  <w:rStyle w:val="Hyperlink"/>
                  <w:rFonts w:ascii="Times New Roman" w:hAnsi="Times New Roman"/>
                  <w:sz w:val="24"/>
                  <w:szCs w:val="24"/>
                  <w:lang w:val="cs-CZ"/>
                </w:rPr>
                <w:t>pdp.gov.sk</w:t>
              </w:r>
            </w:hyperlink>
            <w:r w:rsidRPr="00345174" w:rsidR="009C2A0E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174" w:rsidR="00E01E1F">
              <w:rPr>
                <w:rFonts w:ascii="Times New Roman" w:hAnsi="Times New Roman"/>
                <w:i/>
                <w:sz w:val="24"/>
                <w:szCs w:val="24"/>
              </w:rPr>
              <w:t>Pri vypracúvaní doložky vplyvov na podnikateľské prostredie (detto Analýzy vplyvov  na podnikateľské prostredie) úrad spolupracoval aktívne s Centrom pre lepšiu reguláciu.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345174" w:rsidP="00A74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45174" w:rsidP="00A74615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Cs/>
                <w:sz w:val="24"/>
                <w:szCs w:val="24"/>
              </w:rPr>
              <w:t>Komisia uplatňuje k materiálu nasledovné pripomienky a odporúčania:</w:t>
            </w: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bCs/>
                <w:sz w:val="24"/>
                <w:szCs w:val="24"/>
              </w:rPr>
              <w:t>K analýze sociálnych vplyvov</w:t>
            </w:r>
          </w:p>
          <w:p w:rsidR="00AA6FBB" w:rsidRPr="00345174" w:rsidP="00AA6FBB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Cs/>
                <w:sz w:val="24"/>
                <w:szCs w:val="24"/>
              </w:rPr>
              <w:t>Vzhľadom k tomu, že nemožno očakávať, že by predmetný návrh zákona spôsobil zánik pracovných miest, je potrebné vypustiť text v druhom riadku bodu 4.4 analýzy sociálnych vplyvov.</w:t>
            </w:r>
          </w:p>
          <w:p w:rsidR="00AA6FBB" w:rsidRPr="00345174" w:rsidP="00AA6FBB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6FBB" w:rsidRPr="00345174" w:rsidP="00AA6FBB">
            <w:pPr>
              <w:bidi w:val="0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bCs/>
                <w:sz w:val="24"/>
                <w:szCs w:val="24"/>
              </w:rPr>
              <w:t>ÚOOÚ SR: zapracované</w:t>
            </w: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bCs/>
                <w:sz w:val="24"/>
                <w:szCs w:val="24"/>
              </w:rPr>
              <w:t>K doložke vplyvov a analýze vplyvov na služby verejnej správy pre občana</w:t>
            </w: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Cs/>
                <w:sz w:val="24"/>
                <w:szCs w:val="24"/>
              </w:rPr>
              <w:t>Komisia navrhuje vyznačiť v doložke vybraných vplyvov pozitívny vplyv na služby verejnej správy na občana a negatívny vplyv na procesy služieb vo verejnej správe.</w:t>
            </w: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Cs/>
                <w:sz w:val="24"/>
                <w:szCs w:val="24"/>
              </w:rPr>
              <w:t>Pozitívny vplyv na občana vyplýva napríklad z ustanovení § 20 až § 26, § 28, § 64 až § 65, kde ide o služby ako poskytovanie informácií a oznámení dotknutej osobe prevádzkovateľom, ale aj príslušným orgánom, potvrdenie o spracúvaní osobných údajov, prístup k osobným údajom, právo na opravu, doplnenie, výmaz osobných údajov, právo na obmedzenie spracúvania osobných údajov, právo na získanie osobných údajov a ich prenos k inému prevádzkovateľovi.</w:t>
            </w: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Cs/>
                <w:sz w:val="24"/>
                <w:szCs w:val="24"/>
              </w:rPr>
              <w:t>Negatívny vplyv na procesy služieb vo verejnej správe vyplýva v podstate z tých istých ustanovení ako pri občanovi z dôvodu, že orgán verejnej moci má povinnosť rozhodovať o žiadostiach dotknutých osôb. § 68 navrhovaného zákona dáva aj oznamovaciu povinnosť príslušnému orgánu v súvislosti s opravou, vymazaním osobných údajov alebo obmedzenie spracúvania.</w:t>
            </w: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6FBB" w:rsidRPr="00345174" w:rsidP="00AA6FB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174">
              <w:rPr>
                <w:rFonts w:ascii="Times New Roman" w:hAnsi="Times New Roman"/>
                <w:b/>
                <w:bCs/>
                <w:sz w:val="24"/>
                <w:szCs w:val="24"/>
              </w:rPr>
              <w:t>ÚOOÚ SR: zapracované</w:t>
            </w:r>
          </w:p>
          <w:p w:rsidR="00704CDD" w:rsidRPr="00345174" w:rsidP="00704CDD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501A1" w:rsidRPr="00345174" w:rsidP="00704CDD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174" w:rsidR="00AA6F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Záver: </w:t>
            </w:r>
            <w:r w:rsidRPr="00345174" w:rsidR="00AA6FBB">
              <w:rPr>
                <w:rFonts w:ascii="Times New Roman" w:hAnsi="Times New Roman"/>
                <w:bCs/>
                <w:sz w:val="24"/>
                <w:szCs w:val="24"/>
              </w:rPr>
              <w:t>Stála pracovná komisia na posudzovanie vybraných vplyvov vyjadruje</w:t>
            </w:r>
            <w:r w:rsidRPr="00345174" w:rsidR="00704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5174" w:rsidR="00AA6FBB">
              <w:rPr>
                <w:rFonts w:ascii="Times New Roman" w:hAnsi="Times New Roman"/>
                <w:b/>
                <w:bCs/>
                <w:sz w:val="24"/>
                <w:szCs w:val="24"/>
              </w:rPr>
              <w:t>súhlasné stanovisko s návrhom na dopracovanie</w:t>
            </w:r>
            <w:r w:rsidRPr="00345174" w:rsidR="00704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5174" w:rsidR="00AA6FBB">
              <w:rPr>
                <w:rFonts w:ascii="Times New Roman" w:hAnsi="Times New Roman"/>
                <w:bCs/>
                <w:sz w:val="24"/>
                <w:szCs w:val="24"/>
              </w:rPr>
              <w:t>s materiálom predloženým na predbežné pripomienkové konanie s odporúčaním na jeho dopracovanie podľa pripomienok v bode II.</w:t>
            </w:r>
          </w:p>
        </w:tc>
      </w:tr>
    </w:tbl>
    <w:p w:rsidR="003501A1" w:rsidRPr="00345174" w:rsidP="00A74615">
      <w:pPr>
        <w:bidi w:val="0"/>
        <w:rPr>
          <w:rFonts w:ascii="Times New Roman" w:hAnsi="Times New Roman"/>
          <w:b/>
          <w:sz w:val="24"/>
          <w:szCs w:val="24"/>
        </w:rPr>
      </w:pPr>
    </w:p>
    <w:p w:rsidR="003501A1" w:rsidRPr="00345174" w:rsidP="00A74615">
      <w:pPr>
        <w:bidi w:val="0"/>
        <w:rPr>
          <w:rFonts w:ascii="Times New Roman" w:hAnsi="Times New Roman"/>
          <w:b/>
          <w:sz w:val="24"/>
          <w:szCs w:val="24"/>
        </w:rPr>
      </w:pPr>
    </w:p>
    <w:p w:rsidR="00CB3623" w:rsidRPr="00345174" w:rsidP="00A74615">
      <w:pPr>
        <w:bidi w:val="0"/>
        <w:rPr>
          <w:rFonts w:ascii="Times New Roman" w:hAnsi="Times New Roman"/>
          <w:sz w:val="24"/>
          <w:szCs w:val="24"/>
        </w:rPr>
      </w:pPr>
    </w:p>
    <w:sectPr w:rsidSect="004C60B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2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4517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C522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1C5222">
    <w:pPr>
      <w:pStyle w:val="Header"/>
      <w:bidi w:val="0"/>
      <w:rPr>
        <w:rFonts w:ascii="Times New Roman" w:hAnsi="Times New Roman"/>
        <w:sz w:val="24"/>
        <w:szCs w:val="24"/>
      </w:rPr>
    </w:pP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66CE0"/>
    <w:multiLevelType w:val="hybridMultilevel"/>
    <w:tmpl w:val="B8926D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65A86"/>
    <w:rsid w:val="00036A60"/>
    <w:rsid w:val="000533E6"/>
    <w:rsid w:val="000A15AE"/>
    <w:rsid w:val="000D40AB"/>
    <w:rsid w:val="0011693A"/>
    <w:rsid w:val="00136F1B"/>
    <w:rsid w:val="00175FD8"/>
    <w:rsid w:val="00196922"/>
    <w:rsid w:val="001A1559"/>
    <w:rsid w:val="001A5108"/>
    <w:rsid w:val="001B0E99"/>
    <w:rsid w:val="001B108F"/>
    <w:rsid w:val="001B2AB5"/>
    <w:rsid w:val="001C5222"/>
    <w:rsid w:val="00232844"/>
    <w:rsid w:val="002358E4"/>
    <w:rsid w:val="00237C61"/>
    <w:rsid w:val="00271362"/>
    <w:rsid w:val="002738CB"/>
    <w:rsid w:val="0028026D"/>
    <w:rsid w:val="00287F0E"/>
    <w:rsid w:val="00292A3A"/>
    <w:rsid w:val="002935A2"/>
    <w:rsid w:val="002C2710"/>
    <w:rsid w:val="002D59EB"/>
    <w:rsid w:val="002F056A"/>
    <w:rsid w:val="0030298E"/>
    <w:rsid w:val="00344485"/>
    <w:rsid w:val="00345174"/>
    <w:rsid w:val="003501A1"/>
    <w:rsid w:val="00395098"/>
    <w:rsid w:val="003A64A2"/>
    <w:rsid w:val="003B31E6"/>
    <w:rsid w:val="00451B51"/>
    <w:rsid w:val="0045465B"/>
    <w:rsid w:val="004C60B8"/>
    <w:rsid w:val="004C6F2A"/>
    <w:rsid w:val="004C794A"/>
    <w:rsid w:val="004E4EE3"/>
    <w:rsid w:val="004F6F1F"/>
    <w:rsid w:val="004F7D6F"/>
    <w:rsid w:val="005608EC"/>
    <w:rsid w:val="00570B48"/>
    <w:rsid w:val="00583BAF"/>
    <w:rsid w:val="005A42DD"/>
    <w:rsid w:val="005B7A8D"/>
    <w:rsid w:val="0063066A"/>
    <w:rsid w:val="00635CD0"/>
    <w:rsid w:val="006A2E92"/>
    <w:rsid w:val="006C3B7D"/>
    <w:rsid w:val="006E650C"/>
    <w:rsid w:val="007026ED"/>
    <w:rsid w:val="00704CDD"/>
    <w:rsid w:val="00741218"/>
    <w:rsid w:val="007425F9"/>
    <w:rsid w:val="00747714"/>
    <w:rsid w:val="00753A57"/>
    <w:rsid w:val="00764AF0"/>
    <w:rsid w:val="00775117"/>
    <w:rsid w:val="007E556C"/>
    <w:rsid w:val="008A2BE3"/>
    <w:rsid w:val="008E0A78"/>
    <w:rsid w:val="008E5AFA"/>
    <w:rsid w:val="00943B96"/>
    <w:rsid w:val="00947563"/>
    <w:rsid w:val="00967D6D"/>
    <w:rsid w:val="009B4DFF"/>
    <w:rsid w:val="009C25CA"/>
    <w:rsid w:val="009C2A0E"/>
    <w:rsid w:val="009C3F35"/>
    <w:rsid w:val="009E0CB6"/>
    <w:rsid w:val="00A01071"/>
    <w:rsid w:val="00A179AE"/>
    <w:rsid w:val="00A3169B"/>
    <w:rsid w:val="00A34A54"/>
    <w:rsid w:val="00A41A40"/>
    <w:rsid w:val="00A4750E"/>
    <w:rsid w:val="00A74615"/>
    <w:rsid w:val="00A86391"/>
    <w:rsid w:val="00AA2254"/>
    <w:rsid w:val="00AA6FBB"/>
    <w:rsid w:val="00AC1EE9"/>
    <w:rsid w:val="00AC2477"/>
    <w:rsid w:val="00AD669E"/>
    <w:rsid w:val="00B17AF8"/>
    <w:rsid w:val="00B50E30"/>
    <w:rsid w:val="00B65A86"/>
    <w:rsid w:val="00B863D0"/>
    <w:rsid w:val="00BE088C"/>
    <w:rsid w:val="00C04033"/>
    <w:rsid w:val="00C166FA"/>
    <w:rsid w:val="00C641E3"/>
    <w:rsid w:val="00CB3623"/>
    <w:rsid w:val="00CB7BED"/>
    <w:rsid w:val="00CE4033"/>
    <w:rsid w:val="00CF16FA"/>
    <w:rsid w:val="00D04BAE"/>
    <w:rsid w:val="00D13B6F"/>
    <w:rsid w:val="00D30694"/>
    <w:rsid w:val="00D60C63"/>
    <w:rsid w:val="00D6325C"/>
    <w:rsid w:val="00D75D35"/>
    <w:rsid w:val="00DD514D"/>
    <w:rsid w:val="00DE2255"/>
    <w:rsid w:val="00DE2A12"/>
    <w:rsid w:val="00DF4E47"/>
    <w:rsid w:val="00E01E1F"/>
    <w:rsid w:val="00E03BD3"/>
    <w:rsid w:val="00E12EF1"/>
    <w:rsid w:val="00E27272"/>
    <w:rsid w:val="00EB59E3"/>
    <w:rsid w:val="00EF466C"/>
    <w:rsid w:val="00F22831"/>
    <w:rsid w:val="00F245EF"/>
    <w:rsid w:val="00F34A7E"/>
    <w:rsid w:val="00F41DA0"/>
    <w:rsid w:val="00F62771"/>
    <w:rsid w:val="00FA6F00"/>
    <w:rsid w:val="00FD16FA"/>
    <w:rsid w:val="00FE09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imes New Roman"/>
      <w:sz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</w:rPr>
  </w:style>
  <w:style w:type="paragraph" w:customStyle="1" w:styleId="Standard">
    <w:name w:val="Standard"/>
    <w:rsid w:val="00A34A54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SimSun" w:hAnsi="Calibri" w:cs="Calibri"/>
      <w:kern w:val="3"/>
      <w:sz w:val="22"/>
      <w:szCs w:val="22"/>
      <w:rtl w:val="0"/>
      <w:cs w:val="0"/>
      <w:lang w:val="sk-SK" w:eastAsia="ar-SA" w:bidi="ar-SA"/>
    </w:rPr>
  </w:style>
  <w:style w:type="paragraph" w:customStyle="1" w:styleId="l17">
    <w:name w:val="l17"/>
    <w:basedOn w:val="Normal"/>
    <w:rsid w:val="00F41DA0"/>
    <w:pPr>
      <w:jc w:val="both"/>
    </w:pPr>
    <w:rPr>
      <w:sz w:val="24"/>
      <w:szCs w:val="24"/>
    </w:rPr>
  </w:style>
  <w:style w:type="paragraph" w:customStyle="1" w:styleId="l51">
    <w:name w:val="l51"/>
    <w:basedOn w:val="Normal"/>
    <w:rsid w:val="009C2A0E"/>
    <w:pPr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2A0E"/>
    <w:rPr>
      <w:rFonts w:cs="Times New Roman"/>
      <w:color w:val="0563C1"/>
      <w:u w:val="single"/>
      <w:rtl w:val="0"/>
      <w:cs w:val="0"/>
    </w:rPr>
  </w:style>
  <w:style w:type="paragraph" w:customStyle="1" w:styleId="p2">
    <w:name w:val="p2"/>
    <w:basedOn w:val="Normal"/>
    <w:rsid w:val="00AC1EE9"/>
    <w:pPr>
      <w:jc w:val="center"/>
    </w:pPr>
    <w:rPr>
      <w:rFonts w:ascii="Cambria" w:hAnsi="Cambria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niela.palkovicova@pdp.gov.sk" TargetMode="External" /><Relationship Id="rId6" Type="http://schemas.openxmlformats.org/officeDocument/2006/relationships/hyperlink" Target="mailto:lucia.bezakova@pdp.gov.sk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43EB-D012-466E-B3A9-AF261614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1862</Words>
  <Characters>10614</Characters>
  <Application>Microsoft Office Word</Application>
  <DocSecurity>0</DocSecurity>
  <Lines>0</Lines>
  <Paragraphs>0</Paragraphs>
  <ScaleCrop>false</ScaleCrop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Lucia Bezáková</cp:lastModifiedBy>
  <cp:revision>3</cp:revision>
  <cp:lastPrinted>2017-09-06T16:04:00Z</cp:lastPrinted>
  <dcterms:created xsi:type="dcterms:W3CDTF">2017-09-20T05:49:00Z</dcterms:created>
  <dcterms:modified xsi:type="dcterms:W3CDTF">2017-09-20T05:50:00Z</dcterms:modified>
</cp:coreProperties>
</file>