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3E6A" w:rsidRPr="000E163F" w:rsidP="00333E6A">
      <w:pPr>
        <w:pStyle w:val="Title"/>
        <w:bidi w:val="0"/>
        <w:spacing w:before="0" w:after="0"/>
        <w:rPr>
          <w:rFonts w:ascii="Times New Roman" w:hAnsi="Times New Roman" w:cs="Times New Roman"/>
        </w:rPr>
      </w:pPr>
      <w:r w:rsidRPr="000E163F">
        <w:rPr>
          <w:rFonts w:ascii="Times New Roman" w:hAnsi="Times New Roman" w:cs="Times New Roman"/>
        </w:rPr>
        <w:t>Dôvodová správa</w:t>
      </w:r>
    </w:p>
    <w:p w:rsidR="00333E6A" w:rsidRPr="000E163F" w:rsidP="00333E6A">
      <w:pPr>
        <w:pStyle w:val="Normaltext"/>
        <w:bidi w:val="0"/>
        <w:spacing w:before="0" w:after="0"/>
        <w:rPr>
          <w:rFonts w:ascii="Times New Roman" w:hAnsi="Times New Roman"/>
          <w:b/>
          <w:sz w:val="24"/>
          <w:szCs w:val="24"/>
        </w:rPr>
      </w:pPr>
    </w:p>
    <w:p w:rsidR="00333E6A" w:rsidRPr="000E163F" w:rsidP="00333E6A">
      <w:pPr>
        <w:pStyle w:val="Normaltext"/>
        <w:numPr>
          <w:numId w:val="6"/>
        </w:numPr>
        <w:bidi w:val="0"/>
        <w:spacing w:before="0" w:after="0"/>
        <w:rPr>
          <w:rFonts w:ascii="Times New Roman" w:hAnsi="Times New Roman"/>
          <w:b/>
          <w:sz w:val="24"/>
          <w:szCs w:val="24"/>
        </w:rPr>
      </w:pPr>
      <w:r w:rsidRPr="000E163F">
        <w:rPr>
          <w:rFonts w:ascii="Times New Roman" w:hAnsi="Times New Roman"/>
          <w:b/>
          <w:sz w:val="24"/>
          <w:szCs w:val="24"/>
        </w:rPr>
        <w:t>Všeobecná časť</w:t>
      </w:r>
    </w:p>
    <w:p w:rsidR="00333E6A" w:rsidRPr="000E163F" w:rsidP="00333E6A">
      <w:pPr>
        <w:pStyle w:val="Normaltext"/>
        <w:bidi w:val="0"/>
        <w:spacing w:before="0" w:after="0"/>
        <w:rPr>
          <w:rFonts w:ascii="Times New Roman" w:hAnsi="Times New Roman"/>
          <w:b/>
          <w:sz w:val="24"/>
          <w:szCs w:val="24"/>
        </w:rPr>
      </w:pPr>
    </w:p>
    <w:p w:rsidR="00333E6A" w:rsidRPr="000E163F" w:rsidP="00333E6A">
      <w:pPr>
        <w:pStyle w:val="Odsektext"/>
        <w:bidi w:val="0"/>
        <w:ind w:firstLine="360"/>
        <w:rPr>
          <w:rFonts w:ascii="Times New Roman" w:hAnsi="Times New Roman"/>
        </w:rPr>
      </w:pPr>
      <w:r w:rsidRPr="000E163F">
        <w:rPr>
          <w:rFonts w:ascii="Times New Roman" w:hAnsi="Times New Roman"/>
          <w:lang w:eastAsia="en-US"/>
        </w:rPr>
        <w:t xml:space="preserve">Návrh zákona sa predkladá s cieľom dosiahnutia </w:t>
      </w:r>
      <w:r w:rsidRPr="000E163F">
        <w:rPr>
          <w:rFonts w:ascii="Times New Roman" w:hAnsi="Times New Roman"/>
        </w:rPr>
        <w:t xml:space="preserve">úplnej transpozície smernice Európskeho parlamentu a Rady (EÚ) 2014/61/EÚ o opatreniach na zníženie nákladov na zavedenie vysokorýchlostných elektronických komunikačných služieb (ďalej len „smernica o opatreniach na zníženie nákladov“) zapracovaním do zákona č. 351/2011 Z. z. o elektronických komunikáciách v znení neskorších predpisov (ďalej len „zákon č. 351/2011 Z. z.“) chýbajúcich ustanovení upravujúcich zriadenie a prevádzkovanie jednotného informačného miesta. Smernica o opatreniach na zníženie nákladov, ktorá je už okrem ustanovení týkajúcich sa jednotného informačného miesta transponovaná do zákona č. 351/2011 Z. z. (novelou zákona č. 247/2015 Z. z.), má za cieľ uľahčiť budovanie vysokorýchlostných elektronických komunikačných sietí tým, že sa umožní efektívnejšie využitie existujúcej fyzickej infraštruktúry. S cieľom efektívne plánovať zavádzanie sietí a zabezpečiť čo najúčinnejšie využívanie existujúcej infraštruktúry, by mali mať podniky možnosť prístupu k minimálnym informáciám týkajúcim sa fyzickej infraštruktúry, ktoré sú už k dispozícii v elektronickej podobe, prostredníctvom jednotného informačného miesta (ďalej len „JIM“). V súčasnosti Európska komisia vedie proti Slovenskej republike konanie pre porušenie povinnosti (podľa článku 258 </w:t>
      </w:r>
      <w:r w:rsidRPr="000E163F">
        <w:rPr>
          <w:rFonts w:ascii="Times New Roman" w:hAnsi="Times New Roman"/>
          <w:bCs/>
        </w:rPr>
        <w:t>Zmluvy o fungovaní</w:t>
      </w:r>
      <w:r w:rsidRPr="000E163F">
        <w:rPr>
          <w:rFonts w:ascii="Times New Roman" w:hAnsi="Times New Roman"/>
        </w:rPr>
        <w:t xml:space="preserve"> EÚ). Dňa 29. septembra 2016 bolo Slovenskej republike doručené odôvodnené stanovisko – porušenie č. 2016/0241, v ktorom Európska komisia upozorňuje, že Slovenská republika neprijala všetky potrebné ustanovenia na dosiahnutie úplného súladu so smernicou o opatreniach na zníženie nákladov.</w:t>
      </w:r>
    </w:p>
    <w:p w:rsidR="00333E6A" w:rsidRPr="000E163F" w:rsidP="00333E6A">
      <w:pPr>
        <w:pStyle w:val="Odsektext"/>
        <w:bidi w:val="0"/>
        <w:ind w:firstLine="360"/>
        <w:rPr>
          <w:rFonts w:ascii="Times New Roman" w:hAnsi="Times New Roman"/>
        </w:rPr>
      </w:pPr>
      <w:r w:rsidRPr="000E163F">
        <w:rPr>
          <w:rFonts w:ascii="Times New Roman" w:hAnsi="Times New Roman"/>
        </w:rPr>
        <w:t xml:space="preserve">Ďalej sa v nadväznosti na problémy vyplývajúce z aplikačnej praxe v súvislosti s Nariadením Európskeho parlamentu a Rady (EÚ) 2015/2120, ktorým sa ustanovujú opatrenia týkajúce sa prístupu k otvorenému internetu a ktorým sa mení smernica 2002/22/ES o univerzálnej službe a právach užívateľov týkajúcich sa elektronických komunikačných sietí a služieb a nariadenie (EÚ) č. 531/2012 o roamingu vo verejných mobilných komunikačných sieťach v rámci Únie (ďalej len „Nariadenie EÚ o prístupe k otvorenému internetu“) zavádza oprávnenie Úradu pre reguláciu elektronických komunikácií a poštových služieb (ďalej len „úrad“) na vydávanie rozhodnutí podľa článku 5 ods. 1 Nariadenia EÚ o prístupe k otvorenému internetu, pričom úrad bude pri ich vydávaní postupovať podľa správneho poriadku. </w:t>
      </w:r>
    </w:p>
    <w:p w:rsidR="00333E6A" w:rsidRPr="000E163F" w:rsidP="00333E6A">
      <w:pPr>
        <w:pStyle w:val="NormalWeb"/>
        <w:bidi w:val="0"/>
        <w:ind w:firstLine="360"/>
        <w:jc w:val="both"/>
        <w:rPr>
          <w:rFonts w:ascii="Times New Roman" w:hAnsi="Times New Roman"/>
          <w:color w:val="000000"/>
        </w:rPr>
      </w:pPr>
      <w:r w:rsidRPr="000E163F">
        <w:rPr>
          <w:rFonts w:ascii="Times New Roman" w:hAnsi="Times New Roman"/>
          <w:color w:val="000000"/>
        </w:rPr>
        <w:t xml:space="preserve">Predkladaný návrh zákona, ktorým sa mení a dopĺňa zákon č. 351/2011 Z. z. a zákon č. 129/2002 Z. z. o integrovanom záchrannom systéme v znení neskorších predpisov súčasne v článku II implementuje Rozhodnutie Európskeho parlamentu a Rady č. 585/2014/EÚ z 15. mája 2014 o zavedení interoperabilnej služby eCall v celej EÚ (ďalej len „rozhodnutie“). </w:t>
      </w:r>
      <w:r w:rsidRPr="000E163F">
        <w:rPr>
          <w:rFonts w:ascii="Times New Roman" w:hAnsi="Times New Roman"/>
          <w:color w:val="000000"/>
          <w:lang w:eastAsia="sk-SK"/>
        </w:rPr>
        <w:t>Účelom navrhovanej zákonnej právnej úpravy je teda rozšíriť služby poskytované účastníkom o volanie eCall, pričom l</w:t>
      </w:r>
      <w:r w:rsidRPr="000E163F">
        <w:rPr>
          <w:rFonts w:ascii="Times New Roman" w:hAnsi="Times New Roman"/>
          <w:color w:val="000000"/>
        </w:rPr>
        <w:t>ehota pre zavedenie služby eCall podľa rozhodnutia uplynie dňa 1. októbra 2017. Navrhované ustanovenia sú v súlade s Koncepciou organizácie, fungovania a rozvoja integrovaného záchranného systému na roky 2011 až 2015 (uznesenie vlády č. 33/2011 z 19. januára 2011).</w:t>
      </w:r>
    </w:p>
    <w:p w:rsidR="00333E6A" w:rsidRPr="000E163F" w:rsidP="00333E6A">
      <w:pPr>
        <w:pStyle w:val="NormalWeb"/>
        <w:bidi w:val="0"/>
        <w:ind w:firstLine="360"/>
        <w:jc w:val="both"/>
        <w:rPr>
          <w:rFonts w:ascii="Times New Roman" w:hAnsi="Times New Roman"/>
        </w:rPr>
      </w:pPr>
      <w:r w:rsidRPr="000E163F">
        <w:rPr>
          <w:rFonts w:ascii="Times New Roman" w:hAnsi="Times New Roman"/>
          <w:color w:val="000000"/>
        </w:rPr>
        <w:t>Okrem toho sa zákon č. 351/2011 Z. z. dopĺňa o ustanovenia, ktoré majú zabezpečiť rovnaký prístup k tiesňovým službám poskytovaných občanom na čísle tiesňového volania 112 aj pre osoby so zdravotným postihnutím prostredníctvom krátkych textových správ (</w:t>
      </w:r>
      <w:r w:rsidRPr="000E163F">
        <w:rPr>
          <w:rFonts w:ascii="Times New Roman" w:hAnsi="Times New Roman"/>
          <w:color w:val="000000"/>
          <w:lang w:eastAsia="sk-SK"/>
        </w:rPr>
        <w:t>ďalej len „SMS“)</w:t>
      </w:r>
      <w:r w:rsidRPr="000E163F">
        <w:rPr>
          <w:rFonts w:ascii="Times New Roman" w:hAnsi="Times New Roman"/>
          <w:color w:val="000000"/>
        </w:rPr>
        <w:t xml:space="preserve">. </w:t>
      </w:r>
      <w:r w:rsidRPr="000E163F">
        <w:rPr>
          <w:rFonts w:ascii="Times New Roman" w:hAnsi="Times New Roman"/>
          <w:color w:val="000000"/>
          <w:lang w:eastAsia="sk-SK"/>
        </w:rPr>
        <w:t xml:space="preserve">Za účelom zabezpečenia rovnakého prístupu k tiesňovým službám prostredníctvom SMS sú v návrhu zákona uložené rovnaké povinnosti podnikov prevádzkujúcich verejné elektronické komunikačné siete a koordinačných stredísk integrovaného záchranného systému ako pri volaniach na jednotné európske číslo tiesňového volania 112 pri rešpektovaní technologických odlišností medzi volaním a SMS. </w:t>
      </w:r>
      <w:r w:rsidRPr="000E163F">
        <w:rPr>
          <w:rFonts w:ascii="Times New Roman" w:hAnsi="Times New Roman"/>
          <w:color w:val="000000"/>
        </w:rPr>
        <w:t>Navrhované ustanovenia vyplývajú so smernice Európskeho parlamentu a Rady č. 2009/136/ES z 25. novembra 2009, ktorou sa mení a dopĺňa smernica 2002/22/ES o univerzálnej službe a právach užívateľov týkajúcich sa elektronických komunikačných sietí a služieb, smernica 2002/58/ES týkajúca sa spracovávania osobných údajov a ochrany súkromia v sektore elektronických komunikácií a nariadenie (ES) č. 2006/2004. Tieto navrhované úpravy sú v súlade Národným programom rozvoja životných podmienok osôb so zdravotným postihnutím na roky 2014 – 2020 (uznesenie vlády č. 25/2014 z 15. januára 2014).</w:t>
      </w:r>
    </w:p>
    <w:p w:rsidR="00333E6A" w:rsidRPr="000E163F" w:rsidP="00333E6A">
      <w:pPr>
        <w:pStyle w:val="Style10"/>
        <w:bidi w:val="0"/>
        <w:spacing w:before="120"/>
        <w:ind w:firstLine="360"/>
        <w:jc w:val="both"/>
        <w:rPr>
          <w:rFonts w:ascii="Times New Roman" w:hAnsi="Times New Roman"/>
        </w:rPr>
      </w:pPr>
      <w:r w:rsidRPr="000E163F">
        <w:rPr>
          <w:rFonts w:ascii="Times New Roman" w:hAnsi="Times New Roman"/>
        </w:rPr>
        <w:t>Predložený návrh zákona predpokladá súčasne pozitívne a negatívne vplyvy na rozpočet verejnej správy, na podnikateľské prostredie vrátane vplyvov na malé a stredné podniky</w:t>
      </w:r>
      <w:r>
        <w:rPr>
          <w:rFonts w:ascii="Times New Roman" w:hAnsi="Times New Roman"/>
        </w:rPr>
        <w:t>.</w:t>
      </w:r>
      <w:r w:rsidRPr="000E16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Zároveň sa predpokladajú </w:t>
      </w:r>
      <w:r w:rsidRPr="000E163F">
        <w:rPr>
          <w:rFonts w:ascii="Times New Roman" w:hAnsi="Times New Roman"/>
        </w:rPr>
        <w:t>pozitívne sociálne vplyvy a pozitívne vplyvy služieb verejnej správy na občana. Nepredpokladajú sa žiadne vplyvy na životné prostredie a informatizáciu verejnej správy.</w:t>
      </w:r>
    </w:p>
    <w:p w:rsidR="00333E6A" w:rsidRPr="000E163F" w:rsidP="00333E6A">
      <w:pPr>
        <w:pStyle w:val="Odsektext"/>
        <w:bidi w:val="0"/>
        <w:ind w:firstLine="360"/>
        <w:rPr>
          <w:rFonts w:ascii="Times New Roman" w:hAnsi="Times New Roman"/>
        </w:rPr>
      </w:pPr>
      <w:r w:rsidRPr="000E163F">
        <w:rPr>
          <w:rFonts w:ascii="Times New Roman" w:hAnsi="Times New Roman"/>
        </w:rPr>
        <w:t>Návrh zákona je v súlade s Ústavou Slovenskej republiky, s ústavnými zákonmi</w:t>
      </w:r>
      <w:r>
        <w:rPr>
          <w:rFonts w:ascii="Times New Roman" w:hAnsi="Times New Roman"/>
        </w:rPr>
        <w:t xml:space="preserve">, </w:t>
      </w:r>
      <w:r w:rsidRPr="000E163F">
        <w:rPr>
          <w:rFonts w:ascii="Times New Roman" w:hAnsi="Times New Roman"/>
        </w:rPr>
        <w:t>nálezmi Ústavného súdu Slovenskej republiky, so zákonmi a ostatnými všeobecne záväznými právnymi predpismi Slovenskej republiky, s medzinárodnými zmluvami, ktorými je Slovenská republika viazaná, ako aj s právom Európskej únie.</w:t>
      </w:r>
    </w:p>
    <w:p w:rsidR="00333E6A">
      <w:pPr>
        <w:bidi w:val="0"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532E7" w:rsidRPr="00A179AE" w:rsidP="006532E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6532E7" w:rsidRPr="00BF3078" w:rsidP="006532E7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4212"/>
        <w:gridCol w:w="705"/>
        <w:gridCol w:w="717"/>
        <w:gridCol w:w="569"/>
        <w:gridCol w:w="1417"/>
        <w:gridCol w:w="1560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F27" w:rsidRPr="002542E2" w:rsidP="00C165A5">
            <w:pPr>
              <w:pStyle w:val="Style17"/>
              <w:widowControl/>
              <w:tabs>
                <w:tab w:val="left" w:pos="1003"/>
              </w:tabs>
              <w:bidi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2542E2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Návrh zákona, ktorým sa mení a dopĺňa zákon č. 351/2011 Z. z. o elektronických komunikáciách v znení neskorších predpisov </w:t>
            </w: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 xml:space="preserve">a </w:t>
            </w:r>
            <w:r w:rsidRPr="002542E2" w:rsidR="00AD1E63">
              <w:rPr>
                <w:rFonts w:ascii="Times New Roman" w:hAnsi="Times New Roman"/>
                <w:bCs/>
                <w:sz w:val="22"/>
                <w:szCs w:val="22"/>
              </w:rPr>
              <w:t>ktorým sa mení a dopĺňa zákon</w:t>
            </w: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 xml:space="preserve"> č. 129/2002 Z. z. o integrovanom záchrannom systéme v znení neskorších predpisov</w:t>
            </w:r>
          </w:p>
          <w:p w:rsidR="006532E7" w:rsidRPr="00A179AE" w:rsidP="00C10F27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532E7" w:rsidRPr="007E2F93" w:rsidP="00A402CE">
            <w:pPr>
              <w:pStyle w:val="Heading1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7E2F93">
              <w:rPr>
                <w:rFonts w:ascii="Times New Roman" w:hAnsi="Times New Roman"/>
                <w:sz w:val="22"/>
                <w:szCs w:val="22"/>
              </w:rPr>
              <w:t>Ministerstvo dopravy a výstavby Slovenskej republiky</w:t>
            </w:r>
          </w:p>
          <w:p w:rsidR="007E2F93" w:rsidRPr="007E2F93" w:rsidP="007E2F93">
            <w:pPr>
              <w:bidi w:val="0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7E2F93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Ministerstvo vnútra </w:t>
            </w:r>
            <w:r w:rsidRPr="007E2F93">
              <w:rPr>
                <w:rFonts w:ascii="Times New Roman" w:hAnsi="Times New Roman"/>
                <w:sz w:val="22"/>
                <w:szCs w:val="22"/>
              </w:rPr>
              <w:t>Slovenskej republiky</w:t>
            </w:r>
            <w:r w:rsidRPr="007E2F93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ak</w:t>
            </w:r>
            <w:r>
              <w:rPr>
                <w:rFonts w:ascii="Times New Roman" w:hAnsi="Times New Roman"/>
                <w:sz w:val="22"/>
                <w:szCs w:val="22"/>
                <w:lang w:eastAsia="cs-CZ"/>
              </w:rPr>
              <w:t>o</w:t>
            </w:r>
            <w:r w:rsidRPr="007E2F93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spolupredkladateľ</w:t>
            </w:r>
          </w:p>
          <w:p w:rsidR="006532E7" w:rsidRPr="00A179AE" w:rsidP="00A402C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6532E7" w:rsidRPr="00A179AE" w:rsidP="00A402CE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6532E7" w:rsidRPr="00A179AE" w:rsidP="00A402CE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532E7" w:rsidRPr="00A179AE" w:rsidP="00A402CE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6532E7" w:rsidRPr="00A179AE" w:rsidP="00A402CE">
            <w:pPr>
              <w:bidi w:val="0"/>
              <w:jc w:val="center"/>
              <w:rPr>
                <w:rFonts w:ascii="Times New Roman" w:hAnsi="Times New Roman"/>
              </w:rPr>
            </w:pPr>
            <w:r w:rsidR="00E723FE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532E7" w:rsidRPr="00A179AE" w:rsidP="00A402CE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6532E7" w:rsidRPr="00A179AE" w:rsidP="00A402CE">
            <w:pPr>
              <w:bidi w:val="0"/>
              <w:jc w:val="center"/>
              <w:rPr>
                <w:rFonts w:ascii="Times New Roman" w:hAnsi="Times New Roman"/>
              </w:rPr>
            </w:pPr>
            <w:r w:rsidR="00E723FE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532E7" w:rsidRPr="00A179AE" w:rsidP="00A402CE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532E7" w:rsidP="00A402CE">
            <w:pPr>
              <w:bidi w:val="0"/>
              <w:rPr>
                <w:rFonts w:ascii="Times New Roman" w:hAnsi="Times New Roman"/>
              </w:rPr>
            </w:pPr>
          </w:p>
          <w:p w:rsidR="006532E7" w:rsidRPr="00A179AE" w:rsidP="00A402C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19DE" w:rsidP="004819DE">
            <w:pPr>
              <w:bidi w:val="0"/>
              <w:rPr>
                <w:rFonts w:ascii="Times New Roman" w:hAnsi="Times New Roman"/>
              </w:rPr>
            </w:pPr>
            <w:r w:rsidRPr="00671BDE">
              <w:rPr>
                <w:rFonts w:ascii="Times New Roman" w:hAnsi="Times New Roman"/>
              </w:rPr>
              <w:t>3.7. 2017</w:t>
            </w:r>
          </w:p>
          <w:p w:rsidR="006532E7" w:rsidRPr="00A179AE" w:rsidP="004819DE">
            <w:pPr>
              <w:bidi w:val="0"/>
              <w:rPr>
                <w:rFonts w:ascii="Times New Roman" w:hAnsi="Times New Roman"/>
                <w:i/>
              </w:rPr>
            </w:pPr>
            <w:r w:rsidR="004819DE">
              <w:rPr>
                <w:rFonts w:ascii="Times New Roman" w:hAnsi="Times New Roman"/>
              </w:rPr>
              <w:t>11. 7. 2017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819DE" w:rsidRPr="00A179AE" w:rsidP="004819DE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MPK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19DE" w:rsidRPr="00313813" w:rsidP="004819D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Júl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819DE" w:rsidRPr="00A179AE" w:rsidP="004819DE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Rokovanie vlády SR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19DE" w:rsidRPr="00A179AE" w:rsidP="004819DE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August</w:t>
            </w:r>
            <w:r w:rsidRPr="00434175">
              <w:rPr>
                <w:rFonts w:ascii="Times New Roman" w:hAnsi="Times New Roman"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4819DE" w:rsidRPr="00A179AE" w:rsidP="004819D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819DE" w:rsidRPr="00A179AE" w:rsidP="004819D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Defin</w:t>
            </w:r>
            <w:r>
              <w:rPr>
                <w:rFonts w:ascii="Times New Roman" w:hAnsi="Times New Roman"/>
                <w:b/>
              </w:rPr>
              <w:t>ovanie</w:t>
            </w:r>
            <w:r w:rsidRPr="00A179AE">
              <w:rPr>
                <w:rFonts w:ascii="Times New Roman" w:hAnsi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819DE" w:rsidP="004819DE">
            <w:pPr>
              <w:bidi w:val="0"/>
              <w:spacing w:after="60"/>
              <w:rPr>
                <w:rFonts w:ascii="Times New Roman" w:hAnsi="Times New Roman"/>
                <w:i/>
                <w:sz w:val="22"/>
                <w:szCs w:val="22"/>
              </w:rPr>
            </w:pPr>
            <w:r w:rsidRPr="00FA4BDE">
              <w:rPr>
                <w:rFonts w:ascii="Times New Roman" w:hAnsi="Times New Roman"/>
                <w:i/>
                <w:sz w:val="22"/>
                <w:szCs w:val="22"/>
              </w:rPr>
              <w:t>Do zákona č. 351/2011 Z. z. o elektronických komunikáciách v znení neskorších predpisov nebola úplne transponovaná smernica Európskeho parlamentu a Rady (EÚ) 2014/61/EÚ o opatreniach na zníženie nákladov na zavedenie vysokorýchlostných elektronických komunikačných služieb (ďalej len „smernica o opatreniach na zníženie nákladov“), nakoľko neboli zapracované ustanovenia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FA4BDE">
              <w:rPr>
                <w:rFonts w:ascii="Times New Roman" w:hAnsi="Times New Roman"/>
                <w:i/>
                <w:sz w:val="22"/>
                <w:szCs w:val="22"/>
              </w:rPr>
              <w:t>upravujúce fungovanie jednotného informačného miesta. S cieľom efektívne plánovať budovanie sietí a zabezpečiť čo najúčinnejšie využívanie existujúcej infraštruktúry, by mali mať podniky možnosť prístupu k minimálnym informáciám týkajúcim sa fyzickej infraštruktúry, ktoré sú už k dispozícii v elektronickej podobe, a to prostredníctvom jednotného informačného miesta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:rsidR="004819DE" w:rsidRPr="00D734CF" w:rsidP="004819DE">
            <w:pPr>
              <w:bidi w:val="0"/>
              <w:spacing w:after="60"/>
              <w:rPr>
                <w:rFonts w:ascii="Times New Roman" w:hAnsi="Times New Roman"/>
                <w:i/>
                <w:sz w:val="22"/>
                <w:szCs w:val="22"/>
              </w:rPr>
            </w:pPr>
            <w:r w:rsidRPr="00D734CF">
              <w:rPr>
                <w:rFonts w:ascii="Times New Roman" w:hAnsi="Times New Roman"/>
                <w:i/>
                <w:sz w:val="22"/>
                <w:szCs w:val="22"/>
              </w:rPr>
              <w:t>Aby sa zabezpečil prístup k otvorenému internetu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podľa </w:t>
            </w:r>
            <w:r w:rsidRPr="001C1A7D">
              <w:rPr>
                <w:rFonts w:ascii="Times New Roman" w:hAnsi="Times New Roman"/>
                <w:i/>
                <w:sz w:val="22"/>
                <w:szCs w:val="22"/>
              </w:rPr>
              <w:t>Nariadenia Európskeho parlamentu a Rady (EÚ) 2015/2120</w:t>
            </w:r>
            <w:r w:rsidRPr="00D734CF">
              <w:rPr>
                <w:rFonts w:ascii="Times New Roman" w:hAnsi="Times New Roman"/>
                <w:i/>
                <w:sz w:val="22"/>
                <w:szCs w:val="22"/>
              </w:rPr>
              <w:t>, z aplikačnej praxe vyplynula potreba úpravy postupu pre vydávanie rozhodnutí, ktorými bude môcť Úrad pre reguláciu elektronických komunikácií a poštových služieb z vlastného podnetu ukladať jednému alebo viacerým poskytovateľom elektronických komunikačných sietí a elektronických komunikačných služieb požiadavky na technické charakteristiky, minimálne požiadavky na kvalitu služieb a ostatné primerané a nevyhnutné opatrenia.</w:t>
            </w:r>
          </w:p>
          <w:p w:rsidR="004819DE" w:rsidRPr="00343E43" w:rsidP="004819DE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343E43">
              <w:rPr>
                <w:rFonts w:ascii="Times New Roman" w:hAnsi="Times New Roman"/>
                <w:i/>
                <w:sz w:val="22"/>
                <w:szCs w:val="22"/>
              </w:rPr>
              <w:t>Transpozíci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o</w:t>
            </w:r>
            <w:r w:rsidRPr="00343E43">
              <w:rPr>
                <w:rFonts w:ascii="Times New Roman" w:hAnsi="Times New Roman"/>
                <w:i/>
                <w:sz w:val="22"/>
                <w:szCs w:val="22"/>
              </w:rPr>
              <w:t xml:space="preserve">u </w:t>
            </w:r>
            <w:r w:rsidRPr="00343E4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Rozhodnutia Európskeho parlamentu a Rady č. 585/2014/EÚ z 15. mája 2014 o zavedení interoperabilnej služby eCall v celej EÚ, sa rozšíria služby poskytované občanom na čísle tiesňového volania 112 o volanie eCall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.</w:t>
            </w:r>
          </w:p>
          <w:p w:rsidR="004819DE" w:rsidRPr="00343E43" w:rsidP="004819DE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Ďalšími n</w:t>
            </w:r>
            <w:r w:rsidRPr="00343E43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avrhovanými ustanoveniami sa súčasne rozšíria služby poskytované občanom na čísle tiesňového volania 112 aj pre osoby so zdravotným postihnutím, a to prostredníctvom krátkych textových správ (SMS).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819DE" w:rsidRPr="00A179AE" w:rsidP="004819D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819DE" w:rsidRPr="00C165A5" w:rsidP="004819DE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C165A5">
              <w:rPr>
                <w:rFonts w:ascii="Times New Roman" w:hAnsi="Times New Roman"/>
                <w:i/>
                <w:sz w:val="22"/>
                <w:szCs w:val="22"/>
              </w:rPr>
              <w:t>Cieľom návrh zákona je:</w:t>
            </w:r>
          </w:p>
          <w:p w:rsidR="004819DE" w:rsidRPr="00C165A5" w:rsidP="004819DE">
            <w:pPr>
              <w:pStyle w:val="ListParagraph"/>
              <w:numPr>
                <w:numId w:val="3"/>
              </w:numPr>
              <w:bidi w:val="0"/>
              <w:spacing w:line="240" w:lineRule="auto"/>
              <w:ind w:left="426" w:hanging="357"/>
              <w:rPr>
                <w:rFonts w:ascii="Times New Roman" w:hAnsi="Times New Roman"/>
                <w:i/>
              </w:rPr>
            </w:pPr>
            <w:r w:rsidRPr="00C165A5">
              <w:rPr>
                <w:rFonts w:ascii="Times New Roman" w:hAnsi="Times New Roman"/>
                <w:i/>
              </w:rPr>
              <w:t>úplná transpozícia smernice Európskeho parlamentu a Rady (EÚ) 2014/61/EÚ o opatreniach na zníženie nákladov na zavedenie vysokorýchlostných elektronických komunikačných služieb chýbajúcich ustanovení upravujúcich fungovanie jednotného informačného miesta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4819DE" w:rsidRPr="00C165A5" w:rsidP="004819DE">
            <w:pPr>
              <w:pStyle w:val="ListParagraph"/>
              <w:numPr>
                <w:numId w:val="3"/>
              </w:numPr>
              <w:bidi w:val="0"/>
              <w:spacing w:line="240" w:lineRule="auto"/>
              <w:ind w:left="426" w:hanging="357"/>
              <w:rPr>
                <w:rFonts w:ascii="Times New Roman" w:hAnsi="Times New Roman"/>
                <w:i/>
              </w:rPr>
            </w:pPr>
            <w:r w:rsidRPr="00C165A5">
              <w:rPr>
                <w:rFonts w:ascii="Times New Roman" w:hAnsi="Times New Roman"/>
                <w:i/>
              </w:rPr>
              <w:t>odstránenie problémov vyplývajúcich z aplikačnej praxe v súvislosti s Nariadením Európskeho parlamentu a Rady (EÚ) 2015/2120, ktorým sa ustanovujú opatrenia týkajúce sa prístupu k otvorenému internetu a ktorým sa mení smernica 2002/22/ES o univerzálnej službe a právach užívateľov týkajúcich sa elektronických komunikačných sietí a služieb a nariadenie (EÚ) č. 531/2012 o roamingu vo verejných mobilných komunikačných sieťach v rámci EÚ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4819DE" w:rsidRPr="00C165A5" w:rsidP="004819DE">
            <w:pPr>
              <w:pStyle w:val="ListParagraph"/>
              <w:numPr>
                <w:numId w:val="3"/>
              </w:numPr>
              <w:bidi w:val="0"/>
              <w:spacing w:after="0" w:line="240" w:lineRule="auto"/>
              <w:ind w:left="426" w:hanging="357"/>
              <w:rPr>
                <w:rFonts w:ascii="Times New Roman" w:hAnsi="Times New Roman"/>
                <w:i/>
              </w:rPr>
            </w:pPr>
            <w:r w:rsidRPr="00C165A5">
              <w:rPr>
                <w:rFonts w:ascii="Times New Roman" w:hAnsi="Times New Roman"/>
                <w:i/>
              </w:rPr>
              <w:t xml:space="preserve">transpozícia </w:t>
            </w:r>
            <w:r w:rsidRPr="00C165A5">
              <w:rPr>
                <w:rFonts w:ascii="Times New Roman" w:hAnsi="Times New Roman"/>
                <w:i/>
                <w:color w:val="000000"/>
              </w:rPr>
              <w:t>Rozhodnutia Európskeho parlamentu a Rady č. 585/2014/EÚ z 15. mája 2014 o zavedení interoperabilnej služby eCall v celej EÚ, ktorou sa rozšíria služby poskytované občanom na čísle tiesňového volania 112 o volanie eCall</w:t>
            </w:r>
            <w:r>
              <w:rPr>
                <w:rFonts w:ascii="Times New Roman" w:hAnsi="Times New Roman"/>
                <w:i/>
                <w:color w:val="000000"/>
              </w:rPr>
              <w:t>,</w:t>
            </w:r>
          </w:p>
          <w:p w:rsidR="004819DE" w:rsidRPr="00E81F1F" w:rsidP="004819DE">
            <w:pPr>
              <w:pStyle w:val="ListParagraph"/>
              <w:numPr>
                <w:numId w:val="3"/>
              </w:numPr>
              <w:bidi w:val="0"/>
              <w:spacing w:after="0" w:line="240" w:lineRule="auto"/>
              <w:ind w:left="426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zabezpečiť </w:t>
            </w:r>
            <w:r w:rsidRPr="00C165A5">
              <w:rPr>
                <w:rFonts w:ascii="Times New Roman" w:hAnsi="Times New Roman"/>
                <w:i/>
                <w:color w:val="000000"/>
              </w:rPr>
              <w:t>rovnaký prístup k tiesňovým službám poskytovaných občanom na čísle tiesňového volania 112 aj pre osoby so zdravotným postihnutím prostredníctvom krátkych textových správ (SMS)</w:t>
            </w:r>
            <w:r>
              <w:rPr>
                <w:rFonts w:ascii="Times New Roman" w:hAnsi="Times New Roman"/>
                <w:i/>
                <w:color w:val="000000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819DE" w:rsidRPr="00A179AE" w:rsidP="004819D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819DE" w:rsidRPr="007E2F93" w:rsidP="004819DE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7E2F93">
              <w:rPr>
                <w:rFonts w:ascii="Times New Roman" w:hAnsi="Times New Roman"/>
                <w:i/>
                <w:sz w:val="22"/>
                <w:szCs w:val="22"/>
              </w:rPr>
              <w:t>Úrad pre reguláciu elektronických komunikácií a poštových služieb, fyzické a právnické osoby pôsobiace v sek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tore elektronických komunikácií.</w:t>
            </w:r>
          </w:p>
          <w:p w:rsidR="004819DE" w:rsidRPr="007E2F93" w:rsidP="004819DE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7E2F93">
              <w:rPr>
                <w:rFonts w:ascii="Times New Roman" w:hAnsi="Times New Roman"/>
                <w:i/>
                <w:sz w:val="22"/>
                <w:szCs w:val="22"/>
              </w:rPr>
              <w:t>Ministerstv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o</w:t>
            </w:r>
            <w:r w:rsidRPr="007E2F93">
              <w:rPr>
                <w:rFonts w:ascii="Times New Roman" w:hAnsi="Times New Roman"/>
                <w:i/>
                <w:sz w:val="22"/>
                <w:szCs w:val="22"/>
              </w:rPr>
              <w:t xml:space="preserve"> vnútra Slovenskej republiky pri výkone pôsobnosti v oblasti  integrovaného záchranného systému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819DE" w:rsidRPr="00A179AE" w:rsidP="004819D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819DE" w:rsidRPr="003611D3" w:rsidP="004819DE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3611D3">
              <w:rPr>
                <w:rFonts w:ascii="Times New Roman" w:hAnsi="Times New Roman"/>
                <w:i/>
                <w:sz w:val="22"/>
                <w:szCs w:val="22"/>
              </w:rPr>
              <w:t xml:space="preserve">Neboli posudzované žiadne alternatívne riešenia.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819DE" w:rsidRPr="00A179AE" w:rsidP="004819D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819DE" w:rsidRPr="00A179AE" w:rsidP="004819DE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819DE" w:rsidRPr="00A179AE" w:rsidP="004819D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MS Gothic" w:eastAsia="MS Gothic" w:hAnsi="MS Gothic"/>
              </w:rPr>
              <w:t>x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819DE" w:rsidRPr="00A179AE" w:rsidP="004819DE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819DE" w:rsidRPr="00A179AE" w:rsidP="004819DE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3B4986" w:rsidRPr="002542E2" w:rsidP="003B4986">
            <w:pPr>
              <w:bidi w:val="0"/>
              <w:spacing w:before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2542E2" w:rsidR="004819DE">
              <w:rPr>
                <w:rFonts w:ascii="Times New Roman" w:hAnsi="Times New Roman"/>
                <w:i/>
                <w:sz w:val="22"/>
                <w:szCs w:val="22"/>
              </w:rPr>
              <w:t>Opatrenie Úradu pre reguláciu elektronických komunikácií a poštových služieb, ktorým sa ustanovujú podrobnosti o požiadavkách týkajúcich sa obsahu, formy a spôsobu podania a monitorovania informácií podľa čl. 4 ods. 3 Nariadenia Európskeho parlamentu a Rady (EÚ) 2015/2120.</w:t>
            </w:r>
          </w:p>
          <w:p w:rsidR="003B4986" w:rsidRPr="002542E2" w:rsidP="003B4986">
            <w:pPr>
              <w:bidi w:val="0"/>
              <w:spacing w:before="12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542E2" w:rsidR="00A954AC">
              <w:rPr>
                <w:rFonts w:ascii="Times New Roman" w:hAnsi="Times New Roman"/>
                <w:i/>
                <w:sz w:val="22"/>
                <w:szCs w:val="22"/>
              </w:rPr>
              <w:t>Opatrenie Úradu pre reguláciu elektronických komunikácií a poštových služieb, ktorým sa ustanovujú podrobnosti o</w:t>
            </w:r>
            <w:r w:rsidRPr="002542E2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spôsobe a forme poskytovania informácií jednotnému informačnému miestu a ich sprístupňovania podnikom prostredníctvom jednotného informačného miesta.</w:t>
            </w:r>
          </w:p>
          <w:p w:rsidR="004819DE" w:rsidRPr="002542E2" w:rsidP="003B4986">
            <w:pPr>
              <w:bidi w:val="0"/>
              <w:spacing w:before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2542E2">
              <w:rPr>
                <w:rFonts w:ascii="Times New Roman" w:hAnsi="Times New Roman"/>
                <w:i/>
                <w:sz w:val="22"/>
                <w:szCs w:val="22"/>
              </w:rPr>
              <w:t>Vyhláška Ministerstva vnútra Slovenskej republiky č. 91/2013 Z. z. ktorou sa ustanovujú podrobnosti o poskytovaní identifikácie volajúceho a o poskytovaní lokalizačných údajov.</w:t>
            </w:r>
          </w:p>
          <w:p w:rsidR="004819DE" w:rsidRPr="00E57105" w:rsidP="004819D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819DE" w:rsidRPr="00A179AE" w:rsidP="004819D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819DE" w:rsidRPr="003611D3" w:rsidP="004819DE">
            <w:pPr>
              <w:pStyle w:val="ListParagraph"/>
              <w:numPr>
                <w:numId w:val="3"/>
              </w:numPr>
              <w:bidi w:val="0"/>
              <w:spacing w:after="0" w:line="240" w:lineRule="auto"/>
              <w:ind w:left="425" w:hanging="357"/>
              <w:rPr>
                <w:rFonts w:ascii="Times New Roman" w:hAnsi="Times New Roman"/>
                <w:i/>
              </w:rPr>
            </w:pPr>
            <w:r w:rsidRPr="003611D3">
              <w:rPr>
                <w:rFonts w:ascii="Times New Roman" w:hAnsi="Times New Roman"/>
                <w:i/>
              </w:rPr>
              <w:t>úplná transpozícia smernice Európskeho parlamentu a Rady (EÚ) 2014/61/EÚ o opatreniach na zníženie nákladov na zavedenie vysokorýchlostných elektronických komunikačných služieb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4819DE" w:rsidRPr="00C979B7" w:rsidP="004819DE">
            <w:pPr>
              <w:pStyle w:val="ListParagraph"/>
              <w:numPr>
                <w:numId w:val="3"/>
              </w:numPr>
              <w:bidi w:val="0"/>
              <w:spacing w:after="0" w:line="240" w:lineRule="auto"/>
              <w:ind w:left="425" w:hanging="357"/>
              <w:rPr>
                <w:i/>
              </w:rPr>
            </w:pPr>
            <w:r w:rsidRPr="003611D3">
              <w:rPr>
                <w:rFonts w:ascii="Times New Roman" w:hAnsi="Times New Roman"/>
                <w:i/>
              </w:rPr>
              <w:t xml:space="preserve">transpozícia </w:t>
            </w:r>
            <w:r w:rsidRPr="003611D3">
              <w:rPr>
                <w:rFonts w:ascii="Times New Roman" w:hAnsi="Times New Roman"/>
                <w:i/>
                <w:color w:val="000000"/>
              </w:rPr>
              <w:t>Rozhodnutia Európskeho parlamentu a Rady č. 585/2014/EÚ z 15. mája 2014 o zavedení interoperabilnej služby eCall v celej EÚ</w:t>
            </w:r>
            <w:r>
              <w:rPr>
                <w:rFonts w:ascii="Times New Roman" w:hAnsi="Times New Roman"/>
                <w:i/>
                <w:color w:val="000000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4819DE" w:rsidRPr="00A179AE" w:rsidP="004819DE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819DE" w:rsidRPr="00A179AE" w:rsidP="004819D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Preskúmanie účelnosti</w:t>
            </w:r>
            <w:r>
              <w:rPr>
                <w:rFonts w:ascii="Times New Roman" w:hAnsi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819DE" w:rsidRPr="00A179AE" w:rsidP="004819DE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819DE" w:rsidP="004819DE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4819DE" w:rsidP="004819DE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vyplniť iba v prípade, </w:t>
            </w:r>
            <w:r w:rsidRPr="004C60B8">
              <w:rPr>
                <w:rFonts w:ascii="Times New Roman" w:hAnsi="Times New Roman"/>
              </w:rPr>
              <w:t>ak materiál nie je zahrnutý do Plánu práce vlády Slovenskej republiky alebo Plán</w:t>
            </w:r>
            <w:r>
              <w:rPr>
                <w:rFonts w:ascii="Times New Roman" w:hAnsi="Times New Roman"/>
              </w:rPr>
              <w:t>u</w:t>
            </w:r>
            <w:r w:rsidRPr="004C60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819DE" w:rsidRPr="00A179AE" w:rsidP="004819D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819DE" w:rsidRPr="00A179AE" w:rsidP="004819DE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  <w:hideMark/>
          </w:tcPr>
          <w:p w:rsidR="006532E7" w:rsidRPr="00432293" w:rsidP="006532E7">
            <w:pPr>
              <w:pStyle w:val="ListParagraph"/>
              <w:numPr>
                <w:numId w:val="1"/>
              </w:numPr>
              <w:bidi w:val="0"/>
              <w:rPr>
                <w:rFonts w:ascii="Times New Roman" w:hAnsi="Times New Roman"/>
                <w:b/>
              </w:rPr>
            </w:pPr>
            <w:r w:rsidRPr="00432293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532E7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Vplyvy na rozpočet verejnej správy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DA1793">
              <w:rPr>
                <w:rFonts w:ascii="MS Gothic" w:eastAsia="MS Gothic" w:hAnsi="MS Gothic" w:cs="MS Mincho" w:hint="eastAsia"/>
                <w:b/>
              </w:rPr>
              <w:t>☒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B155A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B155A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cs="MS Mincho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6B155A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532E7" w:rsidP="00A402CE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z toho rozpočtovo zabezpečené vplyvy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957139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6B2A1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40533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957139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13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40533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957139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6B2A16">
              <w:rPr>
                <w:rFonts w:ascii="MS Gothic" w:eastAsia="MS Gothic" w:hAnsi="MS Gothic" w:cs="MS Mincho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40533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532E7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Vplyvy na podnikateľské prostredie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5B11E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  <w:hideMark/>
          </w:tcPr>
          <w:p w:rsidR="006532E7" w:rsidP="00A402CE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z toho vplyvy na MSP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957139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432293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40533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957139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13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40533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957139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5B11E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40533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532E7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Sociálne vplyvy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55A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532E7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Vplyvy na životné prostredie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55A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55A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  <w:hideMark/>
          </w:tcPr>
          <w:p w:rsidR="006532E7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Vplyvy na informatizáciu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55A" w:rsidR="00A954AC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A954AC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155A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532E7" w:rsidRPr="00140533" w:rsidP="00A402CE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653ADA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hAnsi="Times New Roman"/>
                <w:b/>
                <w:lang w:eastAsia="en-US"/>
              </w:rPr>
              <w:t>plyv</w:t>
            </w:r>
            <w:r>
              <w:rPr>
                <w:rFonts w:ascii="Times New Roman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hAnsi="Times New Roman"/>
                <w:b/>
                <w:lang w:eastAsia="en-US"/>
              </w:rPr>
              <w:t xml:space="preserve"> na služby verejnej správy pre občana</w:t>
            </w:r>
            <w:r>
              <w:rPr>
                <w:rFonts w:ascii="Times New Roman" w:hAnsi="Times New Roman"/>
                <w:b/>
                <w:lang w:eastAsia="en-US"/>
              </w:rPr>
              <w:t>, z 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6532E7" w:rsidRPr="00653ADA" w:rsidP="00A402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6532E7" w:rsidRPr="00653ADA" w:rsidP="00A402CE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6532E7" w:rsidRPr="00653ADA" w:rsidP="00A402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6532E7" w:rsidRPr="00653ADA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6532E7" w:rsidRPr="00653ADA" w:rsidP="00A402CE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6532E7" w:rsidRPr="00653ADA" w:rsidP="00A402CE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E57B5B" w:rsidP="00A402CE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 w:rsidRPr="00E57B5B">
              <w:rPr>
                <w:rFonts w:ascii="Times New Roman" w:hAnsi="Times New Roman"/>
                <w:b/>
                <w:lang w:eastAsia="en-US"/>
              </w:rPr>
              <w:t xml:space="preserve">    vplyv</w:t>
            </w:r>
            <w:r>
              <w:rPr>
                <w:rFonts w:ascii="Times New Roman" w:hAnsi="Times New Roman"/>
                <w:b/>
                <w:lang w:eastAsia="en-US"/>
              </w:rPr>
              <w:t>y</w:t>
            </w:r>
            <w:r w:rsidRPr="00E57B5B">
              <w:rPr>
                <w:rFonts w:ascii="Times New Roman" w:hAnsi="Times New Roman"/>
                <w:b/>
                <w:lang w:eastAsia="en-US"/>
              </w:rPr>
              <w:t xml:space="preserve"> služ</w:t>
            </w:r>
            <w:r>
              <w:rPr>
                <w:rFonts w:ascii="Times New Roman" w:hAnsi="Times New Roman"/>
                <w:b/>
                <w:lang w:eastAsia="en-US"/>
              </w:rPr>
              <w:t>ieb</w:t>
            </w:r>
            <w:r w:rsidRPr="00E57B5B">
              <w:rPr>
                <w:rFonts w:ascii="Times New Roman" w:hAnsi="Times New Roman"/>
                <w:b/>
                <w:lang w:eastAsia="en-US"/>
              </w:rPr>
              <w:t xml:space="preserve"> verejnej správy </w:t>
            </w:r>
            <w:r>
              <w:rPr>
                <w:rFonts w:ascii="Times New Roman" w:hAnsi="Times New Roman"/>
                <w:b/>
                <w:lang w:eastAsia="en-US"/>
              </w:rPr>
              <w:t>na</w:t>
            </w:r>
            <w:r w:rsidRPr="00E57B5B">
              <w:rPr>
                <w:rFonts w:ascii="Times New Roman" w:hAnsi="Times New Roman"/>
                <w:b/>
                <w:lang w:eastAsia="en-US"/>
              </w:rPr>
              <w:t xml:space="preserve">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9B077C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9B077C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6532E7" w:rsidRPr="00140533" w:rsidP="00A402CE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E57B5B" w:rsidP="00A402CE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 w:rsidR="003611D3">
              <w:rPr>
                <w:rFonts w:ascii="Times New Roman" w:hAnsi="Times New Roman"/>
                <w:b/>
                <w:lang w:eastAsia="en-US"/>
              </w:rPr>
              <w:t xml:space="preserve">    </w:t>
            </w:r>
            <w:r w:rsidRPr="00E57B5B">
              <w:rPr>
                <w:rFonts w:ascii="Times New Roman" w:hAnsi="Times New Roman"/>
                <w:b/>
                <w:lang w:eastAsia="en-US"/>
              </w:rPr>
              <w:t>vplyv</w:t>
            </w:r>
            <w:r>
              <w:rPr>
                <w:rFonts w:ascii="Times New Roman" w:hAnsi="Times New Roman"/>
                <w:b/>
                <w:lang w:eastAsia="en-US"/>
              </w:rPr>
              <w:t>y</w:t>
            </w:r>
            <w:r w:rsidRPr="00E57B5B">
              <w:rPr>
                <w:rFonts w:ascii="Times New Roman" w:hAnsi="Times New Roman"/>
                <w:b/>
                <w:lang w:eastAsia="en-US"/>
              </w:rPr>
              <w:t xml:space="preserve">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265B5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265B5D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532E7" w:rsidRPr="00140533" w:rsidP="00A402C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532E7" w:rsidRPr="006B155A" w:rsidP="00A402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32E7" w:rsidRPr="00140533" w:rsidP="00A402CE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140533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6532E7" w:rsidP="006532E7">
      <w:pPr>
        <w:bidi w:val="0"/>
        <w:jc w:val="both"/>
        <w:rPr>
          <w:rFonts w:ascii="Times New Roman" w:hAnsi="Times New Roman"/>
        </w:rPr>
      </w:pPr>
    </w:p>
    <w:p w:rsidR="006532E7" w:rsidRPr="00A179AE" w:rsidP="006532E7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6532E7" w:rsidRPr="00A179AE" w:rsidP="00A402CE">
            <w:pPr>
              <w:bidi w:val="0"/>
              <w:rPr>
                <w:rFonts w:ascii="Times New Roman" w:hAnsi="Times New Roman"/>
                <w:b/>
              </w:rPr>
            </w:pPr>
            <w:r w:rsidRPr="00CC25AB" w:rsidR="00931078">
              <w:rPr>
                <w:rFonts w:ascii="Times New Roman" w:hAnsi="Times New Roman"/>
                <w:sz w:val="22"/>
                <w:szCs w:val="22"/>
              </w:rPr>
              <w:t>Kvantifikácia pozitívneho vplyvu na rozpočet verejnej správy v súvislosti so zavedením nových sankcií za neplnenie povinnosti nie je možná vzhľadom na skutočnosť, že nie je možné vopred predpokladať počet porušení ani výšku uložených pokút.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532E7" w:rsidRPr="003611D3" w:rsidP="006532E7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="00265B5D">
              <w:rPr>
                <w:rFonts w:ascii="Times New Roman" w:hAnsi="Times New Roman"/>
                <w:i/>
                <w:sz w:val="22"/>
                <w:szCs w:val="22"/>
              </w:rPr>
              <w:t>JUDr. Michaela Jánošíková</w:t>
            </w:r>
            <w:r w:rsidRPr="003611D3">
              <w:rPr>
                <w:rFonts w:ascii="Times New Roman" w:hAnsi="Times New Roman"/>
                <w:i/>
                <w:sz w:val="22"/>
                <w:szCs w:val="22"/>
              </w:rPr>
              <w:t>,  riaditeľ</w:t>
            </w:r>
            <w:r w:rsidR="00265B5D">
              <w:rPr>
                <w:rFonts w:ascii="Times New Roman" w:hAnsi="Times New Roman"/>
                <w:i/>
                <w:sz w:val="22"/>
                <w:szCs w:val="22"/>
              </w:rPr>
              <w:t>ka</w:t>
            </w:r>
            <w:r w:rsidRPr="003611D3">
              <w:rPr>
                <w:rFonts w:ascii="Times New Roman" w:hAnsi="Times New Roman"/>
                <w:i/>
                <w:sz w:val="22"/>
                <w:szCs w:val="22"/>
              </w:rPr>
              <w:t xml:space="preserve"> odboru elektronických komunikácií, Ministerstvo dopravy a výstavby SR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532E7" w:rsidRPr="00A179AE" w:rsidP="00A402CE">
            <w:pPr>
              <w:bidi w:val="0"/>
              <w:rPr>
                <w:rFonts w:ascii="Times New Roman" w:hAnsi="Times New Roman"/>
                <w:i/>
              </w:rPr>
            </w:pPr>
          </w:p>
          <w:p w:rsidR="006532E7" w:rsidRPr="00A179AE" w:rsidP="00A402CE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6532E7" w:rsidRPr="00A179AE" w:rsidP="00A402CE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Stanovisko </w:t>
            </w:r>
            <w:r>
              <w:rPr>
                <w:rFonts w:ascii="Times New Roman" w:hAnsi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31078" w:rsidRPr="002542E2" w:rsidP="0093107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Komisia vyjadrila nesúhlasné stanovisko s materiálom predloženým na predbežné pripomienkové konanie s odporúčaním na jeho dopracovanie podľa týchto pripomienok:</w:t>
            </w:r>
          </w:p>
          <w:p w:rsidR="00931078" w:rsidRPr="002542E2" w:rsidP="00931078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/>
                <w:bCs/>
                <w:sz w:val="22"/>
                <w:szCs w:val="22"/>
              </w:rPr>
              <w:t>K doložke vybraných vplyvov</w:t>
            </w:r>
          </w:p>
          <w:p w:rsidR="00931078" w:rsidRPr="002542E2" w:rsidP="00931078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 xml:space="preserve">V doložke vybraných vplyvov je v bode 9. Vplyvy navrhovaného materiálu uvedené, že materiál má negatívne vplyvy na rozpočet verejnej správy, pričom nie je označené ich rozpočtové zabezpečenie. Uvedené je potrebné doplniť. </w:t>
            </w:r>
          </w:p>
          <w:p w:rsidR="00931078" w:rsidRPr="002542E2" w:rsidP="00931078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Neakceptované - K pripomienkam Komisie týkajúcich sa vplyvov na rozpočet verejnej správy a vplyvov na služby verejnej správy pre občana sa uskutočnia rokovania s Ministerstvom financií SR a Ministerstvom vnútra SR v priebehu medzirezortného pripomienkového konania.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V nadväznosti na zavedenie nových sankcií a úpravu výšky pokút je možné predpokladať aj pozitívny vplyv na rozpočet verejnej správy, čo je potrebné tiež uviesť v doložke vybraných vplyvov spolu s kvantifikáciou, resp. odôvodnením, ak táto nie je možná. akceptované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Komisia ďalej predkladateľovi odporúča doplniť údaje o termínoch predloženia materiálu na PPK, MPK a Rokovanie vlády SR v bode 1. Základné údaje. akceptované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/>
                <w:bCs/>
                <w:sz w:val="22"/>
                <w:szCs w:val="22"/>
              </w:rPr>
              <w:t>K analýze vplyvov na rozpočet verejnej správy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 xml:space="preserve">V analýze vplyvov na rozpočet verejnej správy v tabuľke č. 1 sú v súvislosti s prevádzkou Jednotného informačného miesta (prevádzku ktorého má zabezpečovať Úrad pre reguláciu elektronických komunikácií a poštových služieb) kvantifikované výdavky na rok 2018 vo výške 324 462 eur, na rok 2019 vo výške 282 855 eur, na rok 2020 vo výške 333 014 eur a na rok 2021 vo výške 330 014 eur ako rozpočtovo nekryté. Zároveň z analýzy vyplýva aj požiadavka na zvýšenie počtu zamestnancov na rok 2018 o 6 zamestnancov, na rok 2019 o 3 zamestnancov, na ďalšie roky o ďalších 2 zamestnancov. S rozpočtovo nekrytým vplyvom Komisia nesúhlasí a materiál žiada prepracovať tak, aby všetky požiadavky z neho vyplývajúce boli zabezpečené v rámci záväzných limitov počtu zamestnancov a výdavkov kapitoly MDV SR na príslušný rozpočtový rok. 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Neakceptované - K pripomienkam Komisie týkajúcich sa vplyvov na rozpočet verejnej správy a vplyvov na služby verejnej správy pre občana sa uskutočnia rokovania s Ministerstvom financií SR a Ministerstvom vnútra SR v priebehu medzirezortného pripomienkového konania.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Komisia upozorňuje, že v analýze vplyvov v tabuľke č. 1 je potrebné k výdavkom MV SR doplniť program v rámci programovej štruktúry kapitoly MV SR. V tabuľke č. 5 v osobných výdavkoch na rok 2018 je uvedená nesprávna suma 255 462 eur, správne má byť suma osobných výdavkov 155 462 eur (mzdy 115 200 eur + poistné 40 262 eur = 155 462 eur). akceptované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/>
                <w:bCs/>
                <w:sz w:val="22"/>
                <w:szCs w:val="22"/>
              </w:rPr>
              <w:t>K analýze vplyvov na služby verejnej správy pre občana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Komisia po preskúmaní predmetného materiálu súhlasí s vyznačením pozitívneho vplyvu na služby verejnej správy na občana, ale nesúhlasí s vyznačením žiadneho vplyvu na procesy služieb vo verejnej správe.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V analýze vplyvov na služby verejnej správy pre občana v časti 7. 3 sú uvedené nové povinnosti vyplývajúce pre Ministerstvo vnútra Slovenskej republiky, okresné úrady v sídle kraja ako zriaďovateľ koordinačného strediska integrovaného záchranného systému zabezpečujúceho príjem tiesňového volania a záchranné zložky integrovaného záchranného systému, a to: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numPr>
                <w:numId w:val="5"/>
              </w:numPr>
              <w:suppressAutoHyphens/>
              <w:bidi w:val="0"/>
              <w:spacing w:line="100" w:lineRule="atLeast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zabezpečenie príjmu a spracovania tiesňovej komunikácie prostredníctvom SMS na číslo tiesňového volania 112 na koordinačnom stredisku integrovaného záchranného systému rovnakým spôsobom ako v prípade hlasových tiesňových volaní.</w:t>
            </w:r>
          </w:p>
          <w:p w:rsidR="00931078" w:rsidRPr="002542E2" w:rsidP="00931078">
            <w:pPr>
              <w:numPr>
                <w:numId w:val="5"/>
              </w:numPr>
              <w:suppressAutoHyphens/>
              <w:bidi w:val="0"/>
              <w:spacing w:line="100" w:lineRule="atLeast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zabezpečenie príjmu a spracovania volaní eCall na koordinačnom stredisku integrovaného záchranného systému v súlade s požiadavkami vyplývajúcimi z legislatívy Európskej únie a s existujúcimi požiadavkami na príjem a spracovanie volaní na číslo tiesňového volania 112.</w:t>
            </w:r>
          </w:p>
          <w:p w:rsidR="00931078" w:rsidRPr="002542E2" w:rsidP="00931078">
            <w:pPr>
              <w:bidi w:val="0"/>
              <w:ind w:left="720"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 xml:space="preserve">Komisia žiada predkladateľa o špecifikáciu vznikajúcich povinností. Z vyššie uvedeného nie je zrejmé o aké zabezpečenie sa jedná, či je to len príjem a spracovanie tiesňovej komunikácie prostredníctvom SMS na číslo 112 a príjem a spracovanie volaní eCall, alebo či ide o zabezpečenie technických, personálnych a iných podmienok na vykonávanie príjmu a spracovania tiesňovej komunikácie prostredníctvom SMS na číslo 112 a príjmu a spracovania volaní eCall. 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Bližšiu špecifikáciu navrhuje Komisia uviesť aj v analýze vplyvov na služby verejnej správy pre občana v časti 7.3.2 a podľa toho aj vyznačiť vplyv pozitívny/negatívny v doložke vybraných vplyvov.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Neakceptované - K pripomienkam Komisie sa uskutočnia rokovania s Ministerstvom vnútra SR v priebehu medzirezortného pripomienkového konania.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/>
                <w:bCs/>
                <w:sz w:val="22"/>
                <w:szCs w:val="22"/>
              </w:rPr>
              <w:t>K analýze vplyvov na podnikateľské prostredie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Komisia odporúča zosúladiť znenie analýzy vplyvov na podnikateľské prostredie a vlastného materiálu v súvislosti s hornou sadzbou pokuty uvedenou v § 73 ods. 4 vo vlastnom materiáli a v časti 3.3.1 Priame finančné náklady v predmetnej analýze, a zároveň spomenúť zavedenie tejto pokuty ako priameho finančného nákladu v texte časti 3.3.4 Súhrnná tabuľka nákladov regulácie v analýze vplyvov na podnikateľské prostredie. čiastočne akceptované – text analýzy bol zosúladený s vlastným materiálom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/>
                <w:bCs/>
                <w:sz w:val="22"/>
                <w:szCs w:val="22"/>
              </w:rPr>
              <w:t>K analýze sociálnych vplyvov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Vzhľadom k tomu, že návrh zákona nepredpokladá vplyv na hospodárenie domácností (bod 4.1 analýzy), je potrebné uvedený text týkajúci sa špecifikácie dotknutých skupín z tohto bodu vypustiť. Špecifikáciu dotknutých skupín je potrebné uviesť v bode 4.2 analýzy, keďže v súvislosti s týmto bodom boli identifikované sociálne vplyvy návrhu zákona. akceptované</w:t>
            </w:r>
          </w:p>
          <w:p w:rsidR="00931078" w:rsidRPr="002542E2" w:rsidP="00931078">
            <w:pPr>
              <w:bidi w:val="0"/>
              <w:ind w:right="-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931078" w:rsidRPr="002542E2" w:rsidP="00931078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542E2">
              <w:rPr>
                <w:rFonts w:ascii="Times New Roman" w:hAnsi="Times New Roman"/>
                <w:bCs/>
                <w:sz w:val="22"/>
                <w:szCs w:val="22"/>
              </w:rPr>
              <w:t>Komisia odporúča text uvedený v bode 4.2 preformulovať tak, aby bolo z neho zrejmé v prvom rade, aký sociálny vplyv vzniká priamo v súvislosti s predloženým návrhom zákona. Akceptované.</w:t>
            </w:r>
          </w:p>
          <w:p w:rsidR="006532E7" w:rsidRPr="00A179AE" w:rsidP="00A402CE">
            <w:pPr>
              <w:bidi w:val="0"/>
              <w:rPr>
                <w:rFonts w:ascii="Times New Roman" w:hAnsi="Times New Roman"/>
                <w:b/>
              </w:rPr>
            </w:pPr>
          </w:p>
          <w:p w:rsidR="006532E7" w:rsidRPr="00A179AE" w:rsidP="00A402CE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6532E7" w:rsidP="006532E7">
      <w:pPr>
        <w:bidi w:val="0"/>
        <w:rPr>
          <w:rFonts w:ascii="Times New Roman" w:hAnsi="Times New Roman"/>
          <w:b/>
        </w:rPr>
      </w:pPr>
    </w:p>
    <w:p w:rsidR="006532E7" w:rsidP="006532E7">
      <w:pPr>
        <w:bidi w:val="0"/>
        <w:rPr>
          <w:rFonts w:ascii="Times New Roman" w:hAnsi="Times New Roman"/>
          <w:b/>
        </w:rPr>
      </w:pPr>
    </w:p>
    <w:p w:rsidR="00333E6A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33E6A" w:rsidRPr="007D5748" w:rsidP="00333E6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5748">
        <w:rPr>
          <w:rFonts w:ascii="Times New Roman" w:hAnsi="Times New Roman"/>
          <w:b/>
          <w:bCs/>
          <w:sz w:val="28"/>
          <w:szCs w:val="28"/>
        </w:rPr>
        <w:t>Analýza vplyvov na rozpočet verejnej správy,</w:t>
      </w:r>
    </w:p>
    <w:p w:rsidR="00333E6A" w:rsidRPr="007D5748" w:rsidP="00333E6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5748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333E6A" w:rsidRPr="00212894" w:rsidP="00333E6A">
      <w:pPr>
        <w:bidi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33E6A" w:rsidRPr="00212894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212894">
        <w:rPr>
          <w:rFonts w:ascii="Times New Roman" w:hAnsi="Times New Roman"/>
          <w:b/>
          <w:bCs/>
          <w:sz w:val="24"/>
          <w:szCs w:val="24"/>
        </w:rPr>
        <w:t>2.1 Zhrnutie vplyvov na rozpočet verejnej správy v návrhu</w:t>
      </w:r>
    </w:p>
    <w:p w:rsidR="00333E6A" w:rsidP="00333E6A">
      <w:pPr>
        <w:bidi w:val="0"/>
        <w:jc w:val="right"/>
        <w:rPr>
          <w:rFonts w:ascii="Times New Roman" w:hAnsi="Times New Roman"/>
        </w:rPr>
      </w:pPr>
    </w:p>
    <w:p w:rsidR="00333E6A" w:rsidRPr="007D5748" w:rsidP="00333E6A">
      <w:pPr>
        <w:bidi w:val="0"/>
        <w:jc w:val="right"/>
        <w:rPr>
          <w:rFonts w:ascii="Times New Roman" w:hAnsi="Times New Roman"/>
        </w:rPr>
      </w:pPr>
      <w:r w:rsidRPr="007D5748">
        <w:rPr>
          <w:rFonts w:ascii="Times New Roman" w:hAnsi="Times New Roman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OLE_LINK1"/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324 462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282 855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333 014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330 014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 xml:space="preserve">v tom: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Úrad pre reguláciu elektron. komunikácií a poštových služieb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324 462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282 855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333 014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330 014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27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324 462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27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282 855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27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333 014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27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330 014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B27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324 462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B27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282 855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B27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333 014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B27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330 014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7539CA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9CA">
              <w:rPr>
                <w:rFonts w:ascii="Times New Roman" w:hAnsi="Times New Roman"/>
                <w:b/>
                <w:bCs/>
                <w:sz w:val="24"/>
                <w:szCs w:val="24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</w:t>
            </w: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4 462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312</w:t>
            </w: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855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3 014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539CA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9CA">
              <w:rPr>
                <w:rFonts w:ascii="Times New Roman" w:hAnsi="Times New Roman"/>
                <w:sz w:val="24"/>
                <w:szCs w:val="24"/>
              </w:rPr>
              <w:t xml:space="preserve">v tom: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Úrad pre reguláciu elektron. komunikácií a poštových služieb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324 462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282 855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333 014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330 014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324 462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282 855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333 014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330 014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539C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324 462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539C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282 855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539C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333 014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539C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330 014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 xml:space="preserve">v tom: </w:t>
            </w:r>
            <w:r w:rsidRPr="00C162BA">
              <w:rPr>
                <w:rFonts w:ascii="Times New Roman" w:hAnsi="Times New Roman"/>
                <w:b/>
                <w:sz w:val="24"/>
                <w:szCs w:val="24"/>
              </w:rPr>
              <w:t>Ministerstvo vnútra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sz w:val="24"/>
                <w:szCs w:val="24"/>
              </w:rPr>
              <w:t>30 000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7B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30 000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CF7BE0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CF7BE0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CF7BE0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CF7BE0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30 000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172 920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211 200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172 920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211 200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30 00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30 00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30 00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30 00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</w:rPr>
              <w:t>UREKPS/07T030H</w:t>
            </w:r>
          </w:p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UREKPS/0EK0L02</w:t>
            </w:r>
          </w:p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UREKPS/0EK0l03</w:t>
            </w:r>
          </w:p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MV SR/0EK0302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Rozpočtovo nekrytý vplyv / </w:t>
            </w:r>
            <w:r w:rsidRPr="00AC3390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333E6A" w:rsidRPr="00687BE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</w:tbl>
    <w:p w:rsidR="00333E6A" w:rsidRPr="007D5748" w:rsidP="00333E6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bookmarkEnd w:id="0"/>
      <w:r w:rsidRPr="007D5748">
        <w:rPr>
          <w:rFonts w:ascii="Times New Roman" w:hAnsi="Times New Roman"/>
          <w:b/>
          <w:bCs/>
          <w:sz w:val="24"/>
          <w:szCs w:val="24"/>
        </w:rPr>
        <w:t>Financovanie návrhu - Návrh na riešenie úbytku príjmov alebo zvýšených výdavkov podľa § 33 ods. 1 zákona č. 523/2004 Z. z. o rozpočtových pravidlách verejnej správy:</w:t>
      </w:r>
    </w:p>
    <w:p w:rsidR="00333E6A" w:rsidRPr="000B2793" w:rsidP="00333E6A">
      <w:pPr>
        <w:bidi w:val="0"/>
        <w:jc w:val="both"/>
        <w:rPr>
          <w:rFonts w:ascii="Times New Roman" w:hAnsi="Times New Roman"/>
          <w:b/>
          <w:bCs/>
          <w:i/>
          <w:sz w:val="12"/>
          <w:szCs w:val="24"/>
        </w:rPr>
      </w:pPr>
    </w:p>
    <w:p w:rsidR="00333E6A" w:rsidRPr="000B2793" w:rsidP="00333E6A">
      <w:pPr>
        <w:pStyle w:val="ListParagraph"/>
        <w:numPr>
          <w:numId w:val="9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bidi w:val="0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0B2793">
        <w:rPr>
          <w:rFonts w:ascii="Times New Roman" w:hAnsi="Times New Roman"/>
          <w:i/>
          <w:sz w:val="24"/>
          <w:szCs w:val="24"/>
          <w:lang w:eastAsia="sk-SK"/>
        </w:rPr>
        <w:t>Jednotné informačné miesto (UREKPS)</w:t>
      </w:r>
    </w:p>
    <w:p w:rsidR="00333E6A" w:rsidP="00333E6A">
      <w:pPr>
        <w:pStyle w:val="ListParagraph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Pr="00BD757D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 w:rsidRPr="00EC6777">
        <w:rPr>
          <w:rFonts w:ascii="Times New Roman" w:hAnsi="Times New Roman"/>
          <w:sz w:val="24"/>
          <w:szCs w:val="24"/>
          <w:lang w:eastAsia="sk-SK"/>
        </w:rPr>
        <w:t xml:space="preserve">predpokladá výdavky spojené s prevádzkou Jednotného informačného miesta v roku 2018 vo výške </w:t>
      </w:r>
      <w:r>
        <w:rPr>
          <w:rFonts w:ascii="Times New Roman" w:hAnsi="Times New Roman"/>
          <w:sz w:val="24"/>
          <w:szCs w:val="24"/>
          <w:lang w:eastAsia="sk-SK"/>
        </w:rPr>
        <w:t>324 462</w:t>
      </w:r>
      <w:r w:rsidRPr="00EC6777">
        <w:rPr>
          <w:rFonts w:ascii="Times New Roman" w:hAnsi="Times New Roman"/>
          <w:sz w:val="24"/>
          <w:szCs w:val="24"/>
          <w:lang w:eastAsia="sk-SK"/>
        </w:rPr>
        <w:t xml:space="preserve"> EUR, v roku 2019 vo výške </w:t>
      </w:r>
      <w:r>
        <w:rPr>
          <w:rFonts w:ascii="Times New Roman" w:hAnsi="Times New Roman"/>
          <w:sz w:val="24"/>
          <w:szCs w:val="24"/>
          <w:lang w:eastAsia="sk-SK"/>
        </w:rPr>
        <w:t>282 855</w:t>
      </w:r>
      <w:r w:rsidRPr="00EC6777">
        <w:rPr>
          <w:rFonts w:ascii="Times New Roman" w:hAnsi="Times New Roman"/>
          <w:sz w:val="24"/>
          <w:szCs w:val="24"/>
          <w:lang w:eastAsia="sk-SK"/>
        </w:rPr>
        <w:t xml:space="preserve"> EUR </w:t>
      </w:r>
      <w:r>
        <w:rPr>
          <w:rFonts w:ascii="Times New Roman" w:hAnsi="Times New Roman"/>
          <w:sz w:val="24"/>
          <w:szCs w:val="24"/>
          <w:lang w:eastAsia="sk-SK"/>
        </w:rPr>
        <w:t xml:space="preserve">, v roku 2020 vo výške 333 014 EUR a od roku 2021 </w:t>
      </w:r>
      <w:r w:rsidRPr="00EC6777">
        <w:rPr>
          <w:rFonts w:ascii="Times New Roman" w:hAnsi="Times New Roman"/>
          <w:sz w:val="24"/>
          <w:szCs w:val="24"/>
          <w:lang w:eastAsia="sk-SK"/>
        </w:rPr>
        <w:t xml:space="preserve">každoročne vo výške </w:t>
      </w:r>
      <w:r>
        <w:rPr>
          <w:rFonts w:ascii="Times New Roman" w:hAnsi="Times New Roman"/>
          <w:sz w:val="24"/>
          <w:szCs w:val="24"/>
          <w:lang w:eastAsia="sk-SK"/>
        </w:rPr>
        <w:t>330 014 EUR</w:t>
      </w:r>
      <w:r w:rsidRPr="00EC6777">
        <w:rPr>
          <w:rFonts w:ascii="Times New Roman" w:hAnsi="Times New Roman"/>
          <w:sz w:val="24"/>
          <w:szCs w:val="24"/>
          <w:lang w:eastAsia="sk-SK"/>
        </w:rPr>
        <w:t xml:space="preserve">. Prevádzku Jednotného informačného miesta bude vykonávať </w:t>
      </w:r>
      <w:r>
        <w:rPr>
          <w:rFonts w:ascii="Times New Roman" w:hAnsi="Times New Roman"/>
          <w:sz w:val="24"/>
          <w:szCs w:val="24"/>
          <w:lang w:eastAsia="sk-SK"/>
        </w:rPr>
        <w:t>Úrad pre reguláciu elektronických komunikácií a poštových služieb.</w:t>
      </w:r>
      <w:r w:rsidRPr="00EC677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F7525">
        <w:rPr>
          <w:rFonts w:ascii="Times New Roman" w:hAnsi="Times New Roman"/>
          <w:bCs/>
          <w:sz w:val="24"/>
          <w:szCs w:val="24"/>
        </w:rPr>
        <w:t>Finančné prostriedky vyplývajúce z</w:t>
      </w:r>
      <w:r>
        <w:rPr>
          <w:rFonts w:ascii="Times New Roman" w:hAnsi="Times New Roman"/>
          <w:bCs/>
          <w:sz w:val="24"/>
          <w:szCs w:val="24"/>
        </w:rPr>
        <w:t xml:space="preserve">o zriadenia a činnosti Jednotného informačného miesta </w:t>
      </w:r>
      <w:r w:rsidRPr="003F7525">
        <w:rPr>
          <w:rFonts w:ascii="Times New Roman" w:hAnsi="Times New Roman"/>
          <w:bCs/>
          <w:sz w:val="24"/>
          <w:szCs w:val="24"/>
        </w:rPr>
        <w:t>sú zabezpe</w:t>
      </w:r>
      <w:r>
        <w:rPr>
          <w:rFonts w:ascii="Times New Roman" w:hAnsi="Times New Roman"/>
          <w:bCs/>
          <w:sz w:val="24"/>
          <w:szCs w:val="24"/>
        </w:rPr>
        <w:t xml:space="preserve">čené zvýšenými príjmami </w:t>
      </w:r>
      <w:r>
        <w:rPr>
          <w:rFonts w:ascii="Times New Roman" w:hAnsi="Times New Roman"/>
          <w:sz w:val="24"/>
          <w:szCs w:val="24"/>
          <w:lang w:eastAsia="sk-SK"/>
        </w:rPr>
        <w:t>Úradu pre reguláciu elektronických komunikácií a poštových služieb</w:t>
      </w:r>
      <w:r w:rsidRPr="003F7525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P</w:t>
      </w:r>
      <w:r w:rsidRPr="003F7525">
        <w:rPr>
          <w:rFonts w:ascii="Times New Roman" w:hAnsi="Times New Roman"/>
          <w:bCs/>
          <w:sz w:val="24"/>
          <w:szCs w:val="24"/>
        </w:rPr>
        <w:t xml:space="preserve">ersonálne obsadenie </w:t>
      </w:r>
      <w:r>
        <w:rPr>
          <w:rFonts w:ascii="Times New Roman" w:hAnsi="Times New Roman"/>
          <w:bCs/>
          <w:sz w:val="24"/>
          <w:szCs w:val="24"/>
        </w:rPr>
        <w:t>na zabezpečenie činností jednotného informačného miesta</w:t>
      </w:r>
      <w:r w:rsidRPr="003F75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 jednotlivých rokoch sa v súčasnej dobe predpokladá v rámci limitov kapitoly MDV</w:t>
      </w:r>
      <w:r w:rsidRPr="003F7525">
        <w:rPr>
          <w:rFonts w:ascii="Times New Roman" w:hAnsi="Times New Roman"/>
          <w:bCs/>
          <w:sz w:val="24"/>
          <w:szCs w:val="24"/>
        </w:rPr>
        <w:t xml:space="preserve"> SR</w:t>
      </w:r>
      <w:r>
        <w:rPr>
          <w:rFonts w:ascii="Times New Roman" w:hAnsi="Times New Roman"/>
          <w:bCs/>
          <w:sz w:val="24"/>
          <w:szCs w:val="24"/>
        </w:rPr>
        <w:t>, avšak uvedené závisí od aktuálneho  vývoja skutočného počtu zamestnancov kapitoly MDV SR</w:t>
      </w:r>
      <w:r w:rsidRPr="003F752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33E6A" w:rsidP="00333E6A">
      <w:pPr>
        <w:pStyle w:val="ListParagraph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</w:t>
      </w:r>
      <w:r w:rsidRPr="000B2793">
        <w:rPr>
          <w:rFonts w:ascii="Times New Roman" w:hAnsi="Times New Roman"/>
          <w:bCs/>
          <w:i/>
          <w:sz w:val="24"/>
          <w:szCs w:val="24"/>
        </w:rPr>
        <w:t xml:space="preserve">) </w:t>
      </w:r>
      <w:r w:rsidRPr="00416872">
        <w:rPr>
          <w:rFonts w:ascii="Times New Roman" w:hAnsi="Times New Roman"/>
          <w:i/>
          <w:sz w:val="24"/>
          <w:szCs w:val="24"/>
          <w:lang w:eastAsia="sk-SK"/>
        </w:rPr>
        <w:t>eCall a</w:t>
      </w:r>
      <w:r w:rsidRPr="00416872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 volania na číslo tiesňového volania 112 prostredníctvom SMS (MV SR)</w:t>
      </w:r>
    </w:p>
    <w:p w:rsidR="00333E6A" w:rsidP="00333E6A">
      <w:pPr>
        <w:pStyle w:val="ListParagraph"/>
        <w:pBdr>
          <w:left w:val="single" w:sz="4" w:space="18" w:color="auto"/>
          <w:right w:val="single" w:sz="4" w:space="4" w:color="auto"/>
        </w:pBdr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996E30">
        <w:rPr>
          <w:rFonts w:ascii="Times New Roman" w:hAnsi="Times New Roman"/>
          <w:sz w:val="24"/>
          <w:szCs w:val="24"/>
          <w:lang w:eastAsia="sk-SK"/>
        </w:rPr>
        <w:t>Návrh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96E30">
        <w:rPr>
          <w:rFonts w:ascii="Times New Roman" w:hAnsi="Times New Roman"/>
          <w:sz w:val="24"/>
          <w:szCs w:val="24"/>
          <w:lang w:eastAsia="sk-SK"/>
        </w:rPr>
        <w:t xml:space="preserve"> predpokladá </w:t>
      </w:r>
      <w:r>
        <w:rPr>
          <w:rFonts w:ascii="Times New Roman" w:hAnsi="Times New Roman"/>
          <w:sz w:val="24"/>
          <w:szCs w:val="24"/>
          <w:lang w:eastAsia="sk-SK"/>
        </w:rPr>
        <w:t>každo</w:t>
      </w:r>
      <w:r w:rsidRPr="00996E30">
        <w:rPr>
          <w:rFonts w:ascii="Times New Roman" w:hAnsi="Times New Roman"/>
          <w:sz w:val="24"/>
          <w:szCs w:val="24"/>
          <w:lang w:eastAsia="sk-SK"/>
        </w:rPr>
        <w:t>ročn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996E30">
        <w:rPr>
          <w:rFonts w:ascii="Times New Roman" w:hAnsi="Times New Roman"/>
          <w:sz w:val="24"/>
          <w:szCs w:val="24"/>
          <w:lang w:eastAsia="sk-SK"/>
        </w:rPr>
        <w:t xml:space="preserve"> výdavk</w:t>
      </w:r>
      <w:r>
        <w:rPr>
          <w:rFonts w:ascii="Times New Roman" w:hAnsi="Times New Roman"/>
          <w:sz w:val="24"/>
          <w:szCs w:val="24"/>
          <w:lang w:eastAsia="sk-SK"/>
        </w:rPr>
        <w:t>y</w:t>
      </w:r>
      <w:r w:rsidRPr="00996E30">
        <w:rPr>
          <w:rFonts w:ascii="Times New Roman" w:hAnsi="Times New Roman"/>
          <w:sz w:val="24"/>
          <w:szCs w:val="24"/>
          <w:lang w:eastAsia="sk-SK"/>
        </w:rPr>
        <w:t xml:space="preserve"> v odhadovanom objeme približne 30 000 </w:t>
      </w:r>
      <w:r>
        <w:rPr>
          <w:rFonts w:ascii="Times New Roman" w:hAnsi="Times New Roman"/>
          <w:sz w:val="24"/>
          <w:szCs w:val="24"/>
          <w:lang w:eastAsia="sk-SK"/>
        </w:rPr>
        <w:t>EUR</w:t>
      </w:r>
      <w:r w:rsidRPr="00996E30">
        <w:rPr>
          <w:rFonts w:ascii="Times New Roman" w:hAnsi="Times New Roman"/>
          <w:sz w:val="24"/>
          <w:szCs w:val="24"/>
          <w:lang w:eastAsia="sk-SK"/>
        </w:rPr>
        <w:t xml:space="preserve"> ročne. </w:t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Pr="00996E30">
        <w:rPr>
          <w:rFonts w:ascii="Times New Roman" w:hAnsi="Times New Roman"/>
          <w:sz w:val="24"/>
          <w:szCs w:val="24"/>
          <w:lang w:eastAsia="sk-SK"/>
        </w:rPr>
        <w:t>ýdavky majú pokrývať náklady na</w:t>
      </w:r>
      <w:r>
        <w:rPr>
          <w:rFonts w:ascii="Times New Roman" w:hAnsi="Times New Roman"/>
          <w:sz w:val="24"/>
          <w:szCs w:val="24"/>
          <w:lang w:eastAsia="sk-SK"/>
        </w:rPr>
        <w:t xml:space="preserve"> bežnú</w:t>
      </w:r>
      <w:r w:rsidRPr="00996E30">
        <w:rPr>
          <w:rFonts w:ascii="Times New Roman" w:hAnsi="Times New Roman"/>
          <w:sz w:val="24"/>
          <w:szCs w:val="24"/>
          <w:lang w:eastAsia="sk-SK"/>
        </w:rPr>
        <w:t xml:space="preserve"> prevádzku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996E30">
        <w:rPr>
          <w:rFonts w:ascii="Times New Roman" w:hAnsi="Times New Roman"/>
          <w:sz w:val="24"/>
          <w:szCs w:val="24"/>
          <w:lang w:eastAsia="sk-SK"/>
        </w:rPr>
        <w:t>údržbu</w:t>
      </w:r>
      <w:r>
        <w:rPr>
          <w:rFonts w:ascii="Times New Roman" w:hAnsi="Times New Roman"/>
          <w:sz w:val="24"/>
          <w:szCs w:val="24"/>
          <w:lang w:eastAsia="sk-SK"/>
        </w:rPr>
        <w:t xml:space="preserve"> nových</w:t>
      </w:r>
      <w:r w:rsidRPr="00996E30">
        <w:rPr>
          <w:rFonts w:ascii="Times New Roman" w:hAnsi="Times New Roman"/>
          <w:sz w:val="24"/>
          <w:szCs w:val="24"/>
          <w:lang w:eastAsia="sk-SK"/>
        </w:rPr>
        <w:t xml:space="preserve"> funkcionalít systému</w:t>
      </w:r>
      <w:r>
        <w:rPr>
          <w:rFonts w:ascii="Times New Roman" w:hAnsi="Times New Roman"/>
          <w:sz w:val="24"/>
          <w:szCs w:val="24"/>
          <w:lang w:eastAsia="sk-SK"/>
        </w:rPr>
        <w:t xml:space="preserve"> podpory</w:t>
      </w:r>
      <w:r w:rsidRPr="00996E30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Finančné prostriedky sú zabezpečené v rámci limitov výdavkov kapitoly Ministerstva vnútra Slovenskej republiky.</w:t>
      </w:r>
    </w:p>
    <w:p w:rsidR="00333E6A" w:rsidP="00333E6A">
      <w:pPr>
        <w:pStyle w:val="ListParagraph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416872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33E6A" w:rsidP="00333E6A">
      <w:pPr>
        <w:pStyle w:val="ListParagraph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416872">
        <w:rPr>
          <w:rFonts w:ascii="Times New Roman" w:hAnsi="Times New Roman"/>
          <w:bCs/>
          <w:sz w:val="24"/>
          <w:szCs w:val="24"/>
        </w:rPr>
        <w:t>V nadväznosti na zavedenie nových sankcií a úpravu výšky pokút je možné predpokladať aj</w:t>
      </w:r>
      <w:r w:rsidRPr="00A2233F">
        <w:rPr>
          <w:rFonts w:ascii="Times New Roman" w:hAnsi="Times New Roman"/>
          <w:bCs/>
          <w:sz w:val="24"/>
          <w:szCs w:val="24"/>
        </w:rPr>
        <w:t xml:space="preserve"> pozitívny vplyv na rozpočet verejnej správy, </w:t>
      </w:r>
      <w:r>
        <w:rPr>
          <w:rFonts w:ascii="Times New Roman" w:hAnsi="Times New Roman"/>
          <w:bCs/>
          <w:sz w:val="24"/>
          <w:szCs w:val="24"/>
        </w:rPr>
        <w:t>ktorý však v súčasnosti nie je možné kvantifikovať</w:t>
      </w:r>
    </w:p>
    <w:p w:rsidR="00333E6A" w:rsidRPr="00EC6777" w:rsidP="00333E6A">
      <w:pPr>
        <w:bidi w:val="0"/>
        <w:spacing w:before="12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33E6A" w:rsidRPr="007D5748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7D5748">
        <w:rPr>
          <w:rFonts w:ascii="Times New Roman" w:hAnsi="Times New Roman"/>
          <w:b/>
          <w:bCs/>
          <w:sz w:val="24"/>
          <w:szCs w:val="24"/>
        </w:rPr>
        <w:t>2.2. Popis a charakteristika návrhu</w:t>
      </w: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</w:p>
    <w:p w:rsidR="00333E6A" w:rsidRPr="007D5748" w:rsidP="00333E6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D5748">
        <w:rPr>
          <w:rFonts w:ascii="Times New Roman" w:hAnsi="Times New Roman"/>
          <w:b/>
          <w:bCs/>
          <w:sz w:val="24"/>
          <w:szCs w:val="24"/>
        </w:rPr>
        <w:t>2.2.1. Popis návrhu:</w:t>
      </w:r>
    </w:p>
    <w:p w:rsidR="00333E6A" w:rsidRPr="007D5748" w:rsidP="00333E6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3E6A" w:rsidP="00333E6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D5748">
        <w:rPr>
          <w:rFonts w:ascii="Times New Roman" w:hAnsi="Times New Roman"/>
          <w:sz w:val="24"/>
          <w:szCs w:val="24"/>
        </w:rPr>
        <w:t>Akú problematiku návrh rieši? Kto bude návrh implementovať? Kde sa budú služby poskytovať?</w:t>
      </w:r>
    </w:p>
    <w:p w:rsidR="00333E6A" w:rsidRPr="007D5748" w:rsidP="00333E6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3E6A" w:rsidRPr="003D7E69" w:rsidP="00333E6A">
      <w:pPr>
        <w:pStyle w:val="ListParagraph"/>
        <w:numPr>
          <w:numId w:val="7"/>
        </w:numPr>
        <w:bidi w:val="0"/>
        <w:spacing w:after="0" w:line="240" w:lineRule="auto"/>
        <w:rPr>
          <w:rFonts w:ascii="Times New Roman" w:hAnsi="Times New Roman"/>
          <w:i/>
          <w:sz w:val="24"/>
          <w:szCs w:val="24"/>
          <w:lang w:eastAsia="sk-SK"/>
        </w:rPr>
      </w:pPr>
      <w:r w:rsidRPr="003D7E69">
        <w:rPr>
          <w:rFonts w:ascii="Times New Roman" w:hAnsi="Times New Roman"/>
          <w:i/>
          <w:sz w:val="24"/>
          <w:szCs w:val="24"/>
          <w:lang w:eastAsia="sk-SK"/>
        </w:rPr>
        <w:t>Jednotné informačné miesto (MDV SR)</w:t>
      </w:r>
    </w:p>
    <w:p w:rsidR="00333E6A" w:rsidP="00333E6A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Úlohou</w:t>
      </w:r>
      <w:r w:rsidRPr="006B43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jednotného informačného miesta </w:t>
      </w:r>
      <w:r w:rsidRPr="006B43AF">
        <w:rPr>
          <w:rFonts w:ascii="Times New Roman" w:hAnsi="Times New Roman"/>
          <w:sz w:val="24"/>
        </w:rPr>
        <w:t xml:space="preserve">je v elektronickej forme poskytovať informácie o dostupnosti infraštruktúry využiteľnej pre budovanie vysokorýchlostných elektronických komunikačných sietí a o prebiehajúcej a plánovanej výstavbe. </w:t>
      </w:r>
      <w:r>
        <w:rPr>
          <w:rFonts w:ascii="Times New Roman" w:hAnsi="Times New Roman"/>
          <w:sz w:val="24"/>
          <w:szCs w:val="24"/>
        </w:rPr>
        <w:t>Ú</w:t>
      </w:r>
      <w:r w:rsidRPr="00797ADA">
        <w:rPr>
          <w:rFonts w:ascii="Times New Roman" w:hAnsi="Times New Roman"/>
          <w:sz w:val="24"/>
          <w:szCs w:val="24"/>
        </w:rPr>
        <w:t xml:space="preserve">lohy jednotného </w:t>
      </w:r>
      <w:r>
        <w:rPr>
          <w:rFonts w:ascii="Times New Roman" w:hAnsi="Times New Roman"/>
          <w:sz w:val="24"/>
          <w:szCs w:val="24"/>
        </w:rPr>
        <w:t>i</w:t>
      </w:r>
      <w:r w:rsidRPr="00797ADA">
        <w:rPr>
          <w:rFonts w:ascii="Times New Roman" w:hAnsi="Times New Roman"/>
          <w:sz w:val="24"/>
          <w:szCs w:val="24"/>
        </w:rPr>
        <w:t>nformačného miesta</w:t>
      </w:r>
      <w:r>
        <w:rPr>
          <w:rFonts w:ascii="Times New Roman" w:hAnsi="Times New Roman"/>
          <w:sz w:val="24"/>
          <w:szCs w:val="24"/>
        </w:rPr>
        <w:t xml:space="preserve"> bude plniť Úrad pre reguláciu elektronických komunikácií a poštových služieb.</w:t>
      </w:r>
    </w:p>
    <w:p w:rsidR="00333E6A" w:rsidRPr="00B7228E" w:rsidP="00333E6A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3E6A" w:rsidRPr="00B7228E" w:rsidP="00333E6A">
      <w:pPr>
        <w:pStyle w:val="ListParagraph"/>
        <w:numPr>
          <w:numId w:val="7"/>
        </w:numPr>
        <w:bidi w:val="0"/>
        <w:spacing w:after="0" w:line="240" w:lineRule="auto"/>
        <w:rPr>
          <w:rFonts w:ascii="Times New Roman" w:hAnsi="Times New Roman"/>
          <w:i/>
          <w:sz w:val="24"/>
          <w:szCs w:val="24"/>
          <w:lang w:eastAsia="sk-SK"/>
        </w:rPr>
      </w:pPr>
      <w:r w:rsidRPr="00B7228E">
        <w:rPr>
          <w:rFonts w:ascii="Times New Roman" w:hAnsi="Times New Roman"/>
          <w:i/>
          <w:sz w:val="24"/>
          <w:szCs w:val="24"/>
          <w:lang w:eastAsia="sk-SK"/>
        </w:rPr>
        <w:t xml:space="preserve">eCall a </w:t>
      </w:r>
      <w:r w:rsidRPr="00B7228E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volania na číslo tiesňového volania 112 prostredníctvom SMS (MV SR) </w:t>
      </w:r>
    </w:p>
    <w:p w:rsidR="00333E6A" w:rsidP="00333E6A">
      <w:pPr>
        <w:pStyle w:val="NormalWeb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Predkladaný návrh zákona transponuje Rozhodnutie</w:t>
      </w:r>
      <w:r w:rsidRPr="00820B1F">
        <w:rPr>
          <w:rFonts w:ascii="Times New Roman" w:hAnsi="Times New Roman"/>
          <w:color w:val="000000"/>
        </w:rPr>
        <w:t xml:space="preserve"> Európskeho parlamentu a Rady č. 585/2014/EÚ z 15. mája 2014 o zavedení interoperabilnej služby eCall v celej EÚ</w:t>
      </w:r>
      <w:r>
        <w:rPr>
          <w:rFonts w:ascii="Times New Roman" w:hAnsi="Times New Roman"/>
          <w:color w:val="000000"/>
        </w:rPr>
        <w:t xml:space="preserve">  (ďalej len „rozhodnutie“), implementuje  vybrané ustanovenia </w:t>
      </w:r>
      <w:r w:rsidRPr="003A2B1F">
        <w:rPr>
          <w:rFonts w:ascii="Times New Roman" w:hAnsi="Times New Roman"/>
          <w:color w:val="000000"/>
        </w:rPr>
        <w:t>koncepcie organizácie, fungovania a rozvoja integrovaného záchranného systému na roky 2011 až 2015</w:t>
      </w:r>
      <w:r>
        <w:rPr>
          <w:rFonts w:ascii="Times New Roman" w:hAnsi="Times New Roman"/>
          <w:color w:val="000000"/>
        </w:rPr>
        <w:t xml:space="preserve"> (ďalej len „koncepcia“), schválenej uznesením vlády uznesením č. 33/2011 z 19. januára 2011 spadajúce do pôsobnosti Ministerstva vnútra Slovenskej republiky, a úlohu </w:t>
      </w:r>
      <w:r>
        <w:rPr>
          <w:rFonts w:ascii="Times New Roman" w:hAnsi="Times New Roman"/>
        </w:rPr>
        <w:t>Zabezpečiť prístup osobám so sluchovým postihnutím k číslu tiesňového volania 112</w:t>
      </w:r>
      <w:r>
        <w:rPr>
          <w:rFonts w:ascii="Times New Roman" w:hAnsi="Times New Roman"/>
          <w:color w:val="000000"/>
        </w:rPr>
        <w:t xml:space="preserve"> uloženú v rámci</w:t>
      </w:r>
      <w:r w:rsidRPr="002E368F">
        <w:rPr>
          <w:rFonts w:ascii="Times New Roman" w:hAnsi="Times New Roman"/>
          <w:color w:val="000000"/>
        </w:rPr>
        <w:t xml:space="preserve"> Národného programu rozvoja životných podmienok osôb so zdravotným postihnutím na roky 2014 </w:t>
      </w:r>
      <w:r>
        <w:rPr>
          <w:rFonts w:ascii="Times New Roman" w:hAnsi="Times New Roman"/>
          <w:color w:val="000000"/>
        </w:rPr>
        <w:t>–</w:t>
      </w:r>
      <w:r w:rsidRPr="002E368F">
        <w:rPr>
          <w:rFonts w:ascii="Times New Roman" w:hAnsi="Times New Roman"/>
          <w:color w:val="000000"/>
        </w:rPr>
        <w:t xml:space="preserve"> 2020</w:t>
      </w:r>
      <w:r>
        <w:rPr>
          <w:rFonts w:ascii="Times New Roman" w:hAnsi="Times New Roman"/>
          <w:color w:val="000000"/>
        </w:rPr>
        <w:t xml:space="preserve"> schválenej uznesením vlády </w:t>
      </w:r>
      <w:r w:rsidRPr="002E368F">
        <w:rPr>
          <w:rFonts w:ascii="Times New Roman" w:hAnsi="Times New Roman"/>
          <w:color w:val="000000"/>
        </w:rPr>
        <w:t>Slovenskej republiky č. 25 z 15. januára 2014</w:t>
      </w:r>
      <w:r>
        <w:rPr>
          <w:rFonts w:ascii="Times New Roman" w:hAnsi="Times New Roman"/>
          <w:color w:val="000000"/>
        </w:rPr>
        <w:t>. Navrhovanými ustanoveniami sa rozšíria</w:t>
      </w:r>
      <w:r w:rsidRPr="00FE36A0">
        <w:rPr>
          <w:rFonts w:ascii="Times New Roman" w:hAnsi="Times New Roman"/>
          <w:color w:val="000000"/>
        </w:rPr>
        <w:t xml:space="preserve"> služby poskytované občanom na čísle tiesňového volania </w:t>
      </w:r>
      <w:r>
        <w:rPr>
          <w:rFonts w:ascii="Times New Roman" w:hAnsi="Times New Roman"/>
          <w:color w:val="000000"/>
        </w:rPr>
        <w:t>112</w:t>
      </w:r>
      <w:r w:rsidRPr="00FE36A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aj </w:t>
      </w:r>
      <w:r w:rsidRPr="00FE36A0">
        <w:rPr>
          <w:rFonts w:ascii="Times New Roman" w:hAnsi="Times New Roman"/>
          <w:color w:val="000000"/>
        </w:rPr>
        <w:t>pre osoby so zdravotným postihnutím v súlade so smernicou Európskeho parlamentu a Rady č. 2009/136/ES z 25. novembra 2009, ktorou sa mení a dopĺňa smernica 2002/22/ES o univerzálnej službe a právach užívateľov týkajúcich sa elektronických komunikačných sietí a služieb, smernica 2002/58/ES týkajúca sa spracovávania osobných údajov a ochrany súkromia v sektore elektronických komunikácií a nariadenie (ES) č. 2006/2004</w:t>
      </w:r>
      <w:r>
        <w:rPr>
          <w:rFonts w:ascii="Times New Roman" w:hAnsi="Times New Roman"/>
          <w:color w:val="000000"/>
        </w:rPr>
        <w:t>.</w:t>
      </w:r>
    </w:p>
    <w:p w:rsidR="00333E6A" w:rsidP="00333E6A">
      <w:pPr>
        <w:pStyle w:val="NormalWeb"/>
        <w:bidi w:val="0"/>
        <w:ind w:firstLine="708"/>
        <w:jc w:val="both"/>
        <w:rPr>
          <w:rFonts w:ascii="Times New Roman" w:hAnsi="Times New Roman"/>
          <w:color w:val="000000"/>
        </w:rPr>
      </w:pPr>
      <w:r w:rsidRPr="006A0DC4">
        <w:rPr>
          <w:rFonts w:ascii="Times New Roman" w:hAnsi="Times New Roman"/>
          <w:color w:val="000000"/>
        </w:rPr>
        <w:t>Lehota pre zavedenie služby eCall uplynie dňa 1. októbra 2017</w:t>
      </w:r>
      <w:r>
        <w:rPr>
          <w:rFonts w:ascii="Times New Roman" w:hAnsi="Times New Roman"/>
          <w:color w:val="000000"/>
        </w:rPr>
        <w:t>.</w:t>
      </w:r>
    </w:p>
    <w:p w:rsidR="00333E6A" w:rsidRPr="00FD7704" w:rsidP="00333E6A">
      <w:pPr>
        <w:bidi w:val="0"/>
        <w:spacing w:line="276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Účelom</w:t>
      </w:r>
      <w:r w:rsidRPr="006A6221">
        <w:rPr>
          <w:rFonts w:ascii="Times New Roman" w:hAnsi="Times New Roman"/>
          <w:color w:val="000000"/>
          <w:sz w:val="24"/>
          <w:szCs w:val="24"/>
        </w:rPr>
        <w:t xml:space="preserve"> navrhovanej zákonnej právnej úpravy je </w:t>
      </w:r>
      <w:r>
        <w:rPr>
          <w:rFonts w:ascii="Times New Roman" w:hAnsi="Times New Roman"/>
          <w:color w:val="000000"/>
          <w:sz w:val="24"/>
          <w:szCs w:val="24"/>
        </w:rPr>
        <w:t xml:space="preserve">rozšíriť služby poskytované občanom  na čísle tiesňového volania 112 o volanie eCall a o prístup k tiesňovým </w:t>
      </w:r>
      <w:r w:rsidRPr="00FD7704">
        <w:rPr>
          <w:rFonts w:ascii="Times New Roman" w:hAnsi="Times New Roman"/>
          <w:color w:val="000000"/>
          <w:sz w:val="24"/>
          <w:szCs w:val="24"/>
        </w:rPr>
        <w:t>služb</w:t>
      </w:r>
      <w:r>
        <w:rPr>
          <w:rFonts w:ascii="Times New Roman" w:hAnsi="Times New Roman"/>
          <w:color w:val="000000"/>
          <w:sz w:val="24"/>
          <w:szCs w:val="24"/>
        </w:rPr>
        <w:t>ám prostredníctvom</w:t>
      </w:r>
      <w:r w:rsidRPr="00FD7704">
        <w:rPr>
          <w:rFonts w:ascii="Times New Roman" w:hAnsi="Times New Roman"/>
          <w:color w:val="000000"/>
          <w:sz w:val="24"/>
          <w:szCs w:val="24"/>
        </w:rPr>
        <w:t xml:space="preserve"> krátkych textových správ (</w:t>
      </w:r>
      <w:r>
        <w:rPr>
          <w:rFonts w:ascii="Times New Roman" w:hAnsi="Times New Roman"/>
          <w:color w:val="000000"/>
          <w:sz w:val="24"/>
          <w:szCs w:val="24"/>
        </w:rPr>
        <w:t xml:space="preserve">ďalej len „SMS“). Predmetné služby bude zabezpečovať koordinačné stredisko integrovaného záchranného systému zriadené v pôsobnosti okresného úradu v sídle kraja. Za účelom zabezpečenia rovnakého prístupu k tiesňovým službám prostredníctvom SMS sú v návrhu zákona uložené rovnaké povinnosti podnikov prevádzkujúcich verejné elektronické komunikačné siete a koordinačných stredísk integrovaného záchranného systému ako pri volaniach na číslo tiesňového volania 112 pri rešpektovaní technologických odlišností medzi volaním a SMS. </w:t>
      </w: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</w:p>
    <w:p w:rsidR="00333E6A" w:rsidRPr="007D5748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7D5748">
        <w:rPr>
          <w:rFonts w:ascii="Times New Roman" w:hAnsi="Times New Roman"/>
          <w:b/>
          <w:bCs/>
          <w:sz w:val="24"/>
          <w:szCs w:val="24"/>
        </w:rPr>
        <w:t>2.2.2. Charakteristika návrhu:</w:t>
      </w: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    </w:t>
      </w:r>
      <w:r w:rsidRPr="007D5748">
        <w:rPr>
          <w:rFonts w:ascii="Times New Roman" w:hAnsi="Times New Roman"/>
          <w:b/>
          <w:sz w:val="24"/>
          <w:szCs w:val="24"/>
        </w:rPr>
        <w:t xml:space="preserve">  </w:t>
      </w:r>
      <w:r w:rsidRPr="007D5748">
        <w:rPr>
          <w:rFonts w:ascii="Times New Roman" w:hAnsi="Times New Roman"/>
          <w:sz w:val="24"/>
          <w:szCs w:val="24"/>
        </w:rPr>
        <w:t>zmena sadzby</w:t>
      </w: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7D5748">
        <w:rPr>
          <w:rFonts w:ascii="Times New Roman" w:hAnsi="Times New Roman"/>
          <w:sz w:val="24"/>
          <w:szCs w:val="24"/>
        </w:rPr>
        <w:t xml:space="preserve">  zmena v nároku</w:t>
      </w: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/>
          <w:sz w:val="24"/>
          <w:szCs w:val="24"/>
          <w:bdr w:val="single" w:sz="4" w:space="0" w:color="auto"/>
        </w:rPr>
        <w:t>X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 w:rsidRPr="007D5748">
        <w:rPr>
          <w:rFonts w:ascii="Times New Roman" w:hAnsi="Times New Roman"/>
          <w:sz w:val="24"/>
          <w:szCs w:val="24"/>
        </w:rPr>
        <w:t xml:space="preserve">  nová služba alebo nariadenie (alebo ich zrušenie)</w:t>
      </w: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7D5748">
        <w:rPr>
          <w:rFonts w:ascii="Times New Roman" w:hAnsi="Times New Roman"/>
          <w:sz w:val="24"/>
          <w:szCs w:val="24"/>
        </w:rPr>
        <w:t xml:space="preserve">  kombinovaný návrh</w:t>
      </w: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</w:rPr>
        <w:t xml:space="preserve">     </w:t>
      </w:r>
      <w:r w:rsidRPr="007D5748">
        <w:rPr>
          <w:rFonts w:ascii="Times New Roman" w:hAnsi="Times New Roman"/>
          <w:sz w:val="24"/>
          <w:szCs w:val="24"/>
        </w:rPr>
        <w:t xml:space="preserve">  iné </w:t>
      </w: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</w:p>
    <w:p w:rsidR="00333E6A" w:rsidRPr="007D5748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7D5748">
        <w:rPr>
          <w:rFonts w:ascii="Times New Roman" w:hAnsi="Times New Roman"/>
          <w:b/>
          <w:bCs/>
          <w:sz w:val="24"/>
          <w:szCs w:val="24"/>
        </w:rPr>
        <w:t>2.2.4. Výpočty vplyvov na verejné financie</w:t>
      </w:r>
    </w:p>
    <w:p w:rsidR="00333E6A" w:rsidRPr="007D5748" w:rsidP="00333E6A">
      <w:pPr>
        <w:bidi w:val="0"/>
        <w:rPr>
          <w:rFonts w:ascii="Times New Roman" w:hAnsi="Times New Roman"/>
          <w:sz w:val="24"/>
          <w:szCs w:val="24"/>
        </w:rPr>
      </w:pPr>
    </w:p>
    <w:p w:rsidR="00333E6A" w:rsidP="00333E6A">
      <w:pPr>
        <w:bidi w:val="0"/>
        <w:ind w:right="-2" w:firstLine="709"/>
        <w:jc w:val="both"/>
        <w:rPr>
          <w:rFonts w:ascii="Times New Roman" w:hAnsi="Times New Roman"/>
          <w:bCs/>
          <w:sz w:val="24"/>
          <w:szCs w:val="24"/>
        </w:rPr>
      </w:pPr>
      <w:r w:rsidRPr="00E41A6D">
        <w:rPr>
          <w:rFonts w:ascii="Times New Roman" w:hAnsi="Times New Roman"/>
          <w:bCs/>
          <w:sz w:val="24"/>
          <w:szCs w:val="24"/>
        </w:rPr>
        <w:t xml:space="preserve">V nadväznosti na zavedenie nových sankcií a úpravu výšky pokút je možné predpokladať pozitívny vplyv na rozpočet verejnej správy, </w:t>
      </w:r>
      <w:r>
        <w:rPr>
          <w:rFonts w:ascii="Times New Roman" w:hAnsi="Times New Roman"/>
          <w:bCs/>
          <w:sz w:val="24"/>
          <w:szCs w:val="24"/>
        </w:rPr>
        <w:t>ktorý však v súčasnosti nie je možné kvantifikovať.</w:t>
      </w:r>
    </w:p>
    <w:p w:rsidR="002542E2" w:rsidP="00333E6A">
      <w:pPr>
        <w:bidi w:val="0"/>
        <w:ind w:right="-2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33E6A" w:rsidRPr="003D7E69" w:rsidP="00333E6A">
      <w:pPr>
        <w:pStyle w:val="ListParagraph"/>
        <w:numPr>
          <w:numId w:val="8"/>
        </w:numPr>
        <w:bidi w:val="0"/>
        <w:spacing w:after="0" w:line="240" w:lineRule="auto"/>
        <w:ind w:left="714" w:hanging="357"/>
        <w:rPr>
          <w:rFonts w:ascii="Times New Roman" w:hAnsi="Times New Roman"/>
          <w:i/>
          <w:sz w:val="24"/>
          <w:szCs w:val="24"/>
          <w:lang w:eastAsia="sk-SK"/>
        </w:rPr>
      </w:pPr>
      <w:r w:rsidRPr="003D7E69">
        <w:rPr>
          <w:rFonts w:ascii="Times New Roman" w:hAnsi="Times New Roman"/>
          <w:i/>
          <w:sz w:val="24"/>
          <w:szCs w:val="24"/>
          <w:lang w:eastAsia="sk-SK"/>
        </w:rPr>
        <w:t>Jednotné informačné miesto (MDV SR)</w:t>
      </w:r>
    </w:p>
    <w:p w:rsidR="00333E6A" w:rsidP="00333E6A">
      <w:pPr>
        <w:bidi w:val="0"/>
        <w:rPr>
          <w:rFonts w:ascii="Times New Roman" w:hAnsi="Times New Roman"/>
          <w:sz w:val="24"/>
          <w:szCs w:val="24"/>
        </w:rPr>
      </w:pPr>
    </w:p>
    <w:p w:rsidR="00333E6A" w:rsidRPr="002203A5" w:rsidP="00333E6A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7D">
        <w:rPr>
          <w:rFonts w:ascii="Times New Roman" w:hAnsi="Times New Roman"/>
          <w:sz w:val="24"/>
          <w:szCs w:val="24"/>
        </w:rPr>
        <w:t xml:space="preserve">Návrh </w:t>
      </w:r>
      <w:r w:rsidRPr="00EC6777">
        <w:rPr>
          <w:rFonts w:ascii="Times New Roman" w:hAnsi="Times New Roman"/>
          <w:sz w:val="24"/>
          <w:szCs w:val="24"/>
        </w:rPr>
        <w:t xml:space="preserve">predpokladá výdavky spojené s prevádzkou Jednotného informačného miesta v roku 2018 vo výške </w:t>
      </w:r>
      <w:r>
        <w:rPr>
          <w:rFonts w:ascii="Times New Roman" w:hAnsi="Times New Roman"/>
          <w:sz w:val="24"/>
          <w:szCs w:val="24"/>
        </w:rPr>
        <w:t>324 462</w:t>
      </w:r>
      <w:r w:rsidRPr="00EC6777">
        <w:rPr>
          <w:rFonts w:ascii="Times New Roman" w:hAnsi="Times New Roman"/>
          <w:sz w:val="24"/>
          <w:szCs w:val="24"/>
        </w:rPr>
        <w:t xml:space="preserve"> EUR, v roku 2019 vo výške </w:t>
      </w:r>
      <w:r>
        <w:rPr>
          <w:rFonts w:ascii="Times New Roman" w:hAnsi="Times New Roman"/>
          <w:sz w:val="24"/>
          <w:szCs w:val="24"/>
        </w:rPr>
        <w:t>282 855</w:t>
      </w:r>
      <w:r w:rsidRPr="00EC6777">
        <w:rPr>
          <w:rFonts w:ascii="Times New Roman" w:hAnsi="Times New Roman"/>
          <w:sz w:val="24"/>
          <w:szCs w:val="24"/>
        </w:rPr>
        <w:t xml:space="preserve"> EUR </w:t>
      </w:r>
      <w:r>
        <w:rPr>
          <w:rFonts w:ascii="Times New Roman" w:hAnsi="Times New Roman"/>
          <w:sz w:val="24"/>
          <w:szCs w:val="24"/>
        </w:rPr>
        <w:t xml:space="preserve">, v roku 2020 vo výške 333 014 EUR a od roku 2021 </w:t>
      </w:r>
      <w:r w:rsidRPr="00EC6777">
        <w:rPr>
          <w:rFonts w:ascii="Times New Roman" w:hAnsi="Times New Roman"/>
          <w:sz w:val="24"/>
          <w:szCs w:val="24"/>
        </w:rPr>
        <w:t xml:space="preserve">každoročne vo výške </w:t>
      </w:r>
      <w:r>
        <w:rPr>
          <w:rFonts w:ascii="Times New Roman" w:hAnsi="Times New Roman"/>
          <w:sz w:val="24"/>
          <w:szCs w:val="24"/>
        </w:rPr>
        <w:t>330 014 EUR</w:t>
      </w:r>
      <w:r w:rsidRPr="00EC6777">
        <w:rPr>
          <w:rFonts w:ascii="Times New Roman" w:hAnsi="Times New Roman"/>
          <w:sz w:val="24"/>
          <w:szCs w:val="24"/>
        </w:rPr>
        <w:t xml:space="preserve">. </w:t>
      </w:r>
      <w:r w:rsidRPr="002203A5">
        <w:rPr>
          <w:rFonts w:ascii="Times New Roman" w:hAnsi="Times New Roman"/>
          <w:sz w:val="24"/>
          <w:szCs w:val="24"/>
        </w:rPr>
        <w:t xml:space="preserve"> </w:t>
      </w:r>
    </w:p>
    <w:p w:rsidR="00333E6A" w:rsidRPr="002203A5" w:rsidP="00333E6A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3A5">
        <w:rPr>
          <w:rFonts w:ascii="Times New Roman" w:hAnsi="Times New Roman"/>
          <w:sz w:val="24"/>
          <w:szCs w:val="24"/>
        </w:rPr>
        <w:t xml:space="preserve">Predpokladané výdavky v roku 2018 zohľadňujú personálne a prevádzkové náklady pre </w:t>
      </w:r>
      <w:r>
        <w:rPr>
          <w:rFonts w:ascii="Times New Roman" w:hAnsi="Times New Roman"/>
          <w:sz w:val="24"/>
          <w:szCs w:val="24"/>
        </w:rPr>
        <w:t>6</w:t>
      </w:r>
      <w:r w:rsidRPr="002203A5">
        <w:rPr>
          <w:rFonts w:ascii="Times New Roman" w:hAnsi="Times New Roman"/>
          <w:sz w:val="24"/>
          <w:szCs w:val="24"/>
        </w:rPr>
        <w:t xml:space="preserve"> zamestnancov </w:t>
      </w:r>
      <w:r>
        <w:rPr>
          <w:rFonts w:ascii="Times New Roman" w:hAnsi="Times New Roman"/>
          <w:sz w:val="24"/>
          <w:szCs w:val="24"/>
        </w:rPr>
        <w:t>155 462</w:t>
      </w:r>
      <w:r w:rsidRPr="002203A5">
        <w:rPr>
          <w:rFonts w:ascii="Times New Roman" w:hAnsi="Times New Roman"/>
          <w:sz w:val="24"/>
          <w:szCs w:val="24"/>
        </w:rPr>
        <w:t xml:space="preserve"> EUR), materiálne vybavenie a školenie týchto zamestnancov (</w:t>
      </w:r>
      <w:r>
        <w:rPr>
          <w:rFonts w:ascii="Times New Roman" w:hAnsi="Times New Roman"/>
          <w:sz w:val="24"/>
          <w:szCs w:val="24"/>
        </w:rPr>
        <w:t>9 000</w:t>
      </w:r>
      <w:r w:rsidRPr="002203A5">
        <w:rPr>
          <w:rFonts w:ascii="Times New Roman" w:hAnsi="Times New Roman"/>
          <w:sz w:val="24"/>
          <w:szCs w:val="24"/>
        </w:rPr>
        <w:t xml:space="preserve"> EUR), vývoj softvéru (</w:t>
      </w:r>
      <w:r>
        <w:rPr>
          <w:rFonts w:ascii="Times New Roman" w:hAnsi="Times New Roman"/>
          <w:sz w:val="24"/>
          <w:szCs w:val="24"/>
        </w:rPr>
        <w:t>4</w:t>
      </w:r>
      <w:r w:rsidRPr="002203A5">
        <w:rPr>
          <w:rFonts w:ascii="Times New Roman" w:hAnsi="Times New Roman"/>
          <w:sz w:val="24"/>
          <w:szCs w:val="24"/>
        </w:rPr>
        <w:t>0 000 EUR), hardvér a softvér (</w:t>
      </w:r>
      <w:r>
        <w:rPr>
          <w:rFonts w:ascii="Times New Roman" w:hAnsi="Times New Roman"/>
          <w:sz w:val="24"/>
          <w:szCs w:val="24"/>
        </w:rPr>
        <w:t>10</w:t>
      </w:r>
      <w:r w:rsidRPr="002203A5">
        <w:rPr>
          <w:rFonts w:ascii="Times New Roman" w:hAnsi="Times New Roman"/>
          <w:sz w:val="24"/>
          <w:szCs w:val="24"/>
        </w:rPr>
        <w:t>0 000 EUR) a prevádzku informačného systému (20 000 EUR).</w:t>
      </w:r>
    </w:p>
    <w:p w:rsidR="00333E6A" w:rsidP="00333E6A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3A5">
        <w:rPr>
          <w:rFonts w:ascii="Times New Roman" w:hAnsi="Times New Roman"/>
          <w:sz w:val="24"/>
          <w:szCs w:val="24"/>
        </w:rPr>
        <w:t xml:space="preserve">Predpokladané výdavky od roku 2019 zohľadňujú personálne a prevádzkové náklady pre </w:t>
      </w:r>
      <w:r>
        <w:rPr>
          <w:rFonts w:ascii="Times New Roman" w:hAnsi="Times New Roman"/>
          <w:sz w:val="24"/>
          <w:szCs w:val="24"/>
        </w:rPr>
        <w:t>9</w:t>
      </w:r>
      <w:r w:rsidRPr="002203A5">
        <w:rPr>
          <w:rFonts w:ascii="Times New Roman" w:hAnsi="Times New Roman"/>
          <w:sz w:val="24"/>
          <w:szCs w:val="24"/>
        </w:rPr>
        <w:t xml:space="preserve"> zamestnancov (</w:t>
      </w:r>
      <w:r>
        <w:rPr>
          <w:rFonts w:ascii="Times New Roman" w:hAnsi="Times New Roman"/>
          <w:sz w:val="24"/>
          <w:szCs w:val="24"/>
        </w:rPr>
        <w:t>233 355</w:t>
      </w:r>
      <w:r w:rsidRPr="002203A5">
        <w:rPr>
          <w:rFonts w:ascii="Times New Roman" w:hAnsi="Times New Roman"/>
          <w:sz w:val="24"/>
          <w:szCs w:val="24"/>
        </w:rPr>
        <w:t xml:space="preserve"> EUR), materiálne vybavenie a školenie pre </w:t>
      </w:r>
      <w:r>
        <w:rPr>
          <w:rFonts w:ascii="Times New Roman" w:hAnsi="Times New Roman"/>
          <w:sz w:val="24"/>
          <w:szCs w:val="24"/>
        </w:rPr>
        <w:t>troch</w:t>
      </w:r>
      <w:r w:rsidRPr="002203A5">
        <w:rPr>
          <w:rFonts w:ascii="Times New Roman" w:hAnsi="Times New Roman"/>
          <w:sz w:val="24"/>
          <w:szCs w:val="24"/>
        </w:rPr>
        <w:t xml:space="preserve"> nových zamestnancov (</w:t>
      </w:r>
      <w:r>
        <w:rPr>
          <w:rFonts w:ascii="Times New Roman" w:hAnsi="Times New Roman"/>
          <w:sz w:val="24"/>
          <w:szCs w:val="24"/>
        </w:rPr>
        <w:t>4 500</w:t>
      </w:r>
      <w:r w:rsidRPr="002203A5">
        <w:rPr>
          <w:rFonts w:ascii="Times New Roman" w:hAnsi="Times New Roman"/>
          <w:sz w:val="24"/>
          <w:szCs w:val="24"/>
        </w:rPr>
        <w:t xml:space="preserve"> EUR), vývoj softvéru (</w:t>
      </w:r>
      <w:r>
        <w:rPr>
          <w:rFonts w:ascii="Times New Roman" w:hAnsi="Times New Roman"/>
          <w:sz w:val="24"/>
          <w:szCs w:val="24"/>
        </w:rPr>
        <w:t>15</w:t>
      </w:r>
      <w:r w:rsidRPr="002203A5">
        <w:rPr>
          <w:rFonts w:ascii="Times New Roman" w:hAnsi="Times New Roman"/>
          <w:sz w:val="24"/>
          <w:szCs w:val="24"/>
        </w:rPr>
        <w:t xml:space="preserve"> 000 EUR), hardvér a softvér (10 000 EUR) a prevádzku informačného systému (20 000 EUR). </w:t>
      </w:r>
    </w:p>
    <w:p w:rsidR="00333E6A" w:rsidP="00333E6A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3A5">
        <w:rPr>
          <w:rFonts w:ascii="Times New Roman" w:hAnsi="Times New Roman"/>
          <w:sz w:val="24"/>
          <w:szCs w:val="24"/>
        </w:rPr>
        <w:t xml:space="preserve">Predpokladané výdavky </w:t>
      </w:r>
      <w:r>
        <w:rPr>
          <w:rFonts w:ascii="Times New Roman" w:hAnsi="Times New Roman"/>
          <w:sz w:val="24"/>
          <w:szCs w:val="24"/>
        </w:rPr>
        <w:t>v</w:t>
      </w:r>
      <w:r w:rsidRPr="002203A5">
        <w:rPr>
          <w:rFonts w:ascii="Times New Roman" w:hAnsi="Times New Roman"/>
          <w:sz w:val="24"/>
          <w:szCs w:val="24"/>
        </w:rPr>
        <w:t> roku 20</w:t>
      </w:r>
      <w:r>
        <w:rPr>
          <w:rFonts w:ascii="Times New Roman" w:hAnsi="Times New Roman"/>
          <w:sz w:val="24"/>
          <w:szCs w:val="24"/>
        </w:rPr>
        <w:t>20</w:t>
      </w:r>
      <w:r w:rsidRPr="002203A5">
        <w:rPr>
          <w:rFonts w:ascii="Times New Roman" w:hAnsi="Times New Roman"/>
          <w:sz w:val="24"/>
          <w:szCs w:val="24"/>
        </w:rPr>
        <w:t xml:space="preserve"> zohľadňujú personálne a prevádzkové náklady pre </w:t>
      </w:r>
      <w:r>
        <w:rPr>
          <w:rFonts w:ascii="Times New Roman" w:hAnsi="Times New Roman"/>
          <w:sz w:val="24"/>
          <w:szCs w:val="24"/>
        </w:rPr>
        <w:t>11</w:t>
      </w:r>
      <w:r w:rsidRPr="002203A5">
        <w:rPr>
          <w:rFonts w:ascii="Times New Roman" w:hAnsi="Times New Roman"/>
          <w:sz w:val="24"/>
          <w:szCs w:val="24"/>
        </w:rPr>
        <w:t xml:space="preserve"> zamestnancov (</w:t>
      </w:r>
      <w:r>
        <w:rPr>
          <w:rFonts w:ascii="Times New Roman" w:hAnsi="Times New Roman"/>
          <w:sz w:val="24"/>
          <w:szCs w:val="24"/>
        </w:rPr>
        <w:t>285 014</w:t>
      </w:r>
      <w:r w:rsidRPr="002203A5">
        <w:rPr>
          <w:rFonts w:ascii="Times New Roman" w:hAnsi="Times New Roman"/>
          <w:sz w:val="24"/>
          <w:szCs w:val="24"/>
        </w:rPr>
        <w:t xml:space="preserve"> EUR), materiálne vybavenie a školenie pre </w:t>
      </w:r>
      <w:r>
        <w:rPr>
          <w:rFonts w:ascii="Times New Roman" w:hAnsi="Times New Roman"/>
          <w:sz w:val="24"/>
          <w:szCs w:val="24"/>
        </w:rPr>
        <w:t>dvoch</w:t>
      </w:r>
      <w:r w:rsidRPr="002203A5">
        <w:rPr>
          <w:rFonts w:ascii="Times New Roman" w:hAnsi="Times New Roman"/>
          <w:sz w:val="24"/>
          <w:szCs w:val="24"/>
        </w:rPr>
        <w:t xml:space="preserve"> nových zamestnancov (</w:t>
      </w:r>
      <w:r>
        <w:rPr>
          <w:rFonts w:ascii="Times New Roman" w:hAnsi="Times New Roman"/>
          <w:sz w:val="24"/>
          <w:szCs w:val="24"/>
        </w:rPr>
        <w:t>3 000</w:t>
      </w:r>
      <w:r w:rsidRPr="002203A5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2203A5">
        <w:rPr>
          <w:rFonts w:ascii="Times New Roman" w:hAnsi="Times New Roman"/>
          <w:sz w:val="24"/>
          <w:szCs w:val="24"/>
        </w:rPr>
        <w:t>vývoj softvéru (1</w:t>
      </w:r>
      <w:r>
        <w:rPr>
          <w:rFonts w:ascii="Times New Roman" w:hAnsi="Times New Roman"/>
          <w:sz w:val="24"/>
          <w:szCs w:val="24"/>
        </w:rPr>
        <w:t>5</w:t>
      </w:r>
      <w:r w:rsidRPr="002203A5">
        <w:rPr>
          <w:rFonts w:ascii="Times New Roman" w:hAnsi="Times New Roman"/>
          <w:sz w:val="24"/>
          <w:szCs w:val="24"/>
        </w:rPr>
        <w:t xml:space="preserve"> 000 EUR), hardvér a softvér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2203A5">
        <w:rPr>
          <w:rFonts w:ascii="Times New Roman" w:hAnsi="Times New Roman"/>
          <w:sz w:val="24"/>
          <w:szCs w:val="24"/>
        </w:rPr>
        <w:t>(10 000 EUR) a prevádzku informačného systému (20 000 EUR</w:t>
      </w:r>
      <w:r>
        <w:rPr>
          <w:rFonts w:ascii="Times New Roman" w:hAnsi="Times New Roman"/>
          <w:sz w:val="24"/>
          <w:szCs w:val="24"/>
        </w:rPr>
        <w:t>).</w:t>
      </w:r>
    </w:p>
    <w:p w:rsidR="00333E6A" w:rsidP="002542E2">
      <w:pPr>
        <w:pStyle w:val="ListParagraph"/>
        <w:tabs>
          <w:tab w:val="left" w:pos="284"/>
        </w:tabs>
        <w:bidi w:val="0"/>
        <w:spacing w:after="0" w:line="240" w:lineRule="auto"/>
        <w:ind w:left="284"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3F7525">
        <w:rPr>
          <w:rFonts w:ascii="Times New Roman" w:hAnsi="Times New Roman"/>
          <w:bCs/>
          <w:sz w:val="24"/>
          <w:szCs w:val="24"/>
        </w:rPr>
        <w:t xml:space="preserve">ersonálne obsadenie </w:t>
      </w:r>
      <w:r>
        <w:rPr>
          <w:rFonts w:ascii="Times New Roman" w:hAnsi="Times New Roman"/>
          <w:bCs/>
          <w:sz w:val="24"/>
          <w:szCs w:val="24"/>
        </w:rPr>
        <w:t>na zabezpečenie činností jednotného informačného miesta</w:t>
      </w:r>
      <w:r w:rsidR="002542E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 jednotlivých rokoch sa v súčasnej dobe predpokladá v rámci limitov kapitoly MDV</w:t>
      </w:r>
      <w:r w:rsidRPr="003F7525">
        <w:rPr>
          <w:rFonts w:ascii="Times New Roman" w:hAnsi="Times New Roman"/>
          <w:bCs/>
          <w:sz w:val="24"/>
          <w:szCs w:val="24"/>
        </w:rPr>
        <w:t xml:space="preserve"> SR</w:t>
      </w:r>
      <w:r>
        <w:rPr>
          <w:rFonts w:ascii="Times New Roman" w:hAnsi="Times New Roman"/>
          <w:bCs/>
          <w:sz w:val="24"/>
          <w:szCs w:val="24"/>
        </w:rPr>
        <w:t>, avšak uvedené závisí od aktuálneho vývoja skutočného počtu zamestnancov kapitoly MDV SR</w:t>
      </w:r>
      <w:r w:rsidRPr="003F7525">
        <w:rPr>
          <w:rFonts w:ascii="Times New Roman" w:hAnsi="Times New Roman"/>
          <w:bCs/>
          <w:sz w:val="24"/>
          <w:szCs w:val="24"/>
        </w:rPr>
        <w:t>.</w:t>
      </w:r>
    </w:p>
    <w:tbl>
      <w:tblPr>
        <w:tblStyle w:val="TableNormal"/>
        <w:tblW w:w="9302" w:type="dxa"/>
        <w:tblCellMar>
          <w:left w:w="70" w:type="dxa"/>
          <w:right w:w="70" w:type="dxa"/>
        </w:tblCellMar>
        <w:tblLook w:val="04A0"/>
      </w:tblPr>
      <w:tblGrid>
        <w:gridCol w:w="3920"/>
        <w:gridCol w:w="1253"/>
        <w:gridCol w:w="1134"/>
        <w:gridCol w:w="1134"/>
        <w:gridCol w:w="1188"/>
        <w:gridCol w:w="673"/>
      </w:tblGrid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333E6A" w:rsidRPr="00180EF9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333E6A" w:rsidRPr="00180EF9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333E6A" w:rsidRPr="00180EF9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333E6A" w:rsidRPr="00180EF9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v eurách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6B09">
              <w:rPr>
                <w:rFonts w:ascii="Times New Roman" w:hAnsi="Times New Roman"/>
                <w:b/>
                <w:bCs/>
                <w:color w:val="000000"/>
              </w:rPr>
              <w:t>Ekonomická kategória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A6B09">
              <w:rPr>
                <w:rFonts w:ascii="Times New Roman" w:hAnsi="Times New Roman"/>
                <w:b/>
                <w:bCs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A6B09">
              <w:rPr>
                <w:rFonts w:ascii="Times New Roman" w:hAnsi="Times New Roman"/>
                <w:b/>
                <w:bCs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A6B09">
              <w:rPr>
                <w:rFonts w:ascii="Times New Roman" w:hAnsi="Times New Roman"/>
                <w:b/>
                <w:bCs/>
                <w:color w:val="000000"/>
              </w:rPr>
              <w:t>2020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od 2021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610 - mzdy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172 920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211 200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211 200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620 - poistné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40 262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73 814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73 814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630 - tovary a služby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B09">
              <w:rPr>
                <w:rFonts w:ascii="Times New Roman" w:hAnsi="Times New Roman"/>
                <w:color w:val="000000"/>
                <w:sz w:val="18"/>
                <w:szCs w:val="18"/>
              </w:rPr>
              <w:t>v tom: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B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B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B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B09">
              <w:rPr>
                <w:rFonts w:ascii="Times New Roman" w:hAnsi="Times New Roman"/>
                <w:color w:val="000000"/>
                <w:sz w:val="18"/>
                <w:szCs w:val="18"/>
              </w:rPr>
              <w:t>633002 - nákup VT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635009 – prevádzka a údržba softvéru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710 - obstarávanie kap. aktív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</w:t>
            </w:r>
            <w:r w:rsidRPr="007A6B0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</w:t>
            </w:r>
            <w:r w:rsidRPr="007A6B0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25 000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6B09">
              <w:rPr>
                <w:rFonts w:ascii="Times New Roman" w:hAnsi="Times New Roman"/>
                <w:b/>
                <w:bCs/>
                <w:color w:val="000000"/>
              </w:rPr>
              <w:t>SPOLU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324 462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282 855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333 014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330 014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>v</w:t>
            </w:r>
            <w:r>
              <w:rPr>
                <w:rFonts w:ascii="Times New Roman" w:hAnsi="Times New Roman"/>
                <w:color w:val="000000"/>
              </w:rPr>
              <w:t xml:space="preserve"> tom: 07T03</w:t>
            </w:r>
            <w:r w:rsidRPr="007A6B09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H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155 462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233 355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285 014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285 014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0EK0L02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2793">
              <w:rPr>
                <w:rFonts w:ascii="Times New Roman" w:hAnsi="Times New Roman"/>
                <w:color w:val="000000"/>
              </w:rPr>
              <w:t>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2793">
              <w:rPr>
                <w:rFonts w:ascii="Times New Roman" w:hAnsi="Times New Roman"/>
                <w:color w:val="000000"/>
              </w:rPr>
              <w:t>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2793">
              <w:rPr>
                <w:rFonts w:ascii="Times New Roman" w:hAnsi="Times New Roman"/>
                <w:color w:val="000000"/>
              </w:rPr>
              <w:t>45 000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2793">
              <w:rPr>
                <w:rFonts w:ascii="Times New Roman" w:hAnsi="Times New Roman"/>
                <w:color w:val="000000"/>
              </w:rPr>
              <w:t>45 000</w:t>
            </w:r>
          </w:p>
        </w:tc>
      </w:tr>
      <w:tr>
        <w:tblPrEx>
          <w:tblW w:w="930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673" w:type="dxa"/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33E6A" w:rsidRPr="007A6B09" w:rsidP="007A00B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6B09">
              <w:rPr>
                <w:rFonts w:ascii="Times New Roman" w:hAnsi="Times New Roman"/>
                <w:color w:val="000000"/>
              </w:rPr>
              <w:t xml:space="preserve">            0EK0L03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2793">
              <w:rPr>
                <w:rFonts w:ascii="Times New Roman" w:hAnsi="Times New Roman"/>
                <w:color w:val="000000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2793">
              <w:rPr>
                <w:rFonts w:ascii="Times New Roman" w:hAnsi="Times New Roman"/>
                <w:color w:val="000000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2793">
              <w:rPr>
                <w:rFonts w:ascii="Times New Roman" w:hAnsi="Times New Roman"/>
                <w:color w:val="000000"/>
              </w:rPr>
              <w:t>3 000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0B2793" w:rsidP="007A00B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B2793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333E6A" w:rsidRPr="00180EF9" w:rsidP="00333E6A">
      <w:pPr>
        <w:tabs>
          <w:tab w:val="num" w:pos="1080"/>
        </w:tabs>
        <w:bidi w:val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33E6A" w:rsidP="00333E6A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3E6A" w:rsidRPr="00B7228E" w:rsidP="00333E6A">
      <w:pPr>
        <w:pStyle w:val="ListParagraph"/>
        <w:numPr>
          <w:numId w:val="8"/>
        </w:numPr>
        <w:bidi w:val="0"/>
        <w:spacing w:after="0" w:line="240" w:lineRule="auto"/>
        <w:rPr>
          <w:rFonts w:ascii="Times New Roman" w:hAnsi="Times New Roman"/>
          <w:i/>
          <w:sz w:val="24"/>
          <w:szCs w:val="24"/>
          <w:lang w:eastAsia="sk-SK"/>
        </w:rPr>
      </w:pPr>
      <w:r w:rsidRPr="00B7228E">
        <w:rPr>
          <w:rFonts w:ascii="Times New Roman" w:hAnsi="Times New Roman"/>
          <w:i/>
          <w:sz w:val="24"/>
          <w:szCs w:val="24"/>
          <w:lang w:eastAsia="sk-SK"/>
        </w:rPr>
        <w:t xml:space="preserve">eCall a </w:t>
      </w:r>
      <w:r w:rsidRPr="00B7228E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volania na číslo tiesňového volania 112 prostredníctvom SMS (MV SR) </w:t>
      </w:r>
    </w:p>
    <w:p w:rsidR="00333E6A" w:rsidP="00333E6A">
      <w:pPr>
        <w:bidi w:val="0"/>
        <w:spacing w:before="12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szCs w:val="24"/>
        </w:rPr>
        <w:t>Priebežné zabezpečovanie nových služieb si vyžiada zvýšené výdavky na štandardnú údržbu softvéru v odhadovanom objeme 30 000 EUR ročne. Väčšinu služieb nevyhnutných pre prevádzku nových služieb však nemožno oddeliť už od poskytovaných služieb v rámci systému podpory. Servisné služby na prevádzku systému podpory sú objednávané na viacročné obdobie a za údržbu systému podpory ako funkčného celku. Z týchto dôvodov nie je možné presne vyčísliť  na zvýšené náklady na jednotlivé roky, a ani jednoznačne odlúčiť novovzniknuté výdavky od súčasných výdavkov. Predložený vplyv na verejné financie predstavuje kvalifikovaný odhad súvisiaci s predpokladanými nákladmi na údržbou častí softvéru špecifického pre volanie eCall a príjem a spracovanie SMS.</w:t>
      </w:r>
      <w:r w:rsidRPr="007D5748">
        <w:rPr>
          <w:rFonts w:ascii="Times New Roman" w:hAnsi="Times New Roman"/>
          <w:bCs/>
          <w:sz w:val="24"/>
        </w:rPr>
        <w:t xml:space="preserve"> </w:t>
      </w:r>
    </w:p>
    <w:p w:rsidR="00333E6A" w:rsidP="00333E6A">
      <w:pPr>
        <w:bidi w:val="0"/>
        <w:spacing w:before="120"/>
        <w:ind w:firstLine="709"/>
        <w:jc w:val="both"/>
        <w:rPr>
          <w:rFonts w:ascii="Times New Roman" w:hAnsi="Times New Roman"/>
          <w:bCs/>
          <w:sz w:val="24"/>
        </w:rPr>
      </w:pPr>
    </w:p>
    <w:p w:rsidR="00333E6A" w:rsidRPr="007D5748" w:rsidP="00333E6A">
      <w:pPr>
        <w:tabs>
          <w:tab w:val="num" w:pos="1080"/>
        </w:tabs>
        <w:bidi w:val="0"/>
        <w:jc w:val="both"/>
        <w:rPr>
          <w:rFonts w:ascii="Times New Roman" w:hAnsi="Times New Roman"/>
          <w:bCs/>
          <w:sz w:val="24"/>
        </w:rPr>
        <w:sectPr w:rsidSect="00EB59C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333E6A" w:rsidRPr="007D5748" w:rsidP="00333E6A">
      <w:pPr>
        <w:tabs>
          <w:tab w:val="num" w:pos="1080"/>
        </w:tabs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Úrad pre reguláciu elektronických komunikácií a poštových služieb                                                                                                        </w:t>
      </w:r>
      <w:r w:rsidRPr="007D5748">
        <w:rPr>
          <w:rFonts w:ascii="Times New Roman" w:hAnsi="Times New Roman"/>
          <w:bCs/>
          <w:sz w:val="24"/>
          <w:szCs w:val="24"/>
        </w:rPr>
        <w:t xml:space="preserve">Tabuľka č. 3 </w:t>
      </w:r>
    </w:p>
    <w:p w:rsidR="00333E6A" w:rsidRPr="007D5748" w:rsidP="00333E6A">
      <w:pPr>
        <w:tabs>
          <w:tab w:val="num" w:pos="1080"/>
        </w:tabs>
        <w:bidi w:val="0"/>
        <w:jc w:val="both"/>
        <w:rPr>
          <w:rFonts w:ascii="Times New Roman" w:hAnsi="Times New Roman"/>
          <w:bCs/>
          <w:sz w:val="24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</w:tblPrEx>
        <w:trPr>
          <w:trHeight w:val="25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324 462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282 855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333 014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330 014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3950" w:type="dxa"/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324 462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282 855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333 014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330 014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33E6A" w:rsidRPr="007D5748" w:rsidP="00333E6A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 w:rsidRPr="007D5748">
        <w:rPr>
          <w:rFonts w:ascii="Times New Roman" w:hAnsi="Times New Roman"/>
          <w:bCs/>
        </w:rPr>
        <w:t>1 –  príjmy rozpísať až do položiek platnej ekonomickej klasifikácie</w:t>
      </w:r>
    </w:p>
    <w:p w:rsidR="00333E6A" w:rsidRPr="007D5748" w:rsidP="00333E6A">
      <w:pPr>
        <w:tabs>
          <w:tab w:val="num" w:pos="1080"/>
        </w:tabs>
        <w:bidi w:val="0"/>
        <w:jc w:val="both"/>
        <w:rPr>
          <w:rFonts w:ascii="Times New Roman" w:hAnsi="Times New Roman"/>
          <w:bCs/>
          <w:sz w:val="24"/>
        </w:rPr>
      </w:pPr>
    </w:p>
    <w:p w:rsidR="00333E6A" w:rsidRPr="007D5748" w:rsidP="00333E6A">
      <w:pPr>
        <w:tabs>
          <w:tab w:val="num" w:pos="1080"/>
        </w:tabs>
        <w:bidi w:val="0"/>
        <w:jc w:val="both"/>
        <w:rPr>
          <w:rFonts w:ascii="Times New Roman" w:hAnsi="Times New Roman"/>
          <w:b/>
          <w:bCs/>
          <w:sz w:val="24"/>
        </w:rPr>
      </w:pPr>
      <w:r w:rsidRPr="007D5748">
        <w:rPr>
          <w:rFonts w:ascii="Times New Roman" w:hAnsi="Times New Roman"/>
          <w:b/>
          <w:bCs/>
          <w:sz w:val="24"/>
        </w:rPr>
        <w:t>Poznámka:</w:t>
      </w:r>
    </w:p>
    <w:p w:rsidR="00333E6A" w:rsidRPr="007D5748" w:rsidP="00333E6A">
      <w:pPr>
        <w:tabs>
          <w:tab w:val="num" w:pos="1080"/>
        </w:tabs>
        <w:bidi w:val="0"/>
        <w:jc w:val="both"/>
        <w:rPr>
          <w:rFonts w:ascii="Times New Roman" w:hAnsi="Times New Roman"/>
          <w:bCs/>
          <w:sz w:val="24"/>
        </w:rPr>
      </w:pPr>
      <w:r w:rsidRPr="007D5748">
        <w:rPr>
          <w:rFonts w:ascii="Times New Roman" w:hAnsi="Times New Roman"/>
          <w:bCs/>
          <w:sz w:val="24"/>
        </w:rPr>
        <w:t>Ak sa vplyv týka viacerých subjektov verejnej správy, vypĺňa sa samostatná tabuľka za každý subjekt.</w:t>
      </w:r>
    </w:p>
    <w:p w:rsidR="00333E6A" w:rsidRPr="007D5748" w:rsidP="00333E6A">
      <w:pPr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  <w:sz w:val="24"/>
          <w:szCs w:val="24"/>
        </w:rPr>
      </w:pPr>
      <w:r w:rsidRPr="007D5748">
        <w:rPr>
          <w:rFonts w:ascii="Times New Roman" w:hAnsi="Times New Roman"/>
          <w:bCs/>
          <w:sz w:val="24"/>
          <w:szCs w:val="24"/>
        </w:rPr>
        <w:t xml:space="preserve"> </w:t>
      </w:r>
    </w:p>
    <w:p w:rsidR="00333E6A" w:rsidRPr="007D5748" w:rsidP="00333E6A">
      <w:pPr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333E6A" w:rsidRPr="007D5748" w:rsidP="00333E6A">
      <w:pPr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  <w:sz w:val="24"/>
          <w:szCs w:val="24"/>
        </w:rPr>
      </w:pPr>
    </w:p>
    <w:p w:rsidR="00333E6A">
      <w:pPr>
        <w:bidi w:val="0"/>
        <w:spacing w:after="20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33E6A" w:rsidP="00333E6A">
      <w:pPr>
        <w:tabs>
          <w:tab w:val="num" w:pos="1080"/>
        </w:tabs>
        <w:bidi w:val="0"/>
        <w:ind w:right="-3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Úrad pre reguláciu elektronických komunikácií a poštových služieb</w:t>
      </w:r>
    </w:p>
    <w:p w:rsidR="00333E6A" w:rsidRPr="007D5748" w:rsidP="00333E6A">
      <w:pPr>
        <w:tabs>
          <w:tab w:val="num" w:pos="1080"/>
        </w:tabs>
        <w:bidi w:val="0"/>
        <w:jc w:val="both"/>
        <w:rPr>
          <w:rFonts w:ascii="Times New Roman" w:hAnsi="Times New Roman"/>
          <w:bCs/>
          <w:sz w:val="24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166F3A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6F3A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166F3A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6F3A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184 462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257 855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C57AF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308 014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C57AF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308 014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172 920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7B2F">
              <w:rPr>
                <w:rFonts w:ascii="Times New Roman" w:hAnsi="Times New Roman"/>
                <w:bCs/>
              </w:rPr>
              <w:t>211 200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7B2F">
              <w:rPr>
                <w:rFonts w:ascii="Times New Roman" w:hAnsi="Times New Roman"/>
                <w:bCs/>
              </w:rPr>
              <w:t>211 200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318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7D5748">
              <w:rPr>
                <w:rFonts w:ascii="Times New Roman" w:hAnsi="Times New Roman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60 435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7B2F">
              <w:rPr>
                <w:rFonts w:ascii="Times New Roman" w:hAnsi="Times New Roman"/>
                <w:bCs/>
              </w:rPr>
              <w:t>73 814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7B2F">
              <w:rPr>
                <w:rFonts w:ascii="Times New Roman" w:hAnsi="Times New Roman"/>
                <w:bCs/>
              </w:rPr>
              <w:t>73 814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7D5748">
              <w:rPr>
                <w:rFonts w:ascii="Times New Roman" w:hAnsi="Times New Roman"/>
              </w:rPr>
              <w:t xml:space="preserve">  Tovary a služby (630)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C57AF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C57AF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24 500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7B2F">
              <w:rPr>
                <w:rFonts w:ascii="Times New Roman" w:hAnsi="Times New Roman"/>
                <w:bCs/>
              </w:rPr>
              <w:t>23 000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7B2F">
              <w:rPr>
                <w:rFonts w:ascii="Times New Roman" w:hAnsi="Times New Roman"/>
                <w:bCs/>
              </w:rPr>
              <w:t>20 000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Bežné transfery (640)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Splácanie úrokov a ostatné platby súvisiace s </w:t>
            </w:r>
            <w:r>
              <w:rPr>
                <w:rFonts w:ascii="Times New Roman" w:hAnsi="Times New Roman"/>
              </w:rPr>
              <w:t xml:space="preserve"> </w:t>
            </w:r>
            <w:r w:rsidRPr="008D339D">
              <w:rPr>
                <w:rFonts w:ascii="Times New Roman" w:hAnsi="Times New Roman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</w:rPr>
              <w:t xml:space="preserve"> (650)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7B2F">
              <w:rPr>
                <w:rFonts w:ascii="Times New Roman" w:hAnsi="Times New Roman"/>
                <w:b/>
                <w:bCs/>
              </w:rPr>
              <w:t>25 000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7B2F">
              <w:rPr>
                <w:rFonts w:ascii="Times New Roman" w:hAnsi="Times New Roman"/>
                <w:b/>
                <w:bCs/>
              </w:rPr>
              <w:t>25 000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7B2F">
              <w:rPr>
                <w:rFonts w:ascii="Times New Roman" w:hAnsi="Times New Roman"/>
                <w:bCs/>
              </w:rPr>
              <w:t>25 000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F7B2F">
              <w:rPr>
                <w:rFonts w:ascii="Times New Roman" w:hAnsi="Times New Roman"/>
                <w:bCs/>
              </w:rPr>
              <w:t>25 000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7B2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F7B2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324 462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282 855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C57AF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333 014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C57AF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330 014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33E6A" w:rsidRPr="007D5748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</w:rPr>
      </w:pPr>
      <w:r w:rsidRPr="007D5748">
        <w:rPr>
          <w:rFonts w:ascii="Times New Roman" w:hAnsi="Times New Roman"/>
          <w:bCs/>
        </w:rPr>
        <w:t>2 –  výdavky rozpísať až do položiek platnej ekonomickej klasifikácie</w:t>
      </w: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>
      <w:pPr>
        <w:bidi w:val="0"/>
        <w:spacing w:after="200" w:line="276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br w:type="page"/>
      </w:r>
    </w:p>
    <w:p w:rsidR="00333E6A" w:rsidP="00333E6A">
      <w:pPr>
        <w:tabs>
          <w:tab w:val="num" w:pos="1080"/>
        </w:tabs>
        <w:bidi w:val="0"/>
        <w:ind w:right="-3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Tabuľka č. 4a</w:t>
      </w: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Ministerstvo vnútra SR</w:t>
      </w: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166F3A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6F3A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226"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7D5748">
              <w:rPr>
                <w:rFonts w:ascii="Times New Roman" w:hAnsi="Times New Roman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226"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7D5748">
              <w:rPr>
                <w:rFonts w:ascii="Times New Roman" w:hAnsi="Times New Roman"/>
              </w:rPr>
              <w:t xml:space="preserve">  Tovary a služby (630)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226"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02B66">
              <w:rPr>
                <w:rFonts w:ascii="Times New Roman" w:hAnsi="Times New Roman"/>
              </w:rPr>
              <w:t>Rutinná a štandardná údržba</w:t>
            </w:r>
            <w:r>
              <w:rPr>
                <w:rFonts w:ascii="Times New Roman" w:hAnsi="Times New Roman"/>
              </w:rPr>
              <w:t xml:space="preserve"> softvéru (635009)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Bežné transfery (640)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226"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Splácanie úrokov a ostatné platby súvisiace s </w:t>
            </w:r>
            <w:r>
              <w:rPr>
                <w:rFonts w:ascii="Times New Roman" w:hAnsi="Times New Roman"/>
              </w:rPr>
              <w:t xml:space="preserve"> </w:t>
            </w:r>
            <w:r w:rsidRPr="008D339D">
              <w:rPr>
                <w:rFonts w:ascii="Times New Roman" w:hAnsi="Times New Roman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</w:rPr>
              <w:t xml:space="preserve"> (650)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226"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226"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4D27A9">
              <w:rPr>
                <w:rFonts w:ascii="Times New Roman" w:hAnsi="Times New Roman"/>
              </w:rPr>
              <w:t xml:space="preserve">Rekonštrukcia a modernizácia </w:t>
            </w:r>
            <w:r>
              <w:rPr>
                <w:rFonts w:ascii="Times New Roman" w:hAnsi="Times New Roman"/>
              </w:rPr>
              <w:t>softvéru (</w:t>
            </w:r>
            <w:r w:rsidRPr="004D27A9">
              <w:rPr>
                <w:rFonts w:ascii="Times New Roman" w:hAnsi="Times New Roman"/>
              </w:rPr>
              <w:t>718006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D5748">
              <w:rPr>
                <w:rFonts w:ascii="Times New Roman" w:hAnsi="Times New Roman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226">
              <w:rPr>
                <w:rFonts w:ascii="Times New Roman" w:hAnsi="Times New Roma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C35919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591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C35919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5919">
              <w:rPr>
                <w:rFonts w:ascii="Times New Roman" w:hAnsi="Times New Roman"/>
                <w:b/>
                <w:bCs/>
              </w:rPr>
              <w:t xml:space="preserve"> 0 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C35919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5919">
              <w:rPr>
                <w:rFonts w:ascii="Times New Roman" w:hAnsi="Times New Roman"/>
                <w:b/>
                <w:bCs/>
              </w:rPr>
              <w:t xml:space="preserve"> 0 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C35919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5919">
              <w:rPr>
                <w:rFonts w:ascii="Times New Roman" w:hAnsi="Times New Roman"/>
                <w:b/>
                <w:bCs/>
              </w:rPr>
              <w:t xml:space="preserve"> 0 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5748">
              <w:rPr>
                <w:rFonts w:ascii="Times New Roman" w:hAnsi="Times New Roman"/>
                <w:b/>
                <w:bCs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33E6A" w:rsidRPr="00004226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RPr="007D5748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  <w:sz w:val="24"/>
        </w:rPr>
      </w:pPr>
    </w:p>
    <w:p w:rsidR="00333E6A" w:rsidP="00333E6A">
      <w:pPr>
        <w:tabs>
          <w:tab w:val="num" w:pos="1080"/>
        </w:tabs>
        <w:bidi w:val="0"/>
        <w:ind w:left="-900"/>
        <w:jc w:val="both"/>
        <w:rPr>
          <w:rFonts w:ascii="Times New Roman" w:hAnsi="Times New Roman"/>
          <w:bCs/>
        </w:rPr>
      </w:pPr>
    </w:p>
    <w:p w:rsidR="00333E6A">
      <w:pPr>
        <w:bidi w:val="0"/>
        <w:spacing w:after="20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333E6A" w:rsidP="00333E6A">
      <w:pPr>
        <w:tabs>
          <w:tab w:val="num" w:pos="1080"/>
        </w:tabs>
        <w:bidi w:val="0"/>
        <w:jc w:val="right"/>
        <w:rPr>
          <w:rFonts w:ascii="Times New Roman" w:hAnsi="Times New Roman"/>
          <w:bCs/>
          <w:sz w:val="24"/>
          <w:szCs w:val="24"/>
        </w:rPr>
      </w:pPr>
      <w:r w:rsidRPr="007D5748">
        <w:rPr>
          <w:rFonts w:ascii="Times New Roman" w:hAnsi="Times New Roman"/>
          <w:bCs/>
          <w:sz w:val="24"/>
          <w:szCs w:val="24"/>
        </w:rPr>
        <w:t xml:space="preserve">                Tabuľka č. 5 </w:t>
      </w:r>
    </w:p>
    <w:p w:rsidR="00333E6A" w:rsidRPr="007D5748" w:rsidP="00333E6A">
      <w:pPr>
        <w:tabs>
          <w:tab w:val="num" w:pos="1080"/>
        </w:tabs>
        <w:bidi w:val="0"/>
        <w:ind w:right="-3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Úrad pre reguláciu elektronických komunikácií a poštových služieb</w:t>
      </w:r>
    </w:p>
    <w:p w:rsidR="00333E6A" w:rsidRPr="007D5748" w:rsidP="00333E6A">
      <w:pPr>
        <w:tabs>
          <w:tab w:val="num" w:pos="1080"/>
        </w:tabs>
        <w:bidi w:val="0"/>
        <w:ind w:hanging="851"/>
        <w:jc w:val="both"/>
        <w:rPr>
          <w:rFonts w:ascii="Times New Roman" w:hAnsi="Times New Roman"/>
          <w:bCs/>
          <w:sz w:val="24"/>
        </w:rPr>
      </w:pPr>
    </w:p>
    <w:tbl>
      <w:tblPr>
        <w:tblStyle w:val="TableNormal"/>
        <w:tblW w:w="14742" w:type="dxa"/>
      </w:tblPr>
      <w:tblGrid>
        <w:gridCol w:w="6188"/>
        <w:gridCol w:w="1329"/>
        <w:gridCol w:w="1417"/>
        <w:gridCol w:w="1460"/>
        <w:gridCol w:w="222"/>
        <w:gridCol w:w="1357"/>
        <w:gridCol w:w="2452"/>
        <w:gridCol w:w="81"/>
        <w:gridCol w:w="236"/>
      </w:tblGrid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Zamestnanosť</w:t>
            </w:r>
          </w:p>
        </w:tc>
        <w:tc>
          <w:tcPr>
            <w:tcW w:w="5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Vplyv na rozpočet verejnej správy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poznámka</w:t>
            </w: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166F3A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6F3A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Počet zamestnancov celkom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3F7525">
              <w:rPr>
                <w:rFonts w:ascii="Times New Roman" w:hAnsi="Times New Roman"/>
                <w:bCs/>
                <w:sz w:val="24"/>
                <w:szCs w:val="24"/>
              </w:rPr>
              <w:t xml:space="preserve">ersonálne obsadenie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na zabezpečenie činností jednotného informačného miesta</w:t>
            </w:r>
            <w:r w:rsidRPr="003F75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 jednotlivých rokoch sa v súčasnej dobe predpokladá v rámci limitov kapitoly MDV</w:t>
            </w:r>
            <w:r w:rsidRPr="003F7525">
              <w:rPr>
                <w:rFonts w:ascii="Times New Roman" w:hAnsi="Times New Roman"/>
                <w:bCs/>
                <w:sz w:val="24"/>
                <w:szCs w:val="24"/>
              </w:rPr>
              <w:t xml:space="preserve"> SR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avšak uvedené závisí od aktuálneho  vývoja skutočného počtu zamestnancov kapitoly MDV SR</w:t>
            </w:r>
            <w:r w:rsidRPr="003F752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Priemerný mzdový výdavok (v eurách)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1 601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1 600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1 600</w:t>
            </w: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1 601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1 600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1 600</w:t>
            </w: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Osobné výdavky celkom (v eurách)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155 462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233 355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285 014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285 014</w:t>
            </w: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Mzdy, platy, služobné príjmy a ostatné osobné vyrovnania (610)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172 920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211 200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211 200</w:t>
            </w: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B2F">
              <w:rPr>
                <w:rFonts w:ascii="Times New Roman" w:hAnsi="Times New Roman"/>
                <w:bCs/>
                <w:sz w:val="24"/>
                <w:szCs w:val="24"/>
              </w:rPr>
              <w:t>115 200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B2F">
              <w:rPr>
                <w:rFonts w:ascii="Times New Roman" w:hAnsi="Times New Roman"/>
                <w:bCs/>
                <w:sz w:val="24"/>
                <w:szCs w:val="24"/>
              </w:rPr>
              <w:t>172 920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B2F">
              <w:rPr>
                <w:rFonts w:ascii="Times New Roman" w:hAnsi="Times New Roman"/>
                <w:bCs/>
                <w:sz w:val="24"/>
                <w:szCs w:val="24"/>
              </w:rPr>
              <w:t>211 200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B2F">
              <w:rPr>
                <w:rFonts w:ascii="Times New Roman" w:hAnsi="Times New Roman"/>
                <w:bCs/>
                <w:sz w:val="24"/>
                <w:szCs w:val="24"/>
              </w:rPr>
              <w:t>211 200</w:t>
            </w: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Poistné a príspevok do poisťovní (620)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40 262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60 435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73 814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73 814</w:t>
            </w: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B2F">
              <w:rPr>
                <w:rFonts w:ascii="Times New Roman" w:hAnsi="Times New Roman"/>
                <w:bCs/>
                <w:sz w:val="24"/>
                <w:szCs w:val="24"/>
              </w:rPr>
              <w:t>40 262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B2F">
              <w:rPr>
                <w:rFonts w:ascii="Times New Roman" w:hAnsi="Times New Roman"/>
                <w:bCs/>
                <w:sz w:val="24"/>
                <w:szCs w:val="24"/>
              </w:rPr>
              <w:t>60 435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B2F">
              <w:rPr>
                <w:rFonts w:ascii="Times New Roman" w:hAnsi="Times New Roman"/>
                <w:bCs/>
                <w:sz w:val="24"/>
                <w:szCs w:val="24"/>
              </w:rPr>
              <w:t>73 814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F7B2F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B2F">
              <w:rPr>
                <w:rFonts w:ascii="Times New Roman" w:hAnsi="Times New Roman"/>
                <w:bCs/>
                <w:sz w:val="24"/>
                <w:szCs w:val="24"/>
              </w:rPr>
              <w:t>73 814</w:t>
            </w: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6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</w:rPr>
              <w:t>Poznámky:</w:t>
            </w:r>
          </w:p>
        </w:tc>
        <w:tc>
          <w:tcPr>
            <w:tcW w:w="1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gridAfter w:val="2"/>
          <w:wAfter w:w="317" w:type="dxa"/>
          <w:trHeight w:val="255"/>
        </w:trPr>
        <w:tc>
          <w:tcPr>
            <w:tcW w:w="11973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7D5748">
              <w:rPr>
                <w:rFonts w:ascii="Times New Roman" w:hAnsi="Times New Roman"/>
                <w:bCs/>
                <w:sz w:val="24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2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4742" w:type="dxa"/>
        </w:tblPrEx>
        <w:trPr>
          <w:trHeight w:val="255"/>
        </w:trPr>
        <w:tc>
          <w:tcPr>
            <w:tcW w:w="103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Kategórie 610 a 620 sú z tejto prílohy prenášané do príslušných kategórií prílohy „výdavky“.</w:t>
            </w:r>
          </w:p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33E6A" w:rsidRPr="007D5748" w:rsidP="007A00B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E6A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851D0">
      <w:pPr>
        <w:bidi w:val="0"/>
        <w:spacing w:after="200" w:line="276" w:lineRule="auto"/>
        <w:rPr>
          <w:rFonts w:ascii="Times New Roman" w:hAnsi="Times New Roman"/>
          <w:b/>
          <w:bCs/>
          <w:sz w:val="24"/>
          <w:szCs w:val="24"/>
        </w:rPr>
        <w:sectPr w:rsidSect="002851D0">
          <w:footnotePr>
            <w:numFmt w:val="chicago"/>
          </w:footnotePr>
          <w:pgSz w:w="16838" w:h="11906" w:orient="landscape"/>
          <w:pgMar w:top="1418" w:right="1134" w:bottom="1418" w:left="1134" w:header="510" w:footer="567" w:gutter="0"/>
          <w:lnNumType w:distance="0"/>
          <w:cols w:space="708"/>
          <w:noEndnote w:val="0"/>
          <w:bidi w:val="0"/>
          <w:docGrid w:linePitch="272"/>
        </w:sectPr>
      </w:pPr>
    </w:p>
    <w:p w:rsidR="00333E6A">
      <w:pPr>
        <w:bidi w:val="0"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333E6A" w:rsidRPr="00042C66" w:rsidP="007A00B7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333E6A" w:rsidRPr="00F04CCD" w:rsidP="007A00B7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333E6A" w:rsidRPr="00042C66" w:rsidP="007A00B7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MS Gothic" w:eastAsia="MS Gothic" w:hAnsi="Times New Roman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333E6A" w:rsidRPr="00F04CCD" w:rsidP="007A00B7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333E6A" w:rsidRPr="00042C66" w:rsidP="007A00B7">
            <w:pPr>
              <w:bidi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333E6A" w:rsidRPr="00F04CCD" w:rsidP="007A00B7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932BCF" w:rsidP="007A00B7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932BCF">
              <w:rPr>
                <w:rFonts w:ascii="Times New Roman" w:hAnsi="Times New Roman"/>
                <w:i/>
                <w:sz w:val="22"/>
                <w:szCs w:val="22"/>
              </w:rPr>
              <w:t>Podniky poskytujúce siete alebo služby v oblasti elektronických komunikácií. Úrad pre reguláciu elektronických komunikácií a poštových služieb evidoval v roku 2017 cca 1200 subjektov poskytujúcich siete, služby alebo siete a služby v oblasti elektronických komunikácií.</w:t>
            </w:r>
          </w:p>
          <w:p w:rsidR="00333E6A" w:rsidRPr="00D27A34" w:rsidP="007A00B7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333E6A" w:rsidRPr="00042C66" w:rsidP="007A00B7">
            <w:pPr>
              <w:bidi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333E6A" w:rsidRPr="000D2622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C0240" w:rsidP="007A00B7">
            <w:pPr>
              <w:pStyle w:val="NormalWeb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C0240">
              <w:rPr>
                <w:rFonts w:ascii="Times New Roman" w:hAnsi="Times New Roman"/>
                <w:sz w:val="22"/>
                <w:szCs w:val="22"/>
              </w:rPr>
              <w:t>Návrh zákona bol zaslaný formou cielenej konzultácie na pripomienkovanie v termíne od 15. do 19. 5. 2017 SOZ pôšt a telekomunikácií, Únii dopravy, pôšt a telekomunikácií a AZZZ, teda trom relevantným inštitúciám, ktoré zastrešujú tak podniky pôsobiace v sektore elektronických komunikácií, vrátane podnikov spadajúcich do kategórie MSP, ako aj zamestnancov sektora a odbornej verejnosti.</w:t>
            </w:r>
          </w:p>
          <w:p w:rsidR="00333E6A" w:rsidRPr="00FC0240" w:rsidP="007A00B7">
            <w:pPr>
              <w:pStyle w:val="NormalWeb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C0240">
              <w:rPr>
                <w:rFonts w:ascii="Times New Roman" w:hAnsi="Times New Roman"/>
                <w:sz w:val="22"/>
                <w:szCs w:val="22"/>
              </w:rPr>
              <w:t>Materiál bol predmetom Predbežného pripomienkového konania v čase od 3. do 11. 7. 2017, následne prebiehalo skrátené Medzirezortné pripomienkové konanie od 17. do 25. 7. 2017.</w:t>
            </w:r>
          </w:p>
          <w:p w:rsidR="00333E6A" w:rsidRPr="00FC0240" w:rsidP="007A00B7">
            <w:pPr>
              <w:pStyle w:val="NormalWeb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C0240">
              <w:rPr>
                <w:rFonts w:ascii="Times New Roman" w:hAnsi="Times New Roman"/>
                <w:sz w:val="22"/>
                <w:szCs w:val="22"/>
              </w:rPr>
              <w:t>Vznesené pripomienky boli do návrhu zákona čiastočne zapracované a ďalšie pripomienky uplatnené v medzirezortnom pripomienkovom konaní, boli následne vyhodnotené a diskutované s jednotlivými subjektmi. Prehľad výsledkov vyhodnotenia všetkých pripomienok a rozsah ich zapracovania obsahuje príslušná tabuľka vyhodnotenia medzirezortného pripomienkového konania.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333E6A" w:rsidRPr="00042C66" w:rsidP="007A00B7">
            <w:pPr>
              <w:bidi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04CCD" w:rsidP="007A00B7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1411D0" w:rsidP="007A00B7">
            <w:pPr>
              <w:bidi w:val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411D0"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>Vzhľadom na zavedenie nov</w:t>
            </w:r>
            <w:r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>ej</w:t>
            </w:r>
            <w:r w:rsidRPr="001411D0"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 xml:space="preserve"> sankci</w:t>
            </w:r>
            <w:r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>e</w:t>
            </w:r>
            <w:r w:rsidRPr="001411D0"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 xml:space="preserve"> a za predpokladu, že </w:t>
            </w:r>
            <w:r w:rsidRPr="001411D0">
              <w:rPr>
                <w:rFonts w:ascii="Times New Roman" w:hAnsi="Times New Roman"/>
                <w:i/>
                <w:sz w:val="22"/>
                <w:szCs w:val="22"/>
              </w:rPr>
              <w:t xml:space="preserve">povinné osoby (ústredné orgány štátnej správy, miestne orgány štátnej správy, vyššie územné celky a obce) alebo prevádzkovatelia sietí (podnik podľa § 5 ods. 1 zákona č. 351/2011 Z. z., ďalej osoba, ktorá prevádzkuje fyzickú infraštruktúru podľa § 2 ods. 8 zákona č. 351/2011 Z. z., alebo osoba, ktorá uskutočňuje výstavbu siete alebo siete určenej na poskytovanie iných služieb alebo fyzickej infraštruktúry) neposkytnú jednotnému informačnému miestu informácie o existujúcej infraštruktúre, resp. o plánovaných či prebiehajúcich stavbách, </w:t>
            </w:r>
            <w:r w:rsidRPr="001411D0"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>dôjde pre takýto subjekt k navýšeniu priamych finančných nákladov.  Výška  sankci</w:t>
            </w:r>
            <w:r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>e</w:t>
            </w:r>
            <w:r w:rsidRPr="001411D0"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 xml:space="preserve">  sa pohybuje od </w:t>
            </w:r>
            <w:r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>1</w:t>
            </w:r>
            <w:r w:rsidRPr="001411D0"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 xml:space="preserve">00 eur do </w:t>
            </w:r>
            <w:r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>10</w:t>
            </w:r>
            <w:r w:rsidRPr="001411D0">
              <w:rPr>
                <w:rFonts w:ascii="Times New Roman" w:hAnsi="Times New Roman"/>
                <w:i/>
                <w:color w:val="000000" w:themeColor="tx1" w:themeShade="FF"/>
                <w:sz w:val="22"/>
                <w:szCs w:val="22"/>
              </w:rPr>
              <w:t xml:space="preserve"> 000,- eur.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04CCD" w:rsidP="007A00B7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1411D0" w:rsidP="007A00B7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1411D0">
              <w:rPr>
                <w:rFonts w:ascii="Times New Roman" w:hAnsi="Times New Roman"/>
                <w:i/>
                <w:sz w:val="22"/>
                <w:szCs w:val="22"/>
              </w:rPr>
              <w:t>Nie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04CCD" w:rsidP="007A00B7">
            <w:pPr>
              <w:bidi w:val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9A6C3C" w:rsidP="007A00B7">
            <w:pPr>
              <w:bidi w:val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J</w:t>
            </w:r>
            <w:r w:rsidRPr="009A6C3C">
              <w:rPr>
                <w:rFonts w:ascii="Times New Roman" w:hAnsi="Times New Roman"/>
                <w:i/>
                <w:sz w:val="22"/>
                <w:szCs w:val="22"/>
              </w:rPr>
              <w:t>ednotné informačné miesto by malo umožniť prístup k minimálnym informáciám, ktoré sú už k dispozícii v elektronickej podobe, s výhradou obmedzení na zaistenie bezpečnosti a integrity siete, predovšetkým kritickej infraštruktúry, alebo zachovanie oprávneného pracovného a obchodného tajomstva.</w:t>
            </w:r>
          </w:p>
          <w:p w:rsidR="00333E6A" w:rsidRPr="009A6C3C" w:rsidP="007A00B7">
            <w:pPr>
              <w:bidi w:val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A6C3C">
              <w:rPr>
                <w:rFonts w:ascii="Times New Roman" w:hAnsi="Times New Roman"/>
                <w:i/>
                <w:sz w:val="22"/>
                <w:szCs w:val="22"/>
              </w:rPr>
              <w:t xml:space="preserve">Minimálne informácie, ktoré sú k dispozícii v elektronickej podobe by sa mali sprístupniť, napríklad prostredníctvom hypertextového odkazu, jednotnému informačnému miestu. </w:t>
            </w:r>
          </w:p>
          <w:p w:rsidR="00333E6A" w:rsidRPr="0001250E" w:rsidP="007A00B7">
            <w:pPr>
              <w:bidi w:val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A6C3C">
              <w:rPr>
                <w:rFonts w:ascii="Times New Roman" w:hAnsi="Times New Roman"/>
                <w:i/>
                <w:sz w:val="22"/>
                <w:szCs w:val="22"/>
              </w:rPr>
              <w:t xml:space="preserve">Ak minimálne informácie nie sú dostupné prostredníctvom jednotného informačného miesta, mala by sa podnikom poskytujúcim verejné komunikačné siete alebo oprávneným na ich poskytovanie aj tak zabezpečiť </w:t>
            </w: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>možnosť priamo požiadať o takéto konkrétne informácie ktoréhokoľvek prevádzkovateľa siete v dotknutej oblasti.</w:t>
            </w:r>
          </w:p>
          <w:p w:rsidR="00333E6A" w:rsidRPr="0001250E" w:rsidP="007A00B7">
            <w:pPr>
              <w:bidi w:val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 xml:space="preserve">Ústredné orgány štátnej správy, miestne orgány štátnej správy, vyššie územné celky a obce a prevádzkovatelia sietí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sú </w:t>
            </w: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>povinní na základe písomnej žiadosti podniku poskytnúť</w:t>
            </w:r>
          </w:p>
          <w:p w:rsidR="00333E6A" w:rsidRPr="0001250E" w:rsidP="00333E6A">
            <w:pPr>
              <w:pStyle w:val="ListParagraph"/>
              <w:numPr>
                <w:ilvl w:val="1"/>
                <w:numId w:val="10"/>
              </w:numPr>
              <w:bidi w:val="0"/>
              <w:spacing w:after="0"/>
              <w:ind w:left="284" w:hanging="284"/>
              <w:jc w:val="both"/>
              <w:rPr>
                <w:rFonts w:ascii="Times New Roman" w:hAnsi="Times New Roman"/>
                <w:i/>
              </w:rPr>
            </w:pPr>
            <w:r w:rsidRPr="0001250E">
              <w:rPr>
                <w:rFonts w:ascii="Times New Roman" w:hAnsi="Times New Roman"/>
                <w:i/>
              </w:rPr>
              <w:t>informácie o dostupnosti existujúcej fyzickej infraštruktúry minimálne v rozsahu umiestnenie a trasa, typ a súčasné využívanie fyzickej infraštruktúry a kontaktné údaje prevádzkovateľa siete v rozsahu meno, priezvisko, adresa pre doručovanie, telefonický kontakt a emailová adresa a</w:t>
            </w:r>
          </w:p>
          <w:p w:rsidR="00333E6A" w:rsidRPr="0001250E" w:rsidP="00333E6A">
            <w:pPr>
              <w:pStyle w:val="ListParagraph"/>
              <w:numPr>
                <w:ilvl w:val="1"/>
                <w:numId w:val="10"/>
              </w:numPr>
              <w:bidi w:val="0"/>
              <w:spacing w:after="0"/>
              <w:ind w:left="284" w:hanging="284"/>
              <w:jc w:val="both"/>
              <w:rPr>
                <w:rFonts w:ascii="Times New Roman" w:hAnsi="Times New Roman"/>
                <w:i/>
              </w:rPr>
            </w:pPr>
            <w:r w:rsidRPr="0001250E">
              <w:rPr>
                <w:rFonts w:ascii="Times New Roman" w:hAnsi="Times New Roman"/>
                <w:i/>
              </w:rPr>
              <w:t>informácie o plánovaných alebo prebiehajúcich stavbách v rozsahu miesto a druh stavby, časti fyzickej infraštruktúry, ktoré sú predmetom alebo súčasťou stavby, odhadovaný dátum začatia stavby a jej trvanie a kontaktné údaje osoby poverenej vedením uskutočňovania stavby v rozsahu meno, priezvisko, adresa pre doručovanie, telefonický kontakt a emailová adresa.</w:t>
            </w:r>
          </w:p>
          <w:p w:rsidR="00333E6A" w:rsidRPr="009A6C3C" w:rsidP="007A00B7">
            <w:pPr>
              <w:bidi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9A6C3C">
              <w:rPr>
                <w:rFonts w:ascii="Times New Roman" w:hAnsi="Times New Roman"/>
                <w:i/>
                <w:sz w:val="22"/>
                <w:szCs w:val="22"/>
              </w:rPr>
              <w:t>Týmto by sa umožnil koordinovaný prístup k informáciám o fyzických infraštruktúrach pre poskytovateľov verejných komunikačných sietí a zároveň zaistila bezpečnosť a integrita všetkých takýchto informácií, najmä pokiaľ ide o vnútroštátnu kritickú infraštruktúru. Ak informácie dostupné verejnému sektoru nezabezpečujú náležité poznatky o existujúcich fyzických infraštruktúrach v konkrétnej oblasti alebo určitého typu, prevádzkovatelia sietí by mali informácie sprístupniť podnikom poskytujúcim verejné komunikačné siete alebo oprávneným na ich poskytovanie.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33E6A" w:rsidRPr="00F04CCD" w:rsidP="007A00B7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333E6A" w:rsidRPr="0001250E" w:rsidP="007A00B7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>Priame a administratívne finančné náklady na 1 podnikateľa, resp. na celé podnikateľské prostredie v súčasnosti nie je možné ich vyčísliť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, nakoľko nie je možné odhadnúť, koľko a aké informácie budú požadované.</w:t>
            </w: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 xml:space="preserve"> Výška nákladov bude závisieť od počtu žiadostí o sprístupnenie infraštruktúry, žiadostí o poskytnutie informácie o dostupnosti infraštruktúry a od nákladov spojených s koordináciou výstavby. Tieto náklady však bude možné premietnuť do ceny, ktorá bude účtovaná podnikom poskytujúcim elektronické komunikačné siete za využívanie infraštruktúry.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333E6A" w:rsidRPr="00042C66" w:rsidP="007A00B7">
            <w:pPr>
              <w:bidi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2316E0" w:rsidP="007A00B7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2316E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Aby podniky mohli efektívne plánovať zavádzanie vysokorýchlostných elektronických komunikačných sietí, budú mať prostredníctvom jednotného informačného miesta prístup nielen k informáciám o dostupnosti existujúcej fyzickej infraštruktúry ale aj k informáciám o prebiehajúcich alebo plánovaných stavbách. Ak tieto informácie nie sú dostupné prostredníctvom jednotného informačného miesta, podniky ich môžu požadovať priamo od prevádzkovateľov sietí.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333E6A" w:rsidRPr="00042C66" w:rsidP="007A00B7">
            <w:pPr>
              <w:bidi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333E6A" w:rsidP="007A00B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333E6A" w:rsidRPr="00F04CCD" w:rsidP="007A00B7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1250E" w:rsidP="007A00B7">
            <w:pPr>
              <w:pStyle w:val="ListParagraph"/>
              <w:bidi w:val="0"/>
              <w:spacing w:line="240" w:lineRule="auto"/>
              <w:ind w:left="0" w:firstLine="426"/>
              <w:jc w:val="both"/>
              <w:rPr>
                <w:rFonts w:ascii="Times New Roman" w:hAnsi="Times New Roman"/>
                <w:i/>
              </w:rPr>
            </w:pPr>
            <w:r w:rsidRPr="0001250E">
              <w:rPr>
                <w:rFonts w:ascii="Times New Roman" w:hAnsi="Times New Roman"/>
                <w:i/>
              </w:rPr>
              <w:t xml:space="preserve">Transpozíciou smernice o znižovaní nákladov do zákona č. 351/20111 Z. z. </w:t>
            </w:r>
            <w:r w:rsidRPr="0001250E">
              <w:rPr>
                <w:rFonts w:ascii="Times New Roman" w:hAnsi="Times New Roman"/>
                <w:i/>
                <w:color w:val="000000"/>
              </w:rPr>
              <w:t>o elektronických komunikáciách v znení neskorších predpisov</w:t>
            </w:r>
            <w:r>
              <w:rPr>
                <w:rFonts w:ascii="Times New Roman" w:hAnsi="Times New Roman"/>
                <w:i/>
                <w:color w:val="000000"/>
              </w:rPr>
              <w:t xml:space="preserve"> (zriadením jednotného informačného miesta)</w:t>
            </w:r>
            <w:r w:rsidRPr="0001250E">
              <w:rPr>
                <w:rFonts w:ascii="Times New Roman" w:hAnsi="Times New Roman"/>
                <w:i/>
              </w:rPr>
              <w:t xml:space="preserve"> sa zabezpečí:</w:t>
            </w:r>
          </w:p>
          <w:p w:rsidR="00333E6A" w:rsidRPr="0001250E" w:rsidP="00333E6A">
            <w:pPr>
              <w:numPr>
                <w:numId w:val="11"/>
              </w:numPr>
              <w:autoSpaceDE w:val="0"/>
              <w:autoSpaceDN w:val="0"/>
              <w:bidi w:val="0"/>
              <w:ind w:left="426" w:hanging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>prístup podnikov poskytujúcich elektronické komunikačné siete k existujúcej infraštruktúre určenej  na:</w:t>
            </w:r>
          </w:p>
          <w:p w:rsidR="00333E6A" w:rsidRPr="0001250E" w:rsidP="00333E6A">
            <w:pPr>
              <w:numPr>
                <w:ilvl w:val="1"/>
                <w:numId w:val="11"/>
              </w:numPr>
              <w:autoSpaceDE w:val="0"/>
              <w:autoSpaceDN w:val="0"/>
              <w:bidi w:val="0"/>
              <w:ind w:left="709" w:hanging="283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 xml:space="preserve">výrobu, prepravu alebo distribúciu plynu, výrobu, prenos a distribúciu elektriny, zabezpečovanie verejného osvetlenia, výrobu, distribúciu a dodávku tepla, prevádzku  verejnej kanalizácie; </w:t>
            </w:r>
          </w:p>
          <w:p w:rsidR="00333E6A" w:rsidRPr="0001250E" w:rsidP="00333E6A">
            <w:pPr>
              <w:numPr>
                <w:ilvl w:val="1"/>
                <w:numId w:val="11"/>
              </w:numPr>
              <w:autoSpaceDE w:val="0"/>
              <w:autoSpaceDN w:val="0"/>
              <w:bidi w:val="0"/>
              <w:ind w:left="709" w:hanging="283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 xml:space="preserve">prevádzku železničnej a cestnej infraštruktúry, prístavov a leteckej infraštruktúry; </w:t>
            </w:r>
          </w:p>
          <w:p w:rsidR="00333E6A" w:rsidRPr="0001250E" w:rsidP="00333E6A">
            <w:pPr>
              <w:numPr>
                <w:numId w:val="11"/>
              </w:numPr>
              <w:autoSpaceDE w:val="0"/>
              <w:autoSpaceDN w:val="0"/>
              <w:bidi w:val="0"/>
              <w:ind w:left="426" w:hanging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>informovanosť o dostupnosti infraštruktúry využiteľnej pre budovanie vysokorýchlostných elektronických komunikačných sietí;</w:t>
            </w:r>
          </w:p>
          <w:p w:rsidR="00333E6A" w:rsidRPr="0001250E" w:rsidP="00333E6A">
            <w:pPr>
              <w:numPr>
                <w:numId w:val="11"/>
              </w:numPr>
              <w:autoSpaceDE w:val="0"/>
              <w:autoSpaceDN w:val="0"/>
              <w:bidi w:val="0"/>
              <w:ind w:left="426" w:hanging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>koordinácia výstavby s cieľom uľahčiť budovanie vysokorýchlostných elektronických komunikačných sietí;</w:t>
            </w:r>
          </w:p>
          <w:p w:rsidR="00333E6A" w:rsidRPr="0001250E" w:rsidP="00333E6A">
            <w:pPr>
              <w:numPr>
                <w:numId w:val="11"/>
              </w:numPr>
              <w:autoSpaceDE w:val="0"/>
              <w:autoSpaceDN w:val="0"/>
              <w:bidi w:val="0"/>
              <w:ind w:left="426" w:hanging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>transparentnosť v oblasti plánovania výstavby;</w:t>
            </w:r>
          </w:p>
          <w:p w:rsidR="00333E6A" w:rsidRPr="0001250E" w:rsidP="00333E6A">
            <w:pPr>
              <w:numPr>
                <w:numId w:val="11"/>
              </w:numPr>
              <w:autoSpaceDE w:val="0"/>
              <w:autoSpaceDN w:val="0"/>
              <w:bidi w:val="0"/>
              <w:ind w:left="426" w:hanging="426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1250E">
              <w:rPr>
                <w:rFonts w:ascii="Times New Roman" w:hAnsi="Times New Roman"/>
                <w:i/>
                <w:sz w:val="22"/>
                <w:szCs w:val="22"/>
              </w:rPr>
              <w:t>vybavenosť budov infraštruktúrou využiteľnou pre budovanie vysokorýchlostných elektronických komunikačných sietí;</w:t>
            </w:r>
          </w:p>
        </w:tc>
      </w:tr>
    </w:tbl>
    <w:p w:rsidR="00333E6A" w:rsidRPr="00F04CCD" w:rsidP="00333E6A">
      <w:pPr>
        <w:bidi w:val="0"/>
        <w:rPr>
          <w:rFonts w:ascii="Times New Roman" w:hAnsi="Times New Roman"/>
        </w:rPr>
      </w:pPr>
    </w:p>
    <w:p w:rsidR="00333E6A" w:rsidP="00333E6A">
      <w:pPr>
        <w:bidi w:val="0"/>
        <w:rPr>
          <w:rFonts w:ascii="Times New Roman" w:hAnsi="Times New Roman"/>
        </w:rPr>
      </w:pPr>
    </w:p>
    <w:p w:rsidR="00333E6A" w:rsidP="00333E6A">
      <w:pPr>
        <w:bidi w:val="0"/>
        <w:rPr>
          <w:rFonts w:ascii="Times New Roman" w:hAnsi="Times New Roman"/>
        </w:rPr>
      </w:pPr>
    </w:p>
    <w:p w:rsidR="00333E6A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Analýza sociálnych vplyvov</w:t>
            </w:r>
          </w:p>
          <w:p w:rsidR="00333E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4.1 </w:t>
            </w:r>
            <w:r>
              <w:rPr>
                <w:rFonts w:ascii="Times New Roman" w:hAnsi="Times New Roman"/>
                <w:b/>
                <w:sz w:val="24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Vedie návrh k zvýšeniu alebo zníženiu príjmov alebo výdavkov domácností? </w:t>
            </w:r>
          </w:p>
          <w:p w:rsidR="00333E6A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Ktoré skupiny domácností/obyvateľstva sú takto ovplyvnené a akým spôsobom? </w:t>
            </w:r>
          </w:p>
          <w:p w:rsidR="00333E6A">
            <w:pPr>
              <w:shd w:val="clear" w:color="auto" w:fill="F2F2F2"/>
              <w:bidi w:val="0"/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Times New Roman" w:hAnsi="Times New Roman"/>
                <w:i/>
              </w:rPr>
              <w:t>Sú medzi potenciálne ovplyvnenými skupinami skupiny v riziku chudoby alebo sociálneho vylúčenia?</w:t>
            </w:r>
          </w:p>
        </w:tc>
      </w:tr>
    </w:tbl>
    <w:p w:rsidR="00333E6A" w:rsidP="00333E6A">
      <w:pPr>
        <w:bidi w:val="0"/>
        <w:rPr>
          <w:rFonts w:ascii="Times New Roman" w:hAnsi="Times New Roman"/>
          <w:i/>
        </w:rPr>
        <w:sectPr w:rsidSect="002851D0">
          <w:footnotePr>
            <w:numFmt w:val="chicago"/>
          </w:footnotePr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</w:rPr>
              <w:t>pozitívny</w:t>
            </w:r>
            <w:r>
              <w:rPr>
                <w:rFonts w:ascii="Times New Roman" w:hAnsi="Times New Roman"/>
                <w:i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Špecifikujte </w:t>
            </w:r>
            <w:r>
              <w:rPr>
                <w:rFonts w:ascii="Times New Roman" w:hAnsi="Times New Roman"/>
                <w:b/>
                <w:i/>
              </w:rPr>
              <w:t>pozitívne</w:t>
            </w:r>
            <w:r>
              <w:rPr>
                <w:rFonts w:ascii="Times New Roman" w:hAnsi="Times New Roman"/>
                <w:i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</w:rPr>
              <w:t xml:space="preserve">negatívny </w:t>
            </w:r>
            <w:r>
              <w:rPr>
                <w:rFonts w:ascii="Times New Roman" w:hAnsi="Times New Roman"/>
                <w:i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Špecifikujte </w:t>
            </w:r>
            <w:r>
              <w:rPr>
                <w:rFonts w:ascii="Times New Roman" w:hAnsi="Times New Roman"/>
                <w:b/>
                <w:i/>
              </w:rPr>
              <w:t>negatívne</w:t>
            </w:r>
            <w:r>
              <w:rPr>
                <w:rFonts w:ascii="Times New Roman" w:hAnsi="Times New Roman"/>
                <w:i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Špecifikujte ovplyvnené skupiny </w:t>
            </w:r>
            <w:r>
              <w:rPr>
                <w:rFonts w:ascii="Times New Roman" w:hAnsi="Times New Roman"/>
                <w:b/>
                <w:i/>
              </w:rPr>
              <w:t>v riziku chudoby alebo sociálneho vylúčenia</w:t>
            </w:r>
            <w:r>
              <w:rPr>
                <w:rFonts w:ascii="Times New Roman" w:hAnsi="Times New Roman"/>
                <w:i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33E6A" w:rsidP="00333E6A">
      <w:pPr>
        <w:bidi w:val="0"/>
        <w:rPr>
          <w:rFonts w:ascii="Times New Roman" w:hAnsi="Times New Roman"/>
          <w:i/>
        </w:rPr>
        <w:sectPr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 prípade vyššieho počtu ovplyvnených skupín doplňte do tabuľky ďalšie riadky.</w:t>
            </w:r>
          </w:p>
          <w:p w:rsidR="00333E6A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V prípade, ak neuvádzate kvantifikáciu, uveďte dôvod.</w:t>
            </w:r>
          </w:p>
        </w:tc>
      </w:tr>
    </w:tbl>
    <w:p w:rsidR="00333E6A" w:rsidP="00333E6A">
      <w:pPr>
        <w:bidi w:val="0"/>
        <w:rPr>
          <w:rFonts w:ascii="Times New Roman" w:hAnsi="Times New Roman"/>
          <w:b/>
          <w:i/>
        </w:rPr>
        <w:sectPr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Times New Roman" w:hAnsi="Times New Roman"/>
                <w:i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Times New Roman" w:hAnsi="Times New Roman"/>
                <w:i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Times New Roman" w:hAnsi="Times New Roman"/>
                <w:i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Times New Roman" w:hAnsi="Times New Roman"/>
                <w:i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Times New Roman" w:hAnsi="Times New Roman"/>
                <w:i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33E6A" w:rsidP="00333E6A">
      <w:pPr>
        <w:bidi w:val="0"/>
        <w:rPr>
          <w:rFonts w:ascii="Times New Roman" w:hAnsi="Times New Roman"/>
          <w:lang w:eastAsia="en-US"/>
        </w:rPr>
      </w:pPr>
    </w:p>
    <w:p w:rsidR="002851D0" w:rsidP="00333E6A">
      <w:pPr>
        <w:bidi w:val="0"/>
        <w:rPr>
          <w:rFonts w:ascii="Times New Roman" w:hAnsi="Times New Roman"/>
          <w:lang w:eastAsia="en-US"/>
        </w:rPr>
      </w:pPr>
    </w:p>
    <w:p w:rsidR="002851D0" w:rsidP="00333E6A">
      <w:pPr>
        <w:bidi w:val="0"/>
        <w:rPr>
          <w:rFonts w:ascii="Times New Roman" w:hAnsi="Times New Roman"/>
          <w:lang w:eastAsia="en-US"/>
        </w:rPr>
      </w:pPr>
    </w:p>
    <w:p w:rsidR="00333E6A" w:rsidP="00333E6A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33E6A" w:rsidP="00333E6A">
      <w:pPr>
        <w:bidi w:val="0"/>
        <w:rPr>
          <w:rFonts w:ascii="Times New Roman" w:hAnsi="Times New Roman"/>
          <w:b/>
          <w:sz w:val="24"/>
          <w:szCs w:val="24"/>
        </w:rPr>
        <w:sectPr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Má návrh vplyv na prístup k zdrojom, právam, tovarom a službám? </w:t>
            </w:r>
          </w:p>
          <w:p w:rsidR="00333E6A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  <w:tr>
        <w:tblPrEx>
          <w:tblW w:w="5172" w:type="pct"/>
          <w:jc w:val="center"/>
          <w:tblBorders>
            <w:top w:val="none" w:sz="0" w:space="0" w:color="auto"/>
            <w:bottom w:val="none" w:sz="0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Rozumie sa najmä na prístup k: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kvalitnej práci, ochrane zdravia, dôstojnosti a bezpečnosti pri práci pre zamestnancov a existujúcim zamestnaneckým právam,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pomoci pri úhrade výdavkov súvisiacich so zdravotným postihnutím, 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zdravotnej starostlivosti vrátane cenovo dostupných pomôcok pre občanov so zdravotným postihnutím, 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k formálnemu i neformálnemu vzdelávaniu a celo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softHyphen/>
              <w:t xml:space="preserve">životnému vzdelávaniu, 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bývaniu a súvisiacim základným komunálnym službám,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doprave,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ďalším službám najmä službám všeobecného záujmu a tovarom,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spravodlivosti, právnej ochrane, právnym službám,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informáciám</w:t>
            </w:r>
          </w:p>
          <w:p w:rsidR="00333E6A" w:rsidP="00333E6A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k iným právam (napr. politickým).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33E6A">
            <w:pPr>
              <w:pStyle w:val="NormalWeb"/>
              <w:bidi w:val="0"/>
              <w:spacing w:after="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Vzhľadom na novú povinnosť pre výrobcov áut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vybaviť nové typy automobilov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kategórie M1 alebo N1 typovo schválené po 31.3.2018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palubnou technológiou, ktorá bude komunikovať s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interoperabilnou službou eCall využívajúcou tiesňovú linku 112, sa umožní používateľom uvedených typov automobilov využívať službu eCall.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333E6A">
            <w:pPr>
              <w:pStyle w:val="NormalWeb"/>
              <w:bidi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Systém eCall je určený 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zrýchlenie poskytovania záchranných služieb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pri dopravných nehodách. Nové vozidlá budú na tento účel musieť byť vybavené bezdrôtovými zariadeniami, ktoré automaticky vyšlú núdzový signál na číslo tiesňového volania 112. Systém eCall prispeje k zníženiu počtu zranení a úmrtí pri dopravných nehodách v rámci Únie. Predpokladá sa, že skráti čas reakcie v núdzových situáciách o polovicu, čo povedie k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záchrane životov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rýchlemu ošetreniu zranení.</w:t>
            </w:r>
          </w:p>
          <w:p w:rsidR="00333E6A">
            <w:pPr>
              <w:pStyle w:val="Normaltext"/>
              <w:bidi w:val="0"/>
              <w:spacing w:after="0" w:line="276" w:lineRule="auto"/>
              <w:rPr>
                <w:rFonts w:ascii="Times New Roman" w:hAnsi="Times New Roman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Má návrh významný vplyv na niektorú zo zraniteľných skupín obyvateľstva alebo skupín v riziku chudoby alebo sociálneho vylúčenia? </w:t>
            </w:r>
          </w:p>
          <w:p w:rsidR="00333E6A">
            <w:p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  <w:tr>
        <w:tblPrEx>
          <w:tblW w:w="5172" w:type="pct"/>
          <w:jc w:val="center"/>
          <w:tblBorders>
            <w:top w:val="none" w:sz="0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Zraniteľné skupiny alebo skupiny v riziku chudoby alebo sociálneho vylúčenia sú napr.: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nezamestnaní, najmä dlhodobo nezamestnaní, mladí nezamestnaní a nezamestnaní nad 50 rokov,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deti (0 – 17),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mladí ľudia (18 – 25 rokov),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starší ľudia, napr. ľudia vo veku nad 65 rokov alebo dôchodcovia,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ľudia so zdravotným postihnutím,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marginalizované rómske komunity 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domácnosti s 3 a viac deťmi,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jednorodičovské domácnosti s deťmi (neúplné rodiny, ktoré tvoria najmä osamelé matky s deťmi),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príslušníci tretích krajín, azylanti, žiadatelia o azyl,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33E6A">
            <w:pPr>
              <w:pStyle w:val="Normaltext"/>
              <w:bidi w:val="0"/>
              <w:spacing w:after="0" w:line="276" w:lineRule="auto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Pre osoby so zdravotným postihnutím sa prostredníctvom krátkych textových správ (SMS) rozširuje právo mať rovnaký prístup k tiesňovým službám 112 ako majú ostatní účastníci prostredníctvom volaní. </w:t>
            </w:r>
          </w:p>
          <w:p w:rsidR="00333E6A">
            <w:pPr>
              <w:pStyle w:val="Normaltext"/>
              <w:bidi w:val="0"/>
              <w:spacing w:after="0" w:line="276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0779B9" w:rsidP="00333E6A">
      <w:pPr>
        <w:bidi w:val="0"/>
        <w:rPr>
          <w:rFonts w:asciiTheme="minorHAnsi" w:hAnsiTheme="minorHAnsi"/>
          <w:sz w:val="22"/>
          <w:szCs w:val="22"/>
          <w:lang w:eastAsia="en-US"/>
        </w:rPr>
      </w:pPr>
    </w:p>
    <w:p w:rsidR="000779B9">
      <w:pPr>
        <w:bidi w:val="0"/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br w:type="page"/>
      </w: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 Identifikujte a popíšte vplyv na rovnosť príležitostí.</w:t>
            </w:r>
          </w:p>
          <w:p w:rsidR="00333E6A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2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333E6A" w:rsidP="003727D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>
        <w:tblPrEx>
          <w:tblW w:w="5172" w:type="pct"/>
          <w:jc w:val="center"/>
          <w:tblBorders>
            <w:top w:val="none" w:sz="0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podpora vyrovnávania ekonomickej nezávislosti, 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zosúladenie pracovného, súkromného a rodinného života, 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podpora rovnej participácie na rozhodovaní, 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boj proti rodovo podmienenému násiliu a obchodovaniu s ľuďmi, </w:t>
            </w:r>
          </w:p>
          <w:p w:rsidR="00333E6A" w:rsidP="00333E6A">
            <w:pPr>
              <w:numPr>
                <w:numId w:val="13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eliminácia rodových stereotypov.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4.4 Identifikujte, popíšte a kvantifikujte vplyvy na zamestnanosť a na trh práce.</w:t>
            </w:r>
          </w:p>
          <w:p w:rsidR="00333E6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</w:rPr>
              <w:t xml:space="preserve">V prípade kladnej odpovede pripojte </w:t>
            </w:r>
            <w:r>
              <w:rPr>
                <w:rFonts w:ascii="Times New Roman" w:hAnsi="Times New Roman"/>
                <w:b/>
                <w:i/>
              </w:rPr>
              <w:t>odôvodnenie</w:t>
            </w:r>
            <w:r>
              <w:rPr>
                <w:rFonts w:ascii="Times New Roman" w:hAnsi="Times New Roman"/>
                <w:i/>
              </w:rPr>
              <w:t xml:space="preserve"> v súlade s Metodickým postupom pre analýzu sociálnych vplyvov.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Vedie návrh k zániku pracovných miest?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Ovplyvňuje návrh dopyt po práci?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Má návrh dosah na fungovanie trhu práce?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Má návrh špecifické negatívne dôsledky pre isté skupiny profesií, skupín zamestnancov či živnostníkov?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  <w:hideMark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33E6A">
            <w:pPr>
              <w:bidi w:val="0"/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</w:tc>
      </w:tr>
    </w:tbl>
    <w:p w:rsidR="003727D7" w:rsidP="00333E6A">
      <w:pPr>
        <w:bidi w:val="0"/>
        <w:jc w:val="right"/>
        <w:rPr>
          <w:rFonts w:ascii="Times New Roman" w:hAnsi="Times New Roman"/>
          <w:lang w:eastAsia="en-US"/>
        </w:rPr>
      </w:pPr>
    </w:p>
    <w:p w:rsidR="003727D7">
      <w:pPr>
        <w:bidi w:val="0"/>
        <w:spacing w:after="200"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br w:type="page"/>
      </w:r>
    </w:p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9371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822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B1784E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1784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Analýza </w:t>
            </w:r>
            <w:r w:rsidRPr="00964DDF">
              <w:rPr>
                <w:rFonts w:ascii="Times New Roman" w:hAnsi="Times New Roman"/>
                <w:b/>
                <w:bCs/>
                <w:sz w:val="32"/>
                <w:szCs w:val="32"/>
              </w:rPr>
              <w:t>vplyvov na služby verejnej správy pre občana</w:t>
            </w:r>
          </w:p>
          <w:p w:rsidR="00333E6A" w:rsidRPr="005C4B9C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6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33E6A" w:rsidRPr="00AB307C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307C">
              <w:rPr>
                <w:rFonts w:ascii="Times New Roman" w:hAnsi="Times New Roman"/>
                <w:b/>
                <w:sz w:val="28"/>
                <w:szCs w:val="28"/>
              </w:rPr>
              <w:t xml:space="preserve">7.1 Identifikácia služby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verejnej správy</w:t>
            </w:r>
            <w:r w:rsidRPr="00AB307C">
              <w:rPr>
                <w:rFonts w:ascii="Times New Roman" w:hAnsi="Times New Roman"/>
                <w:b/>
                <w:sz w:val="28"/>
                <w:szCs w:val="28"/>
              </w:rPr>
              <w:t xml:space="preserve">, ktorá je dotknutá návrhom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1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36EF9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7.1.1</w:t>
            </w:r>
            <w:r w:rsidRPr="00B1784E">
              <w:rPr>
                <w:rFonts w:ascii="Times New Roman" w:hAnsi="Times New Roman"/>
                <w:b/>
              </w:rPr>
              <w:t xml:space="preserve"> Predpokladá predložený návrh zmenu existujúcej služby verejnej správy alebo vytvorenie novej služby?</w:t>
            </w:r>
            <w:r w:rsidRPr="00F36EF9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9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5C4B9C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36EF9">
              <w:rPr>
                <w:rFonts w:ascii="Times New Roman" w:hAnsi="Times New Roman"/>
                <w:i/>
                <w:sz w:val="22"/>
                <w:szCs w:val="22"/>
              </w:rPr>
              <w:t>Zmena existujúcej služby (konkretizujte a popíšte)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5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DA5C32" w:rsidP="006C648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Tiesňové služby sú v súčasnosti občanom prístupné bezplatne prostredníctvom národných čísiel tiesňového volania 158,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155 a 150 a prostredníctvom európskeho čísla tiesňového volania 112. Prístup k tiesňovým službám je však možný len prostredníctvom hlasového telefonického volania, čo je diskriminujúce voči občanom so sluchovým postihnutím a môže v špecifických prípadoch oddialiť poskytnutie pomoci osobám, ktoré sú obeťami násilnej trestnej činnosti.</w:t>
            </w:r>
          </w:p>
          <w:p w:rsidR="00333E6A" w:rsidRPr="00DA5C32" w:rsidP="006C648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 xml:space="preserve">Prístup na číslo tiesňového volania 112 prostredníctvom SMS je navrhovaný ako prostriedok alternatívneho prístupu občanov k tiesňovým službám, a to najmä pre osoby so sluchovým postihnutím, pre ktoré boli doteraz tiesňové služby čísla tiesňového volania 112 nedostupné. SMS je tiež vhodným prostriedkom komunikácie pre tých občanov v tiesni, pre ktorých nie je bezpečné komunikovať hlasom, napríklad obete a svedkov páchania násilnej trestnej činnosti. </w:t>
            </w:r>
          </w:p>
          <w:p w:rsidR="00333E6A" w:rsidRPr="00F36EF9" w:rsidP="006C648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eCall je tiesňové volanie na číslo tiesňového volania 112 z vozidla kategórie M1 alebo N1, teda osobného alebo nákladného automobilu  s hmotnosťou do 3,5 tony, iniciované buď manuálne posádkou vozidla v tiesni, alebo automaticky vozidlom v prípade dopravnej nehody. eCall sa od bežného tiesňového volania líši tým, že okrem nadviazania hlasového spojenia operátora zodpovedného za príjem tiesňového volania s posádkou vozidla je z vozidla prostredníctvom hlasového kanála automaticky odoslaná dátová veta obsahujúca informácie o type vozidla, o jeho polohe a smere jazdy, type paliva a predpokladanom počte pasažierov. Dostupnosť predmetných  údajov výrazne urýchli zásah zložiek integrovaného záchranného systému a zabezpečí pomoc v tiesni aj v prípade, že posádka vozidla nie je schopná v dôsledku dopravnej nehody komunikovať a privolať si pomoc sama.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12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36EF9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F36EF9">
              <w:rPr>
                <w:rFonts w:ascii="Times New Roman" w:hAnsi="Times New Roman"/>
                <w:i/>
                <w:sz w:val="22"/>
                <w:szCs w:val="22"/>
              </w:rPr>
              <w:t>Nová služba (konkretizujte a popíšte)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9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7C7898" w:rsidP="007A00B7">
            <w:pPr>
              <w:bidi w:val="0"/>
              <w:spacing w:after="0" w:line="276" w:lineRule="auto"/>
              <w:ind w:firstLine="708"/>
              <w:rPr>
                <w:rFonts w:ascii="Times New Roman" w:hAnsi="Times New Roman"/>
                <w:sz w:val="22"/>
                <w:szCs w:val="22"/>
              </w:rPr>
            </w:pPr>
            <w:r w:rsidRPr="00AE17D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4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36EF9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36EF9">
              <w:rPr>
                <w:rFonts w:ascii="Times New Roman" w:hAnsi="Times New Roman"/>
                <w:b/>
              </w:rPr>
              <w:t>7.1.2 Špecifikácia služby verejnej správy, ktorá je dotknutá návrhom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4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36EF9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3615C">
              <w:rPr>
                <w:rFonts w:ascii="Times New Roman" w:hAnsi="Times New Roman"/>
                <w:i/>
                <w:sz w:val="22"/>
                <w:szCs w:val="22"/>
              </w:rPr>
              <w:t xml:space="preserve">Názov služby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4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DA5C3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linka tiesňového volania 112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4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36EF9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0C45E7">
              <w:rPr>
                <w:rFonts w:ascii="Times New Roman" w:hAnsi="Times New Roman"/>
                <w:i/>
                <w:sz w:val="22"/>
                <w:szCs w:val="22"/>
              </w:rPr>
              <w:t>Platná právna úprava, na základe ktorej je služba poskytovaná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(ak ide o zmenu existujúcej služby)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3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DA5C3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§ 5 ods. 2  a § 6 zákona č. 129/2002 Z. z. o integrovanom záchrannom systéme v znení neskorších predpisov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,</w:t>
            </w:r>
          </w:p>
          <w:p w:rsidR="00333E6A" w:rsidRPr="000F21BE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§ 41 ods. 1, písm. c), § 43 ods. 11, písm. c) § 57 ods. 10 a 11 zákona č. 351/2011 Z. z. o elektronických komunikáciách v znení neskorších predpisov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36EF9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Subjekt, ktorý je na základe platnej právnej úpravy oprávnený službu poskytovať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8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DA5C3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Ministerstvo vnútra Slovenskej republiky, okresný úrad v sídle kraja, koordinačné stredisko integrovaného záchranného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42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5C4B9C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1784E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1.3</w:t>
            </w:r>
            <w:r w:rsidRPr="00B1784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O aký vplyv</w:t>
            </w:r>
            <w:r w:rsidRPr="00B1784E">
              <w:rPr>
                <w:rFonts w:ascii="Times New Roman" w:hAnsi="Times New Roman"/>
                <w:b/>
              </w:rPr>
              <w:t xml:space="preserve"> na službu </w:t>
            </w:r>
            <w:r>
              <w:rPr>
                <w:rFonts w:ascii="Times New Roman" w:hAnsi="Times New Roman"/>
                <w:b/>
              </w:rPr>
              <w:t>verejnej správy ide</w:t>
            </w:r>
            <w:r w:rsidRPr="00B1784E">
              <w:rPr>
                <w:rFonts w:ascii="Times New Roman" w:hAnsi="Times New Roman"/>
                <w:b/>
              </w:rPr>
              <w:t xml:space="preserve">?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5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36EF9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36EF9">
              <w:rPr>
                <w:rFonts w:ascii="Times New Roman" w:hAnsi="Times New Roman"/>
                <w:i/>
                <w:sz w:val="22"/>
                <w:szCs w:val="22"/>
              </w:rPr>
              <w:t xml:space="preserve">Priamy vplyv (popíšte)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4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DA5C3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Rozšírenie prístupu k tiesňovým službám na čísle tiesňového volania 112 o prístup prostredníctvom SMS a o príjem a spracovanie volaní eCall.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F36EF9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36EF9">
              <w:rPr>
                <w:rFonts w:ascii="Times New Roman" w:hAnsi="Times New Roman"/>
                <w:i/>
                <w:sz w:val="22"/>
                <w:szCs w:val="22"/>
              </w:rPr>
              <w:t xml:space="preserve">Nepriamy vplyv (popíšte)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1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5C4B9C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33E6A" w:rsidRPr="00B1784E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7.2 Vplyv služieb verejnej správy na</w:t>
            </w:r>
            <w:r w:rsidRPr="00B1784E">
              <w:rPr>
                <w:rFonts w:ascii="Times New Roman" w:hAnsi="Times New Roman"/>
                <w:b/>
                <w:sz w:val="28"/>
                <w:szCs w:val="28"/>
              </w:rPr>
              <w:t xml:space="preserve"> občana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8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7.2</w:t>
            </w:r>
            <w:r w:rsidRPr="00B1784E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1 Náklady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2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Zníženie priamych finančných nákladov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99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94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E43AA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584F7E">
              <w:rPr>
                <w:rFonts w:ascii="Times New Roman" w:hAnsi="Times New Roman"/>
                <w:i/>
              </w:rPr>
              <w:t>Zvýšenie priamych finančných nákladov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72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E43AA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14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E43AA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Zníženie nepriamych finančných nákladov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70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DA5C3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Rozšírením prístupnosti na európske číslo tiesňového volania 112 pre osoby so sluchovým postihnutím a skvalitnenie prístupu k tiesňovým službám pasažierov vozidiel kategórie M1 a N1 prostredníctvom služby eCall sa bude znižovať dopad tiesne na život, zdravie a majetok občanov, prostredníctvom urýchlenia zásahu zložiek integrovaného záchranného systému.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8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E43AA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E43AA2">
              <w:rPr>
                <w:rFonts w:ascii="Times New Roman" w:hAnsi="Times New Roman"/>
                <w:i/>
              </w:rPr>
              <w:t xml:space="preserve">Zvýšenie </w:t>
            </w:r>
            <w:r>
              <w:rPr>
                <w:rFonts w:ascii="Times New Roman" w:hAnsi="Times New Roman"/>
                <w:i/>
              </w:rPr>
              <w:t>nepriamych finančných nákladov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80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E43AA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8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B1031A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</w:rPr>
              <w:t xml:space="preserve">7.2.2 </w:t>
            </w:r>
            <w:r w:rsidRPr="00B1784E">
              <w:rPr>
                <w:rFonts w:ascii="Times New Roman" w:hAnsi="Times New Roman"/>
                <w:b/>
              </w:rPr>
              <w:t xml:space="preserve">Časový </w:t>
            </w:r>
            <w:r>
              <w:rPr>
                <w:rFonts w:ascii="Times New Roman" w:hAnsi="Times New Roman"/>
                <w:b/>
              </w:rPr>
              <w:t>vplyv</w:t>
            </w:r>
            <w:r w:rsidRPr="00B1784E">
              <w:rPr>
                <w:rFonts w:ascii="Times New Roman" w:hAnsi="Times New Roman"/>
                <w:b/>
              </w:rPr>
              <w:t xml:space="preserve">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B007AE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007AE">
              <w:rPr>
                <w:rFonts w:ascii="Times New Roman" w:hAnsi="Times New Roman"/>
                <w:i/>
              </w:rPr>
              <w:t>Zvýšenie času vybavenia požiadavky (popíšte)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70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3C3251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B007AE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007AE">
              <w:rPr>
                <w:rFonts w:ascii="Times New Roman" w:hAnsi="Times New Roman"/>
                <w:i/>
              </w:rPr>
              <w:t>Zníženie času  vybavenia požiadavky (popíšte)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729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DA5C32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DA5C32">
              <w:rPr>
                <w:rFonts w:ascii="Times New Roman" w:hAnsi="Times New Roman"/>
                <w:i/>
                <w:sz w:val="22"/>
                <w:szCs w:val="22"/>
              </w:rPr>
              <w:t>Navrhované opatrenia umožňujú v prípade volania eCall urýchliť pomoc v tiesni presnou lokalizáciou volajúceho aj o niekoľko minút. V prípade že je posádka vozidla vybaveného palubnou jednotkou eCall indisponovaná, časová úspora môže byť v desiatkach minút.  V prípade osôb so sluchovým postihnutím môže byť prístup prostredníctvom SMS na číslo tiesňového volania 112 jedinou možnosťou ako privolať pomoc.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424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7.2</w:t>
            </w:r>
            <w:r w:rsidRPr="00B1784E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Pr="00B1784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Ktorá</w:t>
            </w:r>
            <w:r w:rsidRPr="00AD30F4">
              <w:rPr>
                <w:rFonts w:ascii="Times New Roman" w:hAnsi="Times New Roman"/>
                <w:b/>
              </w:rPr>
              <w:t xml:space="preserve"> skupina občanov bude predloženým návrhom ovplyvnená</w:t>
            </w:r>
            <w:r w:rsidRPr="00B1784E">
              <w:rPr>
                <w:rFonts w:ascii="Times New Roman" w:hAnsi="Times New Roman"/>
                <w:b/>
              </w:rPr>
              <w:t xml:space="preserve">? </w:t>
            </w:r>
          </w:p>
          <w:p w:rsidR="00333E6A" w:rsidRPr="005C4B9C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Špecifikujte skupinu občanov, ktorá bude návrhom ovplyvnená (napr. držitelia vodičských oprávnení). Aká je  veľkosť tejto skupiny?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734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0A7064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A706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V prípade zavedenia prístupu na číslo tiesňového volania prostredníctvom SMS budú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pozitívne </w:t>
            </w:r>
            <w:r w:rsidRPr="000A706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ovplyvnení občania, ktorí v tiesni nemôžu použiť na komunikáciu s operátorom hlas. Ide najmä o občanov so sluchovým postihnutím a o obete, alebo svedkov páchania násilnej trestnej činnosti. V prípade zavedenia volaní eCall budú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pozitívne </w:t>
            </w:r>
            <w:r w:rsidRPr="000A7064">
              <w:rPr>
                <w:rFonts w:ascii="Times New Roman" w:hAnsi="Times New Roman"/>
                <w:i/>
                <w:iCs/>
                <w:sz w:val="22"/>
                <w:szCs w:val="22"/>
              </w:rPr>
              <w:t>ovplyvnení všetci občania cestujúci osobnými alebo nákladným automobilom kategórie M1 alebo N1 typovo schváleným po 31.3.2018.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5C4B9C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1784E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.2</w:t>
            </w:r>
            <w:r w:rsidRPr="00B1784E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4 </w:t>
            </w:r>
            <w:r w:rsidRPr="00B1784E">
              <w:rPr>
                <w:rFonts w:ascii="Times New Roman" w:hAnsi="Times New Roman"/>
                <w:b/>
              </w:rPr>
              <w:t>Vyplývajú z návrhu pre</w:t>
            </w:r>
            <w:r>
              <w:rPr>
                <w:rFonts w:ascii="Times New Roman" w:hAnsi="Times New Roman"/>
                <w:b/>
              </w:rPr>
              <w:t xml:space="preserve"> občana</w:t>
            </w:r>
            <w:r w:rsidRPr="00B1784E">
              <w:rPr>
                <w:rFonts w:ascii="Times New Roman" w:hAnsi="Times New Roman"/>
                <w:b/>
              </w:rPr>
              <w:t xml:space="preserve"> pri vybavení svojej požiadavky nové povinnosti </w:t>
            </w:r>
            <w:r>
              <w:rPr>
                <w:rFonts w:ascii="Times New Roman" w:hAnsi="Times New Roman"/>
                <w:b/>
              </w:rPr>
              <w:t xml:space="preserve">alebo </w:t>
            </w:r>
            <w:r w:rsidRPr="0095420F">
              <w:rPr>
                <w:rFonts w:ascii="Times New Roman" w:hAnsi="Times New Roman"/>
                <w:b/>
              </w:rPr>
              <w:t xml:space="preserve">zanikajú </w:t>
            </w:r>
            <w:r>
              <w:rPr>
                <w:rFonts w:ascii="Times New Roman" w:hAnsi="Times New Roman"/>
                <w:b/>
              </w:rPr>
              <w:t xml:space="preserve">už existujúce </w:t>
            </w:r>
            <w:r w:rsidRPr="0095420F">
              <w:rPr>
                <w:rFonts w:ascii="Times New Roman" w:hAnsi="Times New Roman"/>
                <w:b/>
              </w:rPr>
              <w:t>povinnosti?</w:t>
            </w:r>
            <w:r w:rsidRPr="00B1784E">
              <w:rPr>
                <w:rFonts w:ascii="Times New Roman" w:hAnsi="Times New Roman"/>
                <w:b/>
              </w:rPr>
              <w:t xml:space="preserve"> 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B007AE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007AE">
              <w:rPr>
                <w:rFonts w:ascii="Times New Roman" w:hAnsi="Times New Roman"/>
                <w:i/>
                <w:iCs/>
              </w:rPr>
              <w:t xml:space="preserve">Nové povinnosti (identifikujte)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726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5C4B9C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B007AE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007AE">
              <w:rPr>
                <w:rFonts w:ascii="Times New Roman" w:hAnsi="Times New Roman"/>
                <w:i/>
                <w:iCs/>
              </w:rPr>
              <w:t>Zanikajúce povinnosti (identifikujte)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9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223C7D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223C7D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223C7D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223C7D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223C7D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223C7D" w:rsidRPr="00B1784E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333E6A" w:rsidRPr="00B1784E" w:rsidP="007A00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7.3 Vplyv</w:t>
            </w:r>
            <w:r w:rsidRPr="00B1784E">
              <w:rPr>
                <w:rFonts w:ascii="Times New Roman" w:hAnsi="Times New Roman"/>
                <w:b/>
                <w:sz w:val="28"/>
                <w:szCs w:val="28"/>
              </w:rPr>
              <w:t xml:space="preserve"> na procesy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služieb </w:t>
            </w:r>
            <w:r w:rsidRPr="00B1784E">
              <w:rPr>
                <w:rFonts w:ascii="Times New Roman" w:hAnsi="Times New Roman"/>
                <w:b/>
                <w:sz w:val="28"/>
                <w:szCs w:val="28"/>
              </w:rPr>
              <w:t xml:space="preserve">vo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verejnej správe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9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7.3.1</w:t>
            </w:r>
            <w:r w:rsidRPr="00B1784E">
              <w:rPr>
                <w:rFonts w:ascii="Times New Roman" w:hAnsi="Times New Roman"/>
                <w:b/>
              </w:rPr>
              <w:t xml:space="preserve"> Ktoré sú dotknuté subjekty </w:t>
            </w:r>
            <w:r>
              <w:rPr>
                <w:rFonts w:ascii="Times New Roman" w:hAnsi="Times New Roman"/>
                <w:b/>
              </w:rPr>
              <w:t>verejnej správy</w:t>
            </w:r>
            <w:r w:rsidRPr="00B1784E">
              <w:rPr>
                <w:rFonts w:ascii="Times New Roman" w:hAnsi="Times New Roman"/>
                <w:b/>
              </w:rPr>
              <w:t xml:space="preserve">? </w:t>
            </w:r>
          </w:p>
          <w:p w:rsidR="00333E6A" w:rsidRPr="00435B44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</w:rPr>
              <w:t xml:space="preserve">Ktoré subjekty verejnej správy sú účastné procesu poskytnutia služby?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73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AE7570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AE7570">
              <w:rPr>
                <w:rFonts w:ascii="Times New Roman" w:hAnsi="Times New Roman"/>
                <w:i/>
                <w:sz w:val="22"/>
                <w:szCs w:val="22"/>
              </w:rPr>
              <w:t>Ministerstvo vnútra Slovenskej republiky, okresné úrady v sídle kraja ako zriaďovateľ koordinačného strediska integrovaného záchranného systému zabezpečujúceho príjem tiesňového volania a záchranné zložky integrovaného záchranného systému.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5C4B9C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</w:rPr>
              <w:t xml:space="preserve">7.3.2 </w:t>
            </w:r>
            <w:r w:rsidRPr="00B1784E">
              <w:rPr>
                <w:rFonts w:ascii="Times New Roman" w:hAnsi="Times New Roman"/>
                <w:b/>
              </w:rPr>
              <w:t xml:space="preserve">Vyplývajú z návrhu pre orgán </w:t>
            </w:r>
            <w:r>
              <w:rPr>
                <w:rFonts w:ascii="Times New Roman" w:hAnsi="Times New Roman"/>
                <w:b/>
              </w:rPr>
              <w:t>verejnej správy</w:t>
            </w:r>
            <w:r w:rsidRPr="00B1784E">
              <w:rPr>
                <w:rFonts w:ascii="Times New Roman" w:hAnsi="Times New Roman"/>
                <w:b/>
              </w:rPr>
              <w:t xml:space="preserve"> pri vybavení požiadavky nové povinnosti al</w:t>
            </w:r>
            <w:r>
              <w:rPr>
                <w:rFonts w:ascii="Times New Roman" w:hAnsi="Times New Roman"/>
                <w:b/>
              </w:rPr>
              <w:t xml:space="preserve">ebo </w:t>
            </w:r>
            <w:r w:rsidRPr="0095420F">
              <w:rPr>
                <w:rFonts w:ascii="Times New Roman" w:hAnsi="Times New Roman"/>
                <w:b/>
              </w:rPr>
              <w:t xml:space="preserve">zanikajú </w:t>
            </w:r>
            <w:r>
              <w:rPr>
                <w:rFonts w:ascii="Times New Roman" w:hAnsi="Times New Roman"/>
                <w:b/>
              </w:rPr>
              <w:t xml:space="preserve">už existujúce </w:t>
            </w:r>
            <w:r w:rsidRPr="0095420F">
              <w:rPr>
                <w:rFonts w:ascii="Times New Roman" w:hAnsi="Times New Roman"/>
                <w:b/>
              </w:rPr>
              <w:t>povinnosti?</w:t>
            </w:r>
            <w:r w:rsidRPr="00B1784E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B007AE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007AE">
              <w:rPr>
                <w:rFonts w:ascii="Times New Roman" w:hAnsi="Times New Roman"/>
                <w:i/>
                <w:iCs/>
              </w:rPr>
              <w:t>Nové povinnosti (identifikujte)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74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AE7570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E7570">
              <w:rPr>
                <w:rFonts w:ascii="Times New Roman" w:hAnsi="Times New Roman"/>
                <w:i/>
                <w:iCs/>
                <w:sz w:val="22"/>
                <w:szCs w:val="22"/>
              </w:rPr>
              <w:t>Novou povinnosťou je zabezpečenie príjmu a spracovania tiesňovej komunikácie prostredníctvom SMS na číslo tiesňového volania 112 na koordinačnom stredisku integrovaného záchranného systému rovnakým spôsobom ako v prípade hlasových tiesňových volaní.</w:t>
            </w:r>
          </w:p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E7570">
              <w:rPr>
                <w:rFonts w:ascii="Times New Roman" w:hAnsi="Times New Roman"/>
                <w:i/>
                <w:iCs/>
                <w:sz w:val="22"/>
                <w:szCs w:val="22"/>
              </w:rPr>
              <w:t>Novou povinnosťou je zabezpečenie príjmu a spracovania volaní eCall na koordinačnom stredisku integrovaného záchranného systému v súlade s požiadavkami vyplývajúcimi z legislatívy Európskej únie a s existujúcimi požiadavkami na príjem a spracovanie volaní na číslo tiesňového volania 112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  <w:p w:rsidR="00333E6A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333E6A" w:rsidRPr="008422D3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422D3">
              <w:rPr>
                <w:rFonts w:ascii="Times New Roman" w:hAnsi="Times New Roman"/>
                <w:i/>
                <w:iCs/>
                <w:sz w:val="22"/>
                <w:szCs w:val="22"/>
              </w:rPr>
              <w:t>Pre zabezpečenie príjmu a spracovania volaní eCall a pre zabezpečenie príjmu a spracovania SMS na čísle tiesňového volania 112 je nevyhnutné realizovať zmeny v procesoch príjmu a spracovania tiesňových volaní na koordinačných strediskách integrovaného záchranného systému.</w:t>
            </w:r>
          </w:p>
          <w:p w:rsidR="00333E6A" w:rsidRPr="008422D3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422D3">
              <w:rPr>
                <w:rFonts w:ascii="Times New Roman" w:hAnsi="Times New Roman"/>
                <w:i/>
                <w:iCs/>
                <w:sz w:val="22"/>
                <w:szCs w:val="22"/>
              </w:rPr>
              <w:t>Pre príjem a spracovanie tiesňovej komunikácie prostredníctvom SMS je potrebné zaviesť nový proces, ktorý rešpektuje odlišnosti SMS komunikácie od hlasového volania a technické limity tohto nástroja.</w:t>
            </w:r>
          </w:p>
          <w:p w:rsidR="00333E6A" w:rsidRPr="008422D3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333E6A" w:rsidRPr="008422D3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422D3">
              <w:rPr>
                <w:rFonts w:ascii="Times New Roman" w:hAnsi="Times New Roman"/>
                <w:i/>
                <w:iCs/>
                <w:sz w:val="22"/>
                <w:szCs w:val="22"/>
              </w:rPr>
              <w:t>Pre príjem a spracovanie volaní eCall bude potrebné modifikovať existujúci proces príjmu a spracovania tiesňového volania, pretože volanie eCall môže byť v prípade dopravnej nehody iniciované automaticky vozidlom, nezávisle od vôle posádky. Členovia posádky po inicializácii automatického volania môžu byť poranení, neschopní komunikovať s operátorom. Operátorovi by však bude dostupná presná poloha vozidla, ktorá bude prenesená v rámci dátovej vety odoslanej z vozidla na číslo tiesňového volania 112, teda je možné postihnutým poskytnúť pomoc v tiesni.</w:t>
            </w:r>
          </w:p>
          <w:p w:rsidR="00333E6A" w:rsidRPr="008422D3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333E6A" w:rsidRPr="008422D3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422D3">
              <w:rPr>
                <w:rFonts w:ascii="Times New Roman" w:hAnsi="Times New Roman"/>
                <w:i/>
                <w:iCs/>
                <w:sz w:val="22"/>
                <w:szCs w:val="22"/>
              </w:rPr>
              <w:t>Nové procesy si vyžadujú tiež rozšírenie funkcionalít Systému podpory riadenia a spracovania informácií v komunikačnej a informačnej infraštruktúre integrovaného záchranného systému, najmä zavedenie funkcie na spracovanie SMS komunikácie na číslo tiesňového volania 112 a zobrazenie dát prenesených v rámci volania eCall.</w:t>
            </w:r>
          </w:p>
          <w:p w:rsidR="00333E6A" w:rsidRPr="008422D3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333E6A" w:rsidRPr="008422D3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422D3">
              <w:rPr>
                <w:rFonts w:ascii="Times New Roman" w:hAnsi="Times New Roman"/>
                <w:i/>
                <w:iCs/>
                <w:sz w:val="22"/>
                <w:szCs w:val="22"/>
              </w:rPr>
              <w:t>Pri zavedení nových procesov na koordinačnom stredisku integrovaného záchranného systému bude potrebné vykonať odbornú prípravu operátorov.</w:t>
            </w:r>
          </w:p>
          <w:p w:rsidR="00333E6A" w:rsidRPr="005C4B9C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B007AE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007AE">
              <w:rPr>
                <w:rFonts w:ascii="Times New Roman" w:hAnsi="Times New Roman"/>
                <w:i/>
                <w:iCs/>
              </w:rPr>
              <w:t>Zanikajúce povinnosti (identifikujte)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859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E6A" w:rsidRPr="00B1784E" w:rsidP="007A00B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</w:tbl>
    <w:p w:rsidR="00333E6A" w:rsidP="00333E6A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color w:val="000000"/>
          <w:sz w:val="36"/>
          <w:szCs w:val="28"/>
          <w:lang w:eastAsia="en-US"/>
        </w:rPr>
      </w:pPr>
    </w:p>
    <w:p w:rsidR="003727D7">
      <w:pPr>
        <w:bidi w:val="0"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15CDA" w:rsidRPr="00667E9A" w:rsidP="00215CDA">
      <w:pPr>
        <w:bidi w:val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667E9A">
        <w:rPr>
          <w:rFonts w:ascii="Times New Roman" w:hAnsi="Times New Roman"/>
          <w:b/>
          <w:caps/>
          <w:spacing w:val="30"/>
          <w:sz w:val="24"/>
          <w:szCs w:val="24"/>
        </w:rPr>
        <w:t>Doložka zlučiteľnosti</w:t>
      </w:r>
    </w:p>
    <w:p w:rsidR="00215CDA" w:rsidRPr="00667E9A" w:rsidP="00215CD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67E9A">
        <w:rPr>
          <w:rFonts w:ascii="Times New Roman" w:hAnsi="Times New Roman"/>
          <w:b/>
          <w:sz w:val="24"/>
          <w:szCs w:val="24"/>
        </w:rPr>
        <w:t>návrhu právneho predpisu s právom Európskej únie</w:t>
      </w:r>
    </w:p>
    <w:p w:rsidR="00215CDA" w:rsidRPr="00667E9A" w:rsidP="00215CDA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215CDA" w:rsidRPr="00667E9A" w:rsidP="00215CDA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4"/>
        <w:gridCol w:w="9202"/>
      </w:tblGrid>
      <w:tr>
        <w:tblPrEx>
          <w:tblW w:w="96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sz w:val="24"/>
                <w:szCs w:val="24"/>
              </w:rPr>
              <w:t>Predkladateľ návrhu právneho predpisu:</w:t>
            </w:r>
            <w:r w:rsidRPr="00667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67E9A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FSC#SKEDITIONSLOVLEX@103.510:zodpinstitucia  \* MERGEFORMAT </w:instrText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67E9A">
              <w:rPr>
                <w:rFonts w:ascii="Times New Roman" w:hAnsi="Times New Roman"/>
                <w:sz w:val="24"/>
                <w:szCs w:val="24"/>
              </w:rPr>
              <w:t>Ministerstvo dopravy a výstavby Slovenskej republiky</w:t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sz w:val="24"/>
                <w:szCs w:val="24"/>
              </w:rPr>
              <w:t>Názov návrhu právneho predpisu:</w:t>
            </w:r>
            <w:r w:rsidRPr="00667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67E9A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  \* MERGEFORMAT </w:instrText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67E9A">
              <w:rPr>
                <w:rFonts w:ascii="Times New Roman" w:hAnsi="Times New Roman"/>
                <w:sz w:val="24"/>
                <w:szCs w:val="24"/>
              </w:rPr>
              <w:t>Návrh zákona, ktorým sa mení a dopĺňa zákon č. 351/2011 Z. z. o elektronických komunikáciách v znení neskorších predpisov a ktorým sa mení a dopĺňa zákon č. 129/2002 Z. z. o integrovanom záchrannom systéme v znení neskorších predpisov</w:t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67E9A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FSC#SKEDITIONSLOVLEX@103.510:plnynazovpredpis1  \* MERGEFORMAT </w:instrText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67E9A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67E9A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67E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sz w:val="24"/>
                <w:szCs w:val="24"/>
              </w:rPr>
              <w:t>Problematika návrhu právneho predpisu:</w:t>
            </w:r>
          </w:p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215CDA">
            <w:pPr>
              <w:pStyle w:val="ListParagraph"/>
              <w:widowControl w:val="0"/>
              <w:numPr>
                <w:numId w:val="15"/>
              </w:numPr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je upravená v práve Európskej únie</w:t>
            </w:r>
          </w:p>
          <w:p w:rsidR="00215CDA" w:rsidRPr="00667E9A" w:rsidP="00667E9A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br/>
            </w:r>
            <w:r w:rsidRPr="00667E9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primárnom </w:t>
            </w:r>
            <w:r w:rsidRPr="00667E9A">
              <w:rPr>
                <w:rFonts w:ascii="Times New Roman" w:hAnsi="Times New Roman"/>
                <w:sz w:val="24"/>
                <w:szCs w:val="24"/>
              </w:rPr>
              <w:br/>
              <w:br/>
              <w:t>čl. 172 (predtým 156) Zmluvy o fungovaní Európskej únie, čl. 114 (predtým 95) Zmluvy o fungovaní Európskej únie.</w:t>
            </w:r>
          </w:p>
          <w:p w:rsidR="00215CDA" w:rsidRPr="00667E9A" w:rsidP="00667E9A">
            <w:pPr>
              <w:pStyle w:val="ListParagraph"/>
              <w:tabs>
                <w:tab w:val="left" w:pos="360"/>
              </w:tabs>
              <w:bidi w:val="0"/>
              <w:spacing w:after="0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0598" w:rsidP="00400598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 w:rsidR="00215CDA">
              <w:rPr>
                <w:rFonts w:ascii="Times New Roman" w:hAnsi="Times New Roman"/>
                <w:i/>
                <w:iCs/>
                <w:sz w:val="24"/>
                <w:szCs w:val="24"/>
              </w:rPr>
              <w:t>- sekundárnom (prijatom po nadobudnutím platnosti Lisabonskej zmluvy, ktorou sa mení a dopĺňa Zmluva o Európskom spoločenstve a Zmluva o Európskej únii – po 30. novembri 2009)</w:t>
            </w:r>
            <w:r w:rsidRPr="00667E9A" w:rsidR="00215CDA">
              <w:rPr>
                <w:rFonts w:ascii="Times New Roman" w:hAnsi="Times New Roman"/>
                <w:sz w:val="24"/>
                <w:szCs w:val="24"/>
              </w:rPr>
              <w:br/>
              <w:br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9A" w:rsidR="00215CDA">
              <w:rPr>
                <w:rFonts w:ascii="Times New Roman" w:hAnsi="Times New Roman"/>
                <w:sz w:val="24"/>
                <w:szCs w:val="24"/>
              </w:rPr>
              <w:t>legislatívne</w:t>
            </w:r>
            <w:r w:rsidR="00667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9A" w:rsidR="00215CDA">
              <w:rPr>
                <w:rFonts w:ascii="Times New Roman" w:hAnsi="Times New Roman"/>
                <w:sz w:val="24"/>
                <w:szCs w:val="24"/>
              </w:rPr>
              <w:t>akty:</w:t>
            </w:r>
          </w:p>
          <w:p w:rsidR="002542E2" w:rsidP="00400598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 w:rsidR="00215CDA">
              <w:rPr>
                <w:rFonts w:ascii="Times New Roman" w:hAnsi="Times New Roman"/>
                <w:sz w:val="24"/>
                <w:szCs w:val="24"/>
              </w:rPr>
              <w:t xml:space="preserve"> </w:t>
              <w:br/>
              <w:t xml:space="preserve">- smernica Európskeho parlamentu a Rady 2014/61/EÚ z 15. mája 2014 o opatreniach na zníženie nákladov na zavedenie vysokorýchlostných elektronických komunikačných sietí </w:t>
            </w:r>
            <w:r w:rsidR="00CA2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9A" w:rsidR="00215CDA">
              <w:rPr>
                <w:rFonts w:ascii="Times New Roman" w:hAnsi="Times New Roman"/>
                <w:sz w:val="24"/>
                <w:szCs w:val="24"/>
              </w:rPr>
              <w:t xml:space="preserve">(Ú. v. EÚ L 155, 23. 5. 2014); </w:t>
            </w:r>
          </w:p>
          <w:p w:rsidR="002542E2" w:rsidP="00400598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7E9A" w:rsidR="00215CDA">
              <w:rPr>
                <w:rFonts w:ascii="Times New Roman" w:hAnsi="Times New Roman"/>
                <w:sz w:val="24"/>
                <w:szCs w:val="24"/>
              </w:rPr>
              <w:t xml:space="preserve">nariadenie Európskeho parlamentu a Rady (EÚ) 2015/758 z 29. apríla 2015 o požiadavkách typového schválenia pri zavádzaní palubného systému eCall využívajúceho službu tiesňovej linky 112 a o zmene smernice 2007/46/ES (Ú. v. EÚ L 123, 19.5.2015); </w:t>
            </w:r>
          </w:p>
          <w:p w:rsidR="002542E2" w:rsidP="00400598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 w:rsidR="00215CDA">
              <w:rPr>
                <w:rFonts w:ascii="Times New Roman" w:hAnsi="Times New Roman"/>
                <w:sz w:val="24"/>
                <w:szCs w:val="24"/>
              </w:rPr>
              <w:t xml:space="preserve">- nariadenie Európskeho parlamentu a Rady (EÚ) 2015/2120 z 25. novembra 2015, ktorým sa ustanovujú opatrenia týkajúce sa prístupu k otvorenému internetu a ktorým sa mení smernica 2002/22/ES o univerzálnej službe a právach užívateľov týkajúcich sa elektronických komunikačných sietí a služieb a nariadenie Európskeho parlamentu a Rady (EÚ) č. 531/2012 o roamingu vo verejných mobilných komunikačných sieťach v rámci Únie (Ú. v. EÚ L 310, 26. 11. 2015); </w:t>
            </w:r>
          </w:p>
          <w:p w:rsidR="002542E2" w:rsidP="00400598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7E9A" w:rsidR="00215CDA">
              <w:rPr>
                <w:rFonts w:ascii="Times New Roman" w:hAnsi="Times New Roman"/>
                <w:sz w:val="24"/>
                <w:szCs w:val="24"/>
              </w:rPr>
              <w:t xml:space="preserve">Rozhodnutie Európskeho parlamentu a Rady č. 585/2014/EÚ z 15. mája 2014 o zavedení interoperabilnej služby eCall v celej EÚ (Ú. v. EÚ L 164, 3.6. 2014); </w:t>
            </w:r>
          </w:p>
          <w:p w:rsidR="00215CDA" w:rsidRPr="00667E9A" w:rsidP="00400598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- nariadenie (EÚ) č. 531/2012 v platnom znení</w:t>
            </w:r>
            <w:r w:rsidR="002542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5CDA" w:rsidRPr="00667E9A" w:rsidP="00667E9A">
            <w:pPr>
              <w:pStyle w:val="ListParagraph"/>
              <w:tabs>
                <w:tab w:val="left" w:pos="360"/>
              </w:tabs>
              <w:bidi w:val="0"/>
              <w:spacing w:after="0"/>
              <w:ind w:left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CDA" w:rsidRPr="00667E9A" w:rsidP="00667E9A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 xml:space="preserve">2. nelegislatívne akty: </w:t>
              <w:br/>
            </w:r>
          </w:p>
          <w:p w:rsidR="00400598" w:rsidP="00400598">
            <w:pPr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7E9A" w:rsidR="00215CDA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667E9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67E9A" w:rsidR="00215CDA">
              <w:rPr>
                <w:rFonts w:ascii="Times New Roman" w:hAnsi="Times New Roman"/>
                <w:i/>
                <w:iCs/>
                <w:sz w:val="24"/>
                <w:szCs w:val="24"/>
              </w:rPr>
              <w:t>sekundárnom (prijatom pred nadobudnutím platnosti Lisabonskej zmluvy)</w:t>
            </w:r>
          </w:p>
          <w:p w:rsidR="00215CDA" w:rsidRPr="00667E9A" w:rsidP="00400598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- smernica 2002/22/ES o univerzálnej službe a právach užívateľov týkajúcich sa elektronických komunikačných sietí a služieb (smernica o univerzálnej službe) (Mimoriadne vydanie Ú. v. EÚ, kap. 13/zv. 29); a nariadenie Európskeho parlamentu a Rady (ES) č. 2006/2004 z 27. októbra 2004 o spolupráci medzi národnými orgánmi zodpovednými za vynucovanie právnych predpisov na ochranu spotrebiteľa („nariadenie o spolupráci v oblasti ochrany spotrebiteľa“) (Ú. v. EÚ L 337/11, 18.12.2009) v platnom znení.</w:t>
            </w:r>
          </w:p>
          <w:p w:rsidR="00215CDA" w:rsidRPr="00667E9A" w:rsidP="00D568A4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215CDA">
            <w:pPr>
              <w:pStyle w:val="ListParagraph"/>
              <w:widowControl w:val="0"/>
              <w:numPr>
                <w:numId w:val="15"/>
              </w:numPr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nie je obsiahnutá v judikatúre Súdneho dvora Európskej únie</w:t>
            </w:r>
          </w:p>
          <w:p w:rsidR="00215CDA" w:rsidRPr="00667E9A" w:rsidP="00D568A4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5CDA" w:rsidRPr="00667E9A" w:rsidP="00D568A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54"/>
        <w:gridCol w:w="272"/>
        <w:gridCol w:w="834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bCs/>
                <w:sz w:val="24"/>
                <w:szCs w:val="24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- lehota na prebratie smernice Európskeho parlamentu a Rady 2014/61/EÚ z 15. mája 2014 o opatreniach na zníženie nákladov na zavedenie vysokorýchlostných elektronických komunikačných sietí je stanovená do 1. januára 2016; - lehota na implementáciu rozhodnutia Európskeho parlamentu a Rady č. 585/2014/EÚ z 15. mája 2014 o zavedení interoperabilnej služby eCall v celej EÚ je stanovená do 1.10. 2017;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CA2C8E" w:rsidP="00CA2C8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 w:rsidR="00215CDA">
              <w:rPr>
                <w:rFonts w:ascii="Times New Roman" w:hAnsi="Times New Roman"/>
                <w:sz w:val="24"/>
                <w:szCs w:val="24"/>
              </w:rPr>
              <w:t xml:space="preserve">Implementácia smernice do slov. predpisov - ministrovi dopravy bola uložená uznesením vlády SR č. 484 z 24. septembra 2014 predložiť na rokovanie vlády návrh právneho predpisu, ktorým sa zabezpečí prebratie smernice, s termínom do 15. septembra 2015. Lehota na prebratie smernice uvedená v samotnej smernici bola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67E9A" w:rsidR="00215CDA">
              <w:rPr>
                <w:rFonts w:ascii="Times New Roman" w:hAnsi="Times New Roman"/>
                <w:sz w:val="24"/>
                <w:szCs w:val="24"/>
              </w:rPr>
              <w:t>1. január 2016.</w:t>
            </w:r>
          </w:p>
          <w:p w:rsidR="00215CDA" w:rsidRPr="00667E9A" w:rsidP="00CA2C8E">
            <w:pPr>
              <w:bidi w:val="0"/>
              <w:spacing w:after="2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CA2C8E" w:rsidP="00CA2C8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 w:rsidR="00215CDA">
              <w:rPr>
                <w:rFonts w:ascii="Times New Roman" w:hAnsi="Times New Roman"/>
                <w:sz w:val="24"/>
                <w:szCs w:val="24"/>
              </w:rPr>
              <w:t>Dňa 29. septembra 2016 bolo Slovenskej republike doručené odôvodnené stanovisko – porušenie č. 2016/0241, v ktorom Európska komisia upozorňuje, že Slovenská republika neprijala všetky potrebné ustanovenia na dosiahnutie úplného súladu so smernicou Európskeho parlamentu a Rady 2014/61/EÚ z 15. mája 2014 o opatreniach na zníženie nákladov na zavedenie vysokorýchlostných elektronických komunikačných sietí.</w:t>
            </w:r>
          </w:p>
          <w:p w:rsidR="00215CDA" w:rsidRPr="00667E9A" w:rsidP="00CA2C8E">
            <w:pPr>
              <w:bidi w:val="0"/>
              <w:spacing w:after="2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Smernica Európskeho parlamentu a Rady 2014/61/EÚ z 15. mája 2014 o opatreniach na zníženie nákladov na zavedenie vysokorýchlostných elektronických komunikačných sietí bola čiastočne prebratá do zákona č. 351/2011 Z. z. o elektronických komunikáciách v znení neskorších predpisov, s výnimkou článku 4 ods. 2 a 3, článku 6 ods. 2 písm. b) a ods. 3, ako aj článku 7 ods. 1, t. j. ustanovení upravujúcich zriadenie a fungovanie jednotného informačného miesta.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bCs/>
                <w:sz w:val="24"/>
                <w:szCs w:val="24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E9A">
              <w:rPr>
                <w:rFonts w:ascii="Times New Roman" w:hAnsi="Times New Roman"/>
                <w:b/>
                <w:bCs/>
                <w:sz w:val="24"/>
                <w:szCs w:val="24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15CDA" w:rsidRPr="00667E9A" w:rsidP="00D568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15CDA" w:rsidRPr="00667E9A" w:rsidP="00400598">
            <w:pPr>
              <w:bidi w:val="0"/>
              <w:spacing w:after="2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E9A">
              <w:rPr>
                <w:rFonts w:ascii="Times New Roman" w:hAnsi="Times New Roman"/>
                <w:sz w:val="24"/>
                <w:szCs w:val="24"/>
              </w:rPr>
              <w:t>Ministerstvo dopravy a výstavby Slovenskej republiky</w:t>
              <w:br/>
              <w:t>Ministerstvo vnútra SR</w:t>
              <w:br/>
            </w:r>
          </w:p>
        </w:tc>
      </w:tr>
    </w:tbl>
    <w:p w:rsidR="00215CDA">
      <w:pPr>
        <w:bidi w:val="0"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E535F" w:rsidRPr="000E163F" w:rsidP="007E535F">
      <w:pPr>
        <w:pStyle w:val="Normaltext"/>
        <w:numPr>
          <w:numId w:val="6"/>
        </w:numPr>
        <w:bidi w:val="0"/>
        <w:spacing w:before="0" w:after="0"/>
        <w:rPr>
          <w:rFonts w:ascii="Times New Roman" w:hAnsi="Times New Roman"/>
          <w:b/>
          <w:sz w:val="24"/>
          <w:szCs w:val="24"/>
        </w:rPr>
      </w:pPr>
      <w:r w:rsidRPr="000E163F">
        <w:rPr>
          <w:rFonts w:ascii="Times New Roman" w:hAnsi="Times New Roman"/>
          <w:b/>
          <w:sz w:val="24"/>
          <w:szCs w:val="24"/>
        </w:rPr>
        <w:t>Osobitná časť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  <w:szCs w:val="24"/>
        </w:rPr>
      </w:pPr>
      <w:r w:rsidRPr="000E163F">
        <w:rPr>
          <w:rFonts w:ascii="Times New Roman" w:hAnsi="Times New Roman"/>
          <w:b/>
          <w:sz w:val="24"/>
          <w:szCs w:val="24"/>
        </w:rPr>
        <w:t>Čl. I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1</w:t>
      </w:r>
    </w:p>
    <w:p w:rsidR="007E535F" w:rsidRPr="000E163F" w:rsidP="007E535F">
      <w:pPr>
        <w:pStyle w:val="Odsektext"/>
        <w:bidi w:val="0"/>
        <w:rPr>
          <w:rFonts w:ascii="Times New Roman" w:hAnsi="Times New Roman"/>
        </w:rPr>
      </w:pPr>
      <w:r w:rsidRPr="000E163F">
        <w:rPr>
          <w:rFonts w:ascii="Times New Roman" w:hAnsi="Times New Roman"/>
        </w:rPr>
        <w:t>Týmto ustanovením sa transponuje do slovenskej legislatívy ustanovenie článku 10 ods. 4 Smernice o opatreniach na zníženie nákladov. Úlohy JIM bude plniť úrad.</w:t>
      </w:r>
    </w:p>
    <w:p w:rsidR="007E535F" w:rsidRPr="000E163F" w:rsidP="007E535F">
      <w:pPr>
        <w:pStyle w:val="Odsektext"/>
        <w:bidi w:val="0"/>
        <w:rPr>
          <w:rFonts w:ascii="Times New Roman" w:hAnsi="Times New Roman"/>
        </w:rPr>
      </w:pPr>
      <w:r w:rsidRPr="000E163F">
        <w:rPr>
          <w:rFonts w:ascii="Times New Roman" w:hAnsi="Times New Roman"/>
        </w:rPr>
        <w:t>Súčasne sa v tomto bode v nadväznosti na problémy vyplývajúce z aplikačnej praxe v súvislosti s Nariadením EÚ o prístupe k otvorenému internetu sa navrhuje zaviesť oprávnenie úradu pre reguláciu elektronických komunikácií a poštových služieb na vydávanie rozhodnutí podľa článku 5 ods. 1 predmetného nariadenia a podľa článku 6c Nariadenia EÚ č. 531/2012 o roamingu.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2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sz w:val="24"/>
        </w:rPr>
      </w:pPr>
      <w:r w:rsidRPr="000E163F">
        <w:rPr>
          <w:rFonts w:ascii="Times New Roman" w:hAnsi="Times New Roman"/>
          <w:sz w:val="24"/>
        </w:rPr>
        <w:t>Navrhovaná zmena bola vyvolaná zavedením legislatívnej skratky „povinná osoba“ v § 67b ods. 1</w:t>
      </w:r>
      <w:r>
        <w:rPr>
          <w:rFonts w:ascii="Times New Roman" w:hAnsi="Times New Roman"/>
          <w:sz w:val="24"/>
        </w:rPr>
        <w:t>,</w:t>
      </w:r>
      <w:r w:rsidRPr="000E163F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>by</w:t>
      </w:r>
      <w:r w:rsidRPr="000E163F">
        <w:rPr>
          <w:rFonts w:ascii="Times New Roman" w:hAnsi="Times New Roman"/>
          <w:sz w:val="24"/>
        </w:rPr>
        <w:t> nedochádzalo k zámene pojmov použitých v zákone.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bodom 3 a 4</w:t>
      </w:r>
    </w:p>
    <w:p w:rsidR="007E535F" w:rsidRPr="000E163F" w:rsidP="007E535F">
      <w:pPr>
        <w:pStyle w:val="Odsektext"/>
        <w:bidi w:val="0"/>
        <w:rPr>
          <w:rFonts w:ascii="Times New Roman" w:hAnsi="Times New Roman"/>
        </w:rPr>
      </w:pPr>
      <w:r w:rsidRPr="000E163F">
        <w:rPr>
          <w:rFonts w:ascii="Times New Roman" w:hAnsi="Times New Roman"/>
        </w:rPr>
        <w:t>Legislatívno-technická úprava vyvolaná vložením nového odseku v § 73.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5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 xml:space="preserve">Predmetné ustanovenie zavádza povinnosť pre podniky zabezpečiť prístup k tiesňovým službám prostredníctvom volania eCall. Systém eCall je poskytovaný na základe jednotného európskeho čísla tiesňového volania 112. Ustanovenie tiež zavádza právo účastníka vykonať bezplatné volanie eCall tak, ako je ustanovené v čl. 1 až čl. 4 v čl. Rozhodnutia Európskeho parlamentu a Rady č. 585/2014/EÚ z 15. mája 2014 o zavedení interoperabilnej služby eCall v celej EÚ.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mplementačné náklady,</w:t>
      </w:r>
      <w:r w:rsidRPr="000E163F">
        <w:rPr>
          <w:rFonts w:ascii="Times New Roman" w:hAnsi="Times New Roman"/>
          <w:sz w:val="24"/>
          <w:szCs w:val="24"/>
        </w:rPr>
        <w:t xml:space="preserve"> ktoré vzniknú pri technologickej a procesnej stránke zavádzania eCall, budú hradené z rozpočtu MV SR.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6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Predmetné ustanovenia rozširujú práva účastníka o právo na alternatívny prístup k tiesňovým službám prostredníctvom služby krátkych správ SMS. V úvodnom ustanovení č</w:t>
      </w:r>
      <w:r>
        <w:rPr>
          <w:rFonts w:ascii="Times New Roman" w:hAnsi="Times New Roman"/>
          <w:color w:val="000000"/>
          <w:sz w:val="24"/>
          <w:szCs w:val="24"/>
        </w:rPr>
        <w:t>l</w:t>
      </w:r>
      <w:r w:rsidRPr="000E163F">
        <w:rPr>
          <w:rFonts w:ascii="Times New Roman" w:hAnsi="Times New Roman"/>
          <w:color w:val="000000"/>
          <w:sz w:val="24"/>
          <w:szCs w:val="24"/>
        </w:rPr>
        <w:t>. 44 smernice Európskeho parlamentu a Rady č. 2009/136/ES z 25. novembra 2009, ktorou sa mení a dopĺňa smernica 2002/22/ES o univerzálnej službe a právach užívateľov týkajúcich sa elektronických komunikačných sietí a služieb, smernica 2002/58/ES týkajúca sa spracovávania osobných údajov a ochrany súkromia v sektore elektronických komunikácií a nariadenie (ES) č. 2006/2004 je uvedené, že: „</w:t>
      </w:r>
      <w:r w:rsidRPr="000E163F">
        <w:rPr>
          <w:rFonts w:ascii="Times New Roman" w:hAnsi="Times New Roman"/>
          <w:sz w:val="24"/>
          <w:szCs w:val="24"/>
        </w:rPr>
        <w:t xml:space="preserve">Hlasové volania ostávajú najrozšírenejšou a najspoľahlivejšou formou prístupu k službám tiesňového volania. Iné prostriedky kontaktu, ako napríklad textové správy, môžu byť menej spoľahlivé a nemusia vyvolávať pocit naliehavosti. Ak to však členské štáty považujú za potrebné, môžu podporovať vývoj a zavádzanie iných prostriedkov na prístup k službám tiesňového volania, ktorými sa zaistí prístup, ktorý je rovnocenný hlasovým volaniam.“ </w:t>
      </w:r>
      <w:r>
        <w:rPr>
          <w:rFonts w:ascii="Times New Roman" w:hAnsi="Times New Roman"/>
          <w:sz w:val="24"/>
          <w:szCs w:val="24"/>
        </w:rPr>
        <w:t>Implementačné</w:t>
      </w:r>
      <w:r w:rsidRPr="000E163F">
        <w:rPr>
          <w:rFonts w:ascii="Times New Roman" w:hAnsi="Times New Roman"/>
          <w:sz w:val="24"/>
          <w:szCs w:val="24"/>
        </w:rPr>
        <w:t xml:space="preserve"> náklad</w:t>
      </w:r>
      <w:r>
        <w:rPr>
          <w:rFonts w:ascii="Times New Roman" w:hAnsi="Times New Roman"/>
          <w:sz w:val="24"/>
          <w:szCs w:val="24"/>
        </w:rPr>
        <w:t>y</w:t>
      </w:r>
      <w:r w:rsidRPr="000E163F">
        <w:rPr>
          <w:rFonts w:ascii="Times New Roman" w:hAnsi="Times New Roman"/>
          <w:sz w:val="24"/>
          <w:szCs w:val="24"/>
        </w:rPr>
        <w:t>, ktoré vzniknú pri technologickej a procesnej stránke zavádzania SMS, budú hradené z rozpočtu MV SR.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7</w:t>
      </w:r>
    </w:p>
    <w:p w:rsidR="007E535F" w:rsidRPr="000E163F" w:rsidP="002542E2">
      <w:pPr>
        <w:bidi w:val="0"/>
        <w:spacing w:before="120"/>
        <w:jc w:val="both"/>
        <w:rPr>
          <w:rFonts w:ascii="Times New Roman" w:hAnsi="Times New Roman"/>
        </w:rPr>
      </w:pPr>
      <w:r w:rsidRPr="000E163F">
        <w:rPr>
          <w:rFonts w:ascii="Times New Roman" w:hAnsi="Times New Roman"/>
          <w:color w:val="000000"/>
          <w:sz w:val="24"/>
        </w:rPr>
        <w:t>Ide o splnomocňovacie ustanovenie, ktoré oprávňuje úrad na vydanie Opatrenia v nadväznosti na problémy vyplývajúce z aplikačnej praxe v súvislosti s nariadením EÚ o prístupe k otvorenému internetu. Predmetné ustanovenie sa navrhuje z dôvodu, aby bol úrad schopný pružne reagovať na potreby zabezpečenia dostatočnej úrovne ochrany koncových užívateľov v súvislosti s Čl. 4 ods. 1 a 2 citovaného nariadenia.</w:t>
      </w:r>
      <w:r w:rsidRPr="000E163F">
        <w:rPr>
          <w:rFonts w:ascii="Times New Roman" w:hAnsi="Times New Roman"/>
        </w:rPr>
        <w:t xml:space="preserve"> </w:t>
      </w:r>
    </w:p>
    <w:p w:rsidR="007E535F" w:rsidRPr="000E163F" w:rsidP="007E535F">
      <w:pPr>
        <w:bidi w:val="0"/>
        <w:jc w:val="both"/>
        <w:rPr>
          <w:rFonts w:ascii="Times New Roman" w:hAnsi="Times New Roman"/>
        </w:rPr>
      </w:pPr>
      <w:r w:rsidRPr="000E163F">
        <w:rPr>
          <w:rFonts w:ascii="Times New Roman" w:hAnsi="Times New Roman"/>
          <w:color w:val="000000"/>
          <w:sz w:val="24"/>
        </w:rPr>
        <w:t>Predmetom právnej úpravy v rámci Opatrenia bude najmä:</w:t>
      </w:r>
    </w:p>
    <w:p w:rsidR="007E535F" w:rsidRPr="000E163F" w:rsidP="007E535F">
      <w:pPr>
        <w:bidi w:val="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- rozsah informácií a vysvetlení, ktoré majú poskytovatelia služieb prístupu k internetu uvádzať v každej zmluve;</w:t>
      </w:r>
    </w:p>
    <w:p w:rsidR="007E535F" w:rsidRPr="000E163F" w:rsidP="007E535F">
      <w:pPr>
        <w:bidi w:val="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- forma informácií a vysvetlení, ktoré majú poskytovatelia služieb prístupu k internetu uvádzať v každej zmluve;</w:t>
      </w:r>
    </w:p>
    <w:p w:rsidR="007E535F" w:rsidRPr="000E163F" w:rsidP="007E535F">
      <w:pPr>
        <w:bidi w:val="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- spôsob uvádzania týchto informácií a vysvetlení;</w:t>
      </w:r>
    </w:p>
    <w:p w:rsidR="007E535F" w:rsidRPr="000E163F" w:rsidP="007E535F">
      <w:pPr>
        <w:bidi w:val="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- miesto, kde majú byť informácie a vysvetlenia v zmysle Čl. 4 ods. 1 nariadenia uvádzané;</w:t>
      </w:r>
    </w:p>
    <w:p w:rsidR="007E535F" w:rsidRPr="000E163F" w:rsidP="007E535F">
      <w:pPr>
        <w:bidi w:val="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 xml:space="preserve">- ďalšie oblasti úpravy. </w:t>
      </w:r>
    </w:p>
    <w:p w:rsidR="007E535F" w:rsidRPr="000E163F" w:rsidP="007E535F">
      <w:pPr>
        <w:bidi w:val="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 xml:space="preserve">Nepredpokladá sa nadobudnutie účinnosti Opatrenia súčasne s účinnosťou zákona. 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bodom 8 a 9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sz w:val="24"/>
        </w:rPr>
      </w:pPr>
      <w:r w:rsidRPr="000E163F">
        <w:rPr>
          <w:rFonts w:ascii="Times New Roman" w:hAnsi="Times New Roman"/>
          <w:sz w:val="24"/>
        </w:rPr>
        <w:t>Legislatívno-technická úprava vyvolaná prečíslovaním odsekov (v dôsledku vloženia nového odseku 3) v § 44.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10</w:t>
      </w:r>
    </w:p>
    <w:p w:rsidR="007E535F" w:rsidRPr="000E163F" w:rsidP="002542E2">
      <w:pPr>
        <w:bidi w:val="0"/>
        <w:spacing w:before="12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Osobitné siete sú zriadené a prevádzkované na vojenské účely iba pre určený okruh osôb, pričom vojenským účelom je podľa tohto zákona zabezpečenie obrany štátu, bezpečnosti štátu, ochrany verejného poriadku, života, verejného zdravia a majetku (§ 49 ods. 1 a § 30 ods. 3 zákona č. 351/2011 Z. z.). V zmysle § 49 zákona nie sú osobitné siete verejnými sieťami a prevádzkovatelia osobitných sietí nesmú poskytovať verejné služby, ani umožniť poskytovanie takýchto služieb prostredníctvom osobitných sietí tretím osobám. Vzhľadom na to nie je žiad</w:t>
      </w:r>
      <w:r>
        <w:rPr>
          <w:rFonts w:ascii="Times New Roman" w:hAnsi="Times New Roman"/>
          <w:color w:val="000000"/>
          <w:sz w:val="24"/>
        </w:rPr>
        <w:t>u</w:t>
      </w:r>
      <w:r w:rsidRPr="000E163F">
        <w:rPr>
          <w:rFonts w:ascii="Times New Roman" w:hAnsi="Times New Roman"/>
          <w:color w:val="000000"/>
          <w:sz w:val="24"/>
        </w:rPr>
        <w:t xml:space="preserve">ce informácie o osobitných sieťach sprístupňovať tretím stranám, ani tieto siete a ich infraštruktúru využívať na účely uvedené v § 67a až 67d a § 67f zákona, keďže by mohlo dôjsť k ohrozeniu primárneho účelu, na aký sú tieto siete budované. 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11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 xml:space="preserve">Ustanovenie zavádza povinnosť podniku získavať, spracovávať a bezplatne poskytovať koordinačnému stredisku integrovaného záchranného systému rovnaké identifikačné a lokalizačné údaje odosielateľa SMS na číslo tiesňového volania 112, aké sa poskytujú pri volaniach na číslo tiesňového volania 112. 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 w:rsidRPr="000E163F">
        <w:rPr>
          <w:rFonts w:ascii="Times New Roman" w:hAnsi="Times New Roman"/>
          <w:b/>
          <w:color w:val="000000"/>
          <w:sz w:val="24"/>
          <w:szCs w:val="24"/>
        </w:rPr>
        <w:t>K bodu 12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Ustanovenie zavádza povinnosť podniku poskytovať pri odosielaní SMS na číslo tiesňového volania 112, rovnaké identifikačné údaje odosielateľa, ako je to pri tiesňových volaniach. Účelom je v rámci technických možností zabezpečiť rovnocenné postavenie SMS ako nástroja prístupu k tiesňovým službám.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Súčasne sa na konci ustanovenia spresňuje, že podnik je povinný poskytnúť identifikáciu „účastníka“ (§ 5 ods. 4 zákona č. 351/2011 Z. z.), keďže skutočnú identitu volajúceho alebo odosielateľa SMS správy nie je možné poskytnúť.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 w:rsidRPr="000E163F">
        <w:rPr>
          <w:rFonts w:ascii="Times New Roman" w:hAnsi="Times New Roman"/>
          <w:b/>
          <w:color w:val="000000"/>
          <w:sz w:val="24"/>
          <w:szCs w:val="24"/>
        </w:rPr>
        <w:t xml:space="preserve">K bodom 13 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sz w:val="24"/>
          <w:szCs w:val="24"/>
        </w:rPr>
      </w:pPr>
      <w:r w:rsidRPr="000E163F">
        <w:rPr>
          <w:rFonts w:ascii="Times New Roman" w:hAnsi="Times New Roman"/>
          <w:sz w:val="24"/>
          <w:szCs w:val="24"/>
        </w:rPr>
        <w:t xml:space="preserve">Jadrové zariadenia a </w:t>
      </w:r>
      <w:r>
        <w:rPr>
          <w:rFonts w:ascii="Times New Roman" w:hAnsi="Times New Roman"/>
          <w:sz w:val="24"/>
          <w:szCs w:val="24"/>
        </w:rPr>
        <w:t>prístup</w:t>
      </w:r>
      <w:r w:rsidRPr="000E1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0E163F">
        <w:rPr>
          <w:rFonts w:ascii="Times New Roman" w:hAnsi="Times New Roman"/>
          <w:sz w:val="24"/>
          <w:szCs w:val="24"/>
        </w:rPr>
        <w:t xml:space="preserve"> ni</w:t>
      </w:r>
      <w:r>
        <w:rPr>
          <w:rFonts w:ascii="Times New Roman" w:hAnsi="Times New Roman"/>
          <w:sz w:val="24"/>
          <w:szCs w:val="24"/>
        </w:rPr>
        <w:t>m</w:t>
      </w:r>
      <w:r w:rsidRPr="000E163F">
        <w:rPr>
          <w:rFonts w:ascii="Times New Roman" w:hAnsi="Times New Roman"/>
          <w:sz w:val="24"/>
          <w:szCs w:val="24"/>
        </w:rPr>
        <w:t xml:space="preserve"> je potrebné vyňať spod povinnost</w:t>
      </w:r>
      <w:r>
        <w:rPr>
          <w:rFonts w:ascii="Times New Roman" w:hAnsi="Times New Roman"/>
          <w:sz w:val="24"/>
          <w:szCs w:val="24"/>
        </w:rPr>
        <w:t>i</w:t>
      </w:r>
      <w:r w:rsidRPr="000E1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poskytnúť prístup</w:t>
      </w:r>
      <w:r w:rsidRPr="000E163F">
        <w:rPr>
          <w:rFonts w:ascii="Times New Roman" w:hAnsi="Times New Roman"/>
          <w:sz w:val="24"/>
          <w:szCs w:val="24"/>
        </w:rPr>
        <w:t>. Jadrové zariadenia využívajú komunikačné siete v systémoch fyzickej ochrany a v technologických riadiacich, bezpečnostných a havarijných systémoch. Tieto systémy sú dôležitou súčasťou zabezpečenia jadrovej fyzickej bezpečnosti a jadrovej bezpečnosti, sú izolované od vonkajších sietí a prístup do nich je riadený a sledovaný. Zverejnenie údajov o týchto sieťach by mohlo, z dôvodu ich možného zneužitia na naplánovanie krádeže a/alebo sabotáže, ohroziť bezpečnú prevádzku jadrových zariadení.</w:t>
      </w:r>
    </w:p>
    <w:p w:rsidR="007E535F" w:rsidRPr="00B40261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 bodu 14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sz w:val="24"/>
          <w:szCs w:val="24"/>
        </w:rPr>
      </w:pPr>
      <w:r w:rsidRPr="000E163F">
        <w:rPr>
          <w:rFonts w:ascii="Times New Roman" w:hAnsi="Times New Roman"/>
          <w:sz w:val="24"/>
          <w:szCs w:val="24"/>
        </w:rPr>
        <w:t>V nadväznosti na novelizačný bod, ktorým sa dopĺňa nová poznámka pod čiarou v § 67a ods. 3 písm. b), obsahujúca nový odkaz na atómový zákon, sa navrhuje upraviť aj v tom istom paragrafe už existujúca poznámka pod čiarou k odkazu 51d, ktorej znenie je dotknuté ostatnou novelou atómového zákona č. 96/2017 Z. z.</w:t>
      </w:r>
    </w:p>
    <w:p w:rsidR="007E535F" w:rsidRPr="00B40261" w:rsidP="007E535F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  <w:szCs w:val="24"/>
        </w:rPr>
      </w:pPr>
      <w:r w:rsidRPr="000E163F">
        <w:rPr>
          <w:rFonts w:ascii="Times New Roman" w:hAnsi="Times New Roman"/>
          <w:b/>
          <w:sz w:val="24"/>
          <w:szCs w:val="24"/>
        </w:rPr>
        <w:t>K bodu 1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0E163F">
        <w:rPr>
          <w:rFonts w:ascii="Times New Roman" w:hAnsi="Times New Roman"/>
          <w:sz w:val="24"/>
          <w:szCs w:val="24"/>
        </w:rPr>
        <w:t xml:space="preserve"> povinnosti poskytovať informácie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0E163F">
        <w:rPr>
          <w:rFonts w:ascii="Times New Roman" w:hAnsi="Times New Roman"/>
          <w:sz w:val="24"/>
          <w:szCs w:val="24"/>
        </w:rPr>
        <w:t xml:space="preserve">navrhuje vyňať </w:t>
      </w:r>
      <w:r>
        <w:rPr>
          <w:rFonts w:ascii="Times New Roman" w:hAnsi="Times New Roman"/>
          <w:sz w:val="24"/>
          <w:szCs w:val="24"/>
        </w:rPr>
        <w:t xml:space="preserve">jadrové zariadenia </w:t>
      </w:r>
      <w:r w:rsidRPr="000E163F">
        <w:rPr>
          <w:rFonts w:ascii="Times New Roman" w:hAnsi="Times New Roman"/>
          <w:sz w:val="24"/>
          <w:szCs w:val="24"/>
        </w:rPr>
        <w:t>aj inf</w:t>
      </w:r>
      <w:r>
        <w:rPr>
          <w:rFonts w:ascii="Times New Roman" w:hAnsi="Times New Roman"/>
          <w:sz w:val="24"/>
          <w:szCs w:val="24"/>
        </w:rPr>
        <w:t>ormácie o prvkoch infraštruktúry</w:t>
      </w:r>
      <w:r w:rsidRPr="000E163F">
        <w:rPr>
          <w:rFonts w:ascii="Times New Roman" w:hAnsi="Times New Roman"/>
          <w:sz w:val="24"/>
          <w:szCs w:val="24"/>
        </w:rPr>
        <w:t xml:space="preserve"> siete Govnet</w:t>
      </w:r>
      <w:r>
        <w:rPr>
          <w:rFonts w:ascii="Times New Roman" w:hAnsi="Times New Roman"/>
          <w:sz w:val="24"/>
          <w:szCs w:val="24"/>
        </w:rPr>
        <w:t>, aby nedošlo k ich ohrozeniu</w:t>
      </w:r>
      <w:r w:rsidRPr="000E163F">
        <w:rPr>
          <w:rFonts w:ascii="Times New Roman" w:hAnsi="Times New Roman"/>
          <w:sz w:val="24"/>
          <w:szCs w:val="24"/>
        </w:rPr>
        <w:t>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16</w:t>
      </w:r>
    </w:p>
    <w:p w:rsidR="007E535F" w:rsidP="002542E2">
      <w:pPr>
        <w:pStyle w:val="Normaltext"/>
        <w:tabs>
          <w:tab w:val="left" w:pos="851"/>
        </w:tabs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Rovnako ako v bode 13 sa zabezpečuje ochrana jadrových zariadení.</w:t>
      </w:r>
    </w:p>
    <w:p w:rsidR="007E535F" w:rsidRPr="00B40261" w:rsidP="007E535F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  <w:szCs w:val="24"/>
        </w:rPr>
      </w:pPr>
      <w:r w:rsidRPr="000E163F">
        <w:rPr>
          <w:rFonts w:ascii="Times New Roman" w:hAnsi="Times New Roman"/>
          <w:b/>
          <w:sz w:val="24"/>
          <w:szCs w:val="24"/>
        </w:rPr>
        <w:t>K bodu 1</w:t>
      </w:r>
      <w:r>
        <w:rPr>
          <w:rFonts w:ascii="Times New Roman" w:hAnsi="Times New Roman"/>
          <w:b/>
          <w:sz w:val="24"/>
          <w:szCs w:val="24"/>
        </w:rPr>
        <w:t>7</w:t>
      </w:r>
      <w:r w:rsidRPr="000E163F">
        <w:rPr>
          <w:rFonts w:ascii="Times New Roman" w:hAnsi="Times New Roman"/>
          <w:b/>
          <w:sz w:val="24"/>
          <w:szCs w:val="24"/>
        </w:rPr>
        <w:t xml:space="preserve"> 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Legislatívno-technická úprava vyvolaná doplnením nových ustanovení, ktorými sa dosiahne úplná transpozícia smernice o opatreniach na zníženie nákladov. Informácie o existujúcej infraštruktúre majú podniky primárne získavať prostredníctvom jednotného informačného miesta.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 w:rsidRPr="000E163F">
        <w:rPr>
          <w:rFonts w:ascii="Times New Roman" w:hAnsi="Times New Roman"/>
          <w:b/>
          <w:color w:val="000000"/>
          <w:sz w:val="24"/>
          <w:szCs w:val="24"/>
        </w:rPr>
        <w:t>K bodu 1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</w:p>
    <w:p w:rsidR="007E535F" w:rsidRPr="000E163F" w:rsidP="002542E2">
      <w:pPr>
        <w:bidi w:val="0"/>
        <w:spacing w:before="12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Aby mohli efektívne plánovať zavádzanie vysokorýchlostných elektronických komunikačných sietí, podniky podľa zákona č. 351/2011 Z. z.</w:t>
      </w:r>
      <w:r w:rsidRPr="000E163F">
        <w:rPr>
          <w:rFonts w:ascii="Times New Roman" w:hAnsi="Times New Roman"/>
          <w:sz w:val="24"/>
        </w:rPr>
        <w:t xml:space="preserve"> </w:t>
      </w:r>
      <w:r w:rsidRPr="000E163F">
        <w:rPr>
          <w:rFonts w:ascii="Times New Roman" w:hAnsi="Times New Roman"/>
          <w:color w:val="000000"/>
          <w:sz w:val="24"/>
        </w:rPr>
        <w:t xml:space="preserve">majú mať prostredníctvom JIM prístup k informáciám o dostupnosti existujúcej fyzickej infraštruktúry (podľa § 67b ods. 1) a k informáciám o prebiehajúcich alebo plánovaných stavbách (podľa § 67d ods. 1). Ak tieto informácie nie sú dostupné prostredníctvom JIM, podniky ich môžu požadovať priamo od prevádzkovateľov sietí (podľa § 67b ods. 4 alebo podľa § 67d ods. 5). Ide o transpozíciu ustanovení článku 4 ods. 2, 3 a 4, článku 6 ods. 3, ako aj článku 7 ods. 1 Smernice o opatreniach na zníženie nákladov. </w:t>
      </w:r>
    </w:p>
    <w:p w:rsidR="007E535F" w:rsidRPr="000E163F" w:rsidP="007E535F">
      <w:pPr>
        <w:bidi w:val="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Informácie o existujúcej infraštr</w:t>
      </w:r>
      <w:r>
        <w:rPr>
          <w:rFonts w:ascii="Times New Roman" w:hAnsi="Times New Roman"/>
          <w:color w:val="000000"/>
          <w:sz w:val="24"/>
        </w:rPr>
        <w:t>uktúre vrátane ich aktualizácií</w:t>
      </w:r>
      <w:r w:rsidRPr="000E163F">
        <w:rPr>
          <w:rFonts w:ascii="Times New Roman" w:hAnsi="Times New Roman"/>
          <w:color w:val="000000"/>
          <w:sz w:val="24"/>
        </w:rPr>
        <w:t xml:space="preserve"> poskytujú JIM povinné osoby a informácie o plánovaných alebo prebiehajúcich stavbách sú JIM povinní poskytovať prevádzkovatelia sietí.</w:t>
      </w:r>
    </w:p>
    <w:p w:rsidR="007E535F" w:rsidRPr="000E163F" w:rsidP="007E535F">
      <w:pPr>
        <w:bidi w:val="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Uvedená povinnosť sa nevzťahuje na informácie týkajúce sa prvkov kritickej infraštruktúry, jadrových zariadení,</w:t>
      </w:r>
      <w:r>
        <w:rPr>
          <w:rFonts w:ascii="Times New Roman" w:hAnsi="Times New Roman"/>
          <w:color w:val="000000"/>
          <w:sz w:val="24"/>
        </w:rPr>
        <w:t xml:space="preserve"> prvkov infraštruktúry siete Govnet,</w:t>
      </w:r>
      <w:r w:rsidRPr="000E163F">
        <w:rPr>
          <w:rFonts w:ascii="Times New Roman" w:hAnsi="Times New Roman"/>
          <w:color w:val="000000"/>
          <w:sz w:val="24"/>
        </w:rPr>
        <w:t xml:space="preserve"> informácie, ktoré sú predmetom obchodného tajomstva, utajovanou skutočnosťou, na citlivé informácie, ako aj na informácie, ktorých poskytnutím by mohlo dôjsť k ohrozeniu bezpečnosti alebo integrity akejkoľvek siete.</w:t>
      </w:r>
    </w:p>
    <w:p w:rsidR="007E535F" w:rsidRPr="000E163F" w:rsidP="007E535F">
      <w:pPr>
        <w:bidi w:val="0"/>
        <w:jc w:val="both"/>
        <w:rPr>
          <w:rFonts w:ascii="Times New Roman" w:hAnsi="Times New Roman"/>
          <w:color w:val="000000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Technické podrobnosti týkajúce sa fungovania JIM upraví úrad svojím opatrením. Obsahom tohto opatrenia by mali byť:</w:t>
      </w:r>
    </w:p>
    <w:p w:rsidR="007E535F" w:rsidRPr="000E163F" w:rsidP="007E535F">
      <w:pPr>
        <w:pStyle w:val="ListParagraph"/>
        <w:numPr>
          <w:numId w:val="14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0E163F">
        <w:rPr>
          <w:rFonts w:ascii="Times New Roman" w:hAnsi="Times New Roman"/>
          <w:sz w:val="24"/>
        </w:rPr>
        <w:t xml:space="preserve">podrobnosti o spôsobe a forme poskytovania informácií zo strany povinných subjektov JIM – elektronické vkladanie údajov, dátový formát, resp. formáty, ktoré budú vhodné na zabezpečenie účelu JIM, </w:t>
      </w:r>
    </w:p>
    <w:p w:rsidR="007E535F" w:rsidRPr="000E163F" w:rsidP="007E535F">
      <w:pPr>
        <w:pStyle w:val="ListParagraph"/>
        <w:numPr>
          <w:numId w:val="14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0E163F">
        <w:rPr>
          <w:rFonts w:ascii="Times New Roman" w:hAnsi="Times New Roman"/>
          <w:sz w:val="24"/>
          <w:szCs w:val="24"/>
        </w:rPr>
        <w:t xml:space="preserve">podrobnosti o spôsobe a forme sprístupňovania informácií </w:t>
      </w:r>
      <w:r>
        <w:rPr>
          <w:rFonts w:ascii="Times New Roman" w:hAnsi="Times New Roman"/>
          <w:sz w:val="24"/>
          <w:szCs w:val="24"/>
        </w:rPr>
        <w:t>–</w:t>
      </w:r>
      <w:r w:rsidRPr="000E163F">
        <w:rPr>
          <w:rFonts w:ascii="Times New Roman" w:hAnsi="Times New Roman"/>
          <w:sz w:val="24"/>
          <w:szCs w:val="24"/>
        </w:rPr>
        <w:t xml:space="preserve"> forma poskytovania informácií bude závislá od formy, v ktorej budú informácie poskytnuté, informácie budú sprístupňované online.</w:t>
      </w: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2542E2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2542E2" w:rsidRPr="000149C9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1</w:t>
      </w:r>
      <w:r>
        <w:rPr>
          <w:rFonts w:ascii="Times New Roman" w:hAnsi="Times New Roman"/>
          <w:b/>
          <w:sz w:val="24"/>
        </w:rPr>
        <w:t>9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sz w:val="24"/>
        </w:rPr>
      </w:pPr>
      <w:r w:rsidRPr="000E163F">
        <w:rPr>
          <w:rFonts w:ascii="Times New Roman" w:hAnsi="Times New Roman"/>
          <w:sz w:val="24"/>
        </w:rPr>
        <w:t>Navrhované ustanovenie iba terminologicky zosúlaďuje znenie dotknutého ustanovenia so znením smernice (čl. 6 ods. 1).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 xml:space="preserve">K bodu </w:t>
      </w:r>
      <w:r>
        <w:rPr>
          <w:rFonts w:ascii="Times New Roman" w:hAnsi="Times New Roman"/>
          <w:b/>
          <w:sz w:val="24"/>
        </w:rPr>
        <w:t>20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Navrhovaným ustanovením sa úplne transponuje do zákona ustanovenie článku 6 ods. 2 (písm. b)) smernice, podľa ktorého prevádzkovateľ siete môže odmietnuť poskytnutie informácií podniku o prebiehajúcich alebo plánovaných stavbách, ak požadované informácie zverejnil v elektronickej podobe (text je už v platnom znení § 67d ods. 6 zákona č. 351/2011 Z. z.), alebo ak sú tieto informácie sprístupnené prostredníctvom jednotného informačného miesta.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 w:rsidRPr="000E163F">
        <w:rPr>
          <w:rFonts w:ascii="Times New Roman" w:hAnsi="Times New Roman"/>
          <w:b/>
          <w:color w:val="000000"/>
          <w:sz w:val="24"/>
          <w:szCs w:val="24"/>
        </w:rPr>
        <w:t>K bodu 2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Úprava súvisí so zmenou v § 67b ods. 1. Keďže v súvislosti so zriaďovaním Jednotného informačného miesta a v súlade s článkom 6 smernice o opatreniach na zníženie nákladov sa text v § 67b ods. 1 upravuje tak, že sa vypúšťa písmeno b) (informácie o prebiehajúcich a plánovaných stavbách), je potrebné doplniť do príslušného § 67d nový odsek, aby bola zabezpečená ochrana aj týchto informácií (zachovaním mlčanlivosti) zo strany podniku, ktorý tieto informácie získal od prevádzkovateľa siete.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2</w:t>
      </w:r>
      <w:r>
        <w:rPr>
          <w:rFonts w:ascii="Times New Roman" w:hAnsi="Times New Roman"/>
          <w:b/>
          <w:sz w:val="24"/>
        </w:rPr>
        <w:t>2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 xml:space="preserve">Legislatívno-technická úprava vyvolaná vložením nového odseku </w:t>
      </w:r>
      <w:r>
        <w:rPr>
          <w:rFonts w:ascii="Times New Roman" w:hAnsi="Times New Roman"/>
          <w:color w:val="000000"/>
          <w:sz w:val="24"/>
          <w:szCs w:val="24"/>
        </w:rPr>
        <w:t>4 v § 73</w:t>
      </w:r>
      <w:r w:rsidRPr="000E163F">
        <w:rPr>
          <w:rFonts w:ascii="Times New Roman" w:hAnsi="Times New Roman"/>
          <w:color w:val="000000"/>
          <w:sz w:val="24"/>
          <w:szCs w:val="24"/>
        </w:rPr>
        <w:t>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 w:rsidRPr="000E163F">
        <w:rPr>
          <w:rFonts w:ascii="Times New Roman" w:hAnsi="Times New Roman"/>
          <w:b/>
          <w:color w:val="000000"/>
          <w:sz w:val="24"/>
          <w:szCs w:val="24"/>
        </w:rPr>
        <w:t>K bodu 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</w:p>
    <w:p w:rsidR="007E535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 xml:space="preserve">Legislatívno-technická úprava vyvolaná vložením nového odseku </w:t>
      </w:r>
      <w:r>
        <w:rPr>
          <w:rFonts w:ascii="Times New Roman" w:hAnsi="Times New Roman"/>
          <w:color w:val="000000"/>
          <w:sz w:val="24"/>
          <w:szCs w:val="24"/>
        </w:rPr>
        <w:t xml:space="preserve">v § 44 a </w:t>
      </w:r>
      <w:r w:rsidRPr="000E163F">
        <w:rPr>
          <w:rFonts w:ascii="Times New Roman" w:hAnsi="Times New Roman"/>
          <w:color w:val="000000"/>
          <w:sz w:val="24"/>
          <w:szCs w:val="24"/>
        </w:rPr>
        <w:t xml:space="preserve">nového odseku </w:t>
      </w:r>
      <w:r>
        <w:rPr>
          <w:rFonts w:ascii="Times New Roman" w:hAnsi="Times New Roman"/>
          <w:color w:val="000000"/>
          <w:sz w:val="24"/>
          <w:szCs w:val="24"/>
        </w:rPr>
        <w:t xml:space="preserve">4 v 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73.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 w:rsidRPr="000E163F">
        <w:rPr>
          <w:rFonts w:ascii="Times New Roman" w:hAnsi="Times New Roman"/>
          <w:b/>
          <w:color w:val="000000"/>
          <w:sz w:val="24"/>
          <w:szCs w:val="24"/>
        </w:rPr>
        <w:t>K bodu 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</w:p>
    <w:p w:rsidR="007E535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Legislatívno-technická úprava. Vzhľadom na vznik nových povinností poskytovateľov služieb od 15. júna 2017, sa navrhuje úprava poznámky pod čiarou. Súčasné znenie síce oprávňuje Úrad pre reguláciu elektronických komunikácií a poštových služieb na uloženie sankcií za porušenie a nesplnenie povinností podľa osobitného predpisu (poznámka pod čiarou má iba informatívny charakter), avšak navrhovaná legislatívno-technická úprava sa javí ako vhodná a účelná pre prípad ďalších budúcich zmien a doplnení uvedených nariadení EÚ.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 w:rsidRPr="000E163F">
        <w:rPr>
          <w:rFonts w:ascii="Times New Roman" w:hAnsi="Times New Roman"/>
          <w:b/>
          <w:color w:val="000000"/>
          <w:sz w:val="24"/>
          <w:szCs w:val="24"/>
        </w:rPr>
        <w:t>K bod</w:t>
      </w:r>
      <w:r>
        <w:rPr>
          <w:rFonts w:ascii="Times New Roman" w:hAnsi="Times New Roman"/>
          <w:b/>
          <w:color w:val="000000"/>
          <w:sz w:val="24"/>
          <w:szCs w:val="24"/>
        </w:rPr>
        <w:t>u</w:t>
      </w:r>
      <w:r w:rsidRPr="000E163F">
        <w:rPr>
          <w:rFonts w:ascii="Times New Roman" w:hAnsi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5 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Legislatívno-technická úprava vyvolaná vložením nového odseku 4 v § 73.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 bodu 26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Zavádza sa sankcia za porušenie povinnosti prevádzkovateľa siete zachovávať mlčanlivosť ohľadom informácií obsiahnutých v žiadosti podniku o prístup k fyzickej infraštruktúre. Súčasne sa zavádza aj sankcia pre podnik za porušenie povinnosti zachovávať mlčanlivosť ohľadom informácií o fyzickej infraštruktúre (existujúcej, ale aj o plánovaných alebo prebiehajúcich stavbách), ktoré mu boli poskytnuté v súlade so zákonom.</w:t>
      </w:r>
      <w:r>
        <w:rPr>
          <w:rFonts w:ascii="Times New Roman" w:hAnsi="Times New Roman"/>
          <w:color w:val="000000"/>
          <w:sz w:val="24"/>
          <w:szCs w:val="24"/>
        </w:rPr>
        <w:t xml:space="preserve"> Tiež sa tu zavádza legislatívno-technická úprava vyvolaná vložením nového odseku 4 v § 73.</w:t>
      </w:r>
    </w:p>
    <w:p w:rsidR="007E535F" w:rsidRPr="00320653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2542E2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542E2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542E2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color w:val="000000"/>
          <w:sz w:val="24"/>
          <w:szCs w:val="24"/>
        </w:rPr>
      </w:pPr>
      <w:r w:rsidRPr="000E163F">
        <w:rPr>
          <w:rFonts w:ascii="Times New Roman" w:hAnsi="Times New Roman"/>
          <w:b/>
          <w:color w:val="000000"/>
          <w:sz w:val="24"/>
          <w:szCs w:val="24"/>
        </w:rPr>
        <w:t>K bodom 2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0E163F">
        <w:rPr>
          <w:rFonts w:ascii="Times New Roman" w:hAnsi="Times New Roman"/>
          <w:b/>
          <w:color w:val="000000"/>
          <w:sz w:val="24"/>
          <w:szCs w:val="24"/>
        </w:rPr>
        <w:t xml:space="preserve"> a 2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sz w:val="24"/>
          <w:szCs w:val="24"/>
        </w:rPr>
      </w:pPr>
      <w:r w:rsidRPr="000E163F">
        <w:rPr>
          <w:rFonts w:ascii="Times New Roman" w:hAnsi="Times New Roman"/>
          <w:sz w:val="24"/>
          <w:szCs w:val="24"/>
        </w:rPr>
        <w:t>Navrhuje sa úprava výšky pokút za neposkytnutie informácií jednotnému informačnému miestu. Ide o transpozíciu čl. 11 Smernice o opatreniach na zníženie nákladov. Úrad pre reguláciu elektronických komunikácií a poštových služieb sa oprávňuje na ukladanie sankcií v prípade, ak povinné osoby podľa § 67b (ústredné orgány štátnej správy, miestne orgány štátnej správy, vyššie územné celky a obce) alebo prevádzkovatelia sietí (podnik podľa § 5 ods. 1 zákona č. 351/2011 Z. z., ďalej osoba, ktorá prevádzkuje fyzickú infraštruktúru podľa § 2 ods. 8 zákona č. 351/2011 Z. z., alebo osoba, ktorá uskutočňuje výstavbu siete alebo siete určenej na poskytovanie iných služieb alebo fyzickej infraštruktúry) neposkytnú jednotnému informačnému miestu informácie o existujúcej infraštruktúre, resp. o plánovaných či prebiehajúcich stavbách.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sz w:val="24"/>
          <w:szCs w:val="24"/>
        </w:rPr>
        <w:t>Predložený návrh zohľadňuje skutočnosť, že miestne orgány štátnej správy nemajú podľa zákona č. 180/2013 Z. z. o organizácii miestnej štátnej správy a o zmene a doplnení niektorých zákonov v znení neskorších predpisov právnu subjektivitu (nemôžu byť považované za právnické osoby). V navrhovaných ustanovenia</w:t>
      </w:r>
      <w:r w:rsidRPr="000E163F">
        <w:rPr>
          <w:rFonts w:ascii="Times New Roman" w:hAnsi="Times New Roman"/>
          <w:color w:val="000000"/>
          <w:sz w:val="24"/>
          <w:szCs w:val="24"/>
        </w:rPr>
        <w:t>ch</w:t>
      </w:r>
      <w:r w:rsidRPr="000E163F">
        <w:rPr>
          <w:rFonts w:ascii="Times New Roman" w:hAnsi="Times New Roman"/>
          <w:sz w:val="24"/>
          <w:szCs w:val="24"/>
        </w:rPr>
        <w:t xml:space="preserve"> sa však na druhú stranu zohľadňuje, že niektoré zo subjektov (t.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63F">
        <w:rPr>
          <w:rFonts w:ascii="Times New Roman" w:hAnsi="Times New Roman"/>
          <w:sz w:val="24"/>
          <w:szCs w:val="24"/>
        </w:rPr>
        <w:t>j. povinných osôb) môžu vykonávať podnikateľskú činnosť, čiže sú schopné dosahovať obrat. Z uvedeného dôvodu sa v § 73 ods. 6 dopĺňa okrem „právnickej osoby a fyzickej osoby podnikateľa“ aj „povinná osoba“ pre prípady povinných osôb, ktoré nemajú žiadny</w:t>
      </w:r>
      <w:r w:rsidRPr="000E163F">
        <w:rPr>
          <w:rFonts w:ascii="Times New Roman" w:hAnsi="Times New Roman"/>
          <w:color w:val="000000"/>
          <w:sz w:val="24"/>
          <w:szCs w:val="24"/>
        </w:rPr>
        <w:t xml:space="preserve"> obrat,</w:t>
      </w:r>
      <w:r w:rsidRPr="000E163F">
        <w:rPr>
          <w:rFonts w:ascii="Times New Roman" w:hAnsi="Times New Roman"/>
          <w:sz w:val="24"/>
          <w:szCs w:val="24"/>
        </w:rPr>
        <w:t xml:space="preserve"> resp. nie je možné vyčísliť ich obrat. </w:t>
      </w:r>
      <w:r w:rsidRPr="000E163F">
        <w:rPr>
          <w:rFonts w:ascii="Times New Roman" w:hAnsi="Times New Roman"/>
          <w:color w:val="000000"/>
          <w:sz w:val="24"/>
          <w:szCs w:val="24"/>
        </w:rPr>
        <w:t>Výška navrhovanej sankcie zodpovedá Čl. 11 smernice 2014/61/EÚ.</w:t>
      </w:r>
      <w:r>
        <w:rPr>
          <w:rFonts w:ascii="Times New Roman" w:hAnsi="Times New Roman"/>
          <w:color w:val="000000"/>
          <w:sz w:val="24"/>
          <w:szCs w:val="24"/>
        </w:rPr>
        <w:t xml:space="preserve"> Tiež sa tu dopĺňajú vnútorné odkazy o odkaz na nový odsek 4 v § 73.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2</w:t>
      </w:r>
      <w:r>
        <w:rPr>
          <w:rFonts w:ascii="Times New Roman" w:hAnsi="Times New Roman"/>
          <w:b/>
          <w:sz w:val="24"/>
        </w:rPr>
        <w:t>9</w:t>
      </w:r>
    </w:p>
    <w:p w:rsidR="007E535F" w:rsidRPr="000E163F" w:rsidP="002542E2">
      <w:pPr>
        <w:bidi w:val="0"/>
        <w:spacing w:before="120"/>
        <w:jc w:val="both"/>
        <w:rPr>
          <w:rFonts w:ascii="Times New Roman" w:hAnsi="Times New Roman"/>
          <w:sz w:val="24"/>
        </w:rPr>
      </w:pPr>
      <w:r w:rsidRPr="000E163F">
        <w:rPr>
          <w:rFonts w:ascii="Times New Roman" w:hAnsi="Times New Roman"/>
          <w:color w:val="000000"/>
          <w:sz w:val="24"/>
        </w:rPr>
        <w:t>V nadväznosti na úpravu v novelizačnom bode 1. sa spresňuje, že ak nastanú skutočnosti uvedené v Čl. 5 ods. 1 Nariadenia EÚ o prístupe k otvorenému internetu, ktoré oprávňujú úrad vydať rozhodnutie podľa uvedeného článku, na tento postup sa použijú ustanovenia správneho poriadku.</w:t>
      </w:r>
    </w:p>
    <w:p w:rsidR="007E535F" w:rsidRPr="00CC26E9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 bodu 30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sz w:val="24"/>
        </w:rPr>
      </w:pPr>
      <w:r w:rsidRPr="000E163F">
        <w:rPr>
          <w:rFonts w:ascii="Times New Roman" w:hAnsi="Times New Roman"/>
          <w:sz w:val="24"/>
        </w:rPr>
        <w:t>V prechodnom ustanovení sa ustanovuje pre povinné osoby lehota na splnenie povinnosti poskytnúť jednotnému informačnému miestu informácie o existujúcej infraštruktúre, ako aj lehota pre prevádzkovateľov sietí poskytnúť jednotnému informačnému miestu informácie o plánovaných alebo prebiehajúcich stavbách.</w:t>
      </w: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C70131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Čl. II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1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Ustanovenie zavádza povinnosť koordinačného strediska integrovaného záchranného systému prijímať volania eCall a SMS správy na číslo tiesňového volania 112.</w:t>
      </w:r>
    </w:p>
    <w:p w:rsidR="007E535F" w:rsidRPr="006B146E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2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sz w:val="24"/>
          <w:szCs w:val="24"/>
        </w:rPr>
        <w:t>Ustanovenie zavádza povinnosť koordinačného strediska integrovaného záchranného systému spracovávať tiesňovú komunikáciu prostredníctvom SMS na číslo tiesňového volania 112 a volania eCall rovnakým spôsobom ako volania na číslo tiesňového volania 112.</w:t>
      </w:r>
    </w:p>
    <w:p w:rsidR="007E535F" w:rsidRPr="006B146E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3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Ustanovenie zavádza povinnosť uchovávať prehľad SMS na číslo tiesňového volania 112 rovnakým spôsobom ako evidenciu zvukových záznamov volaní na číslo tiesňového volania 112. Súčasne sa text upravuje z dôvodu existencie nových technológií a technologického vybavenia v oblasti uchovávania dát.</w:t>
      </w: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4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Ustanovenie spresňuje, že priestupku sa dopustí ten, kto zneužije SMS na číslo tiesňového volania 112 na privolanie pomoci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E163F">
        <w:rPr>
          <w:rFonts w:ascii="Times New Roman" w:hAnsi="Times New Roman"/>
          <w:color w:val="000000"/>
          <w:sz w:val="24"/>
          <w:szCs w:val="24"/>
        </w:rPr>
        <w:t xml:space="preserve"> ktorá nebola potrebná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E163F">
        <w:rPr>
          <w:rFonts w:ascii="Times New Roman" w:hAnsi="Times New Roman"/>
          <w:color w:val="000000"/>
          <w:sz w:val="24"/>
          <w:szCs w:val="24"/>
        </w:rPr>
        <w:t xml:space="preserve"> alebo blokuje číslo tiesňového volania 112 prostredníctvom neodôvodnených SMS.</w:t>
      </w: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b/>
          <w:sz w:val="24"/>
        </w:rPr>
        <w:t>K bodu 5</w:t>
      </w:r>
    </w:p>
    <w:p w:rsidR="007E535F" w:rsidRPr="000E163F" w:rsidP="007E535F">
      <w:pPr>
        <w:pStyle w:val="Normaltext"/>
        <w:bidi w:val="0"/>
        <w:spacing w:after="0"/>
        <w:rPr>
          <w:rFonts w:ascii="Times New Roman" w:hAnsi="Times New Roman"/>
          <w:b/>
          <w:sz w:val="24"/>
        </w:rPr>
      </w:pPr>
      <w:r w:rsidRPr="000E163F">
        <w:rPr>
          <w:rFonts w:ascii="Times New Roman" w:hAnsi="Times New Roman"/>
          <w:color w:val="000000"/>
          <w:sz w:val="24"/>
          <w:szCs w:val="24"/>
        </w:rPr>
        <w:t>Ide o legislatívno-technickú úpravu textu súvisiacou so zmenou v organizácii miestnej štátnej správy.</w:t>
      </w: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</w:p>
    <w:p w:rsidR="00C70131" w:rsidRPr="000E163F" w:rsidP="007E535F">
      <w:pPr>
        <w:pStyle w:val="Normaltext"/>
        <w:bidi w:val="0"/>
        <w:spacing w:before="0" w:after="0"/>
        <w:rPr>
          <w:rFonts w:ascii="Times New Roman" w:hAnsi="Times New Roman"/>
          <w:b/>
          <w:sz w:val="24"/>
        </w:rPr>
      </w:pPr>
    </w:p>
    <w:p w:rsidR="007E535F" w:rsidRPr="000E163F" w:rsidP="007E535F">
      <w:pPr>
        <w:pStyle w:val="Normaltext"/>
        <w:bidi w:val="0"/>
        <w:spacing w:before="0" w:after="0"/>
        <w:jc w:val="left"/>
        <w:rPr>
          <w:rFonts w:ascii="Times New Roman" w:hAnsi="Times New Roman"/>
          <w:b/>
          <w:sz w:val="24"/>
          <w:szCs w:val="24"/>
        </w:rPr>
      </w:pPr>
      <w:r w:rsidRPr="000E163F">
        <w:rPr>
          <w:rFonts w:ascii="Times New Roman" w:hAnsi="Times New Roman"/>
          <w:b/>
          <w:sz w:val="24"/>
          <w:szCs w:val="24"/>
        </w:rPr>
        <w:t>Čl. III</w:t>
      </w:r>
    </w:p>
    <w:p w:rsidR="007E535F" w:rsidRPr="000E163F" w:rsidP="007E535F">
      <w:pPr>
        <w:pStyle w:val="Normaltext"/>
        <w:bidi w:val="0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7E535F" w:rsidRPr="000E163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  <w:r w:rsidRPr="000E163F">
        <w:rPr>
          <w:rFonts w:ascii="Times New Roman" w:hAnsi="Times New Roman"/>
          <w:sz w:val="24"/>
        </w:rPr>
        <w:t xml:space="preserve">Navrhuje sa účinnosť zákona od </w:t>
      </w:r>
      <w:r w:rsidRPr="000E163F">
        <w:rPr>
          <w:rFonts w:ascii="Times New Roman" w:hAnsi="Times New Roman"/>
          <w:sz w:val="24"/>
          <w:szCs w:val="24"/>
          <w:lang w:eastAsia="sk-SK"/>
        </w:rPr>
        <w:t>1. januára 2018.</w:t>
      </w: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C70131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P="007E535F">
      <w:pPr>
        <w:pStyle w:val="Normaltext"/>
        <w:bidi w:val="0"/>
        <w:spacing w:before="0" w:after="0"/>
        <w:rPr>
          <w:rFonts w:ascii="Times New Roman" w:hAnsi="Times New Roman"/>
          <w:sz w:val="24"/>
        </w:rPr>
      </w:pPr>
    </w:p>
    <w:p w:rsidR="007E535F" w:rsidRPr="00215BA3" w:rsidP="007E535F">
      <w:pPr>
        <w:bidi w:val="0"/>
        <w:rPr>
          <w:rFonts w:ascii="Times New Roman" w:hAnsi="Times New Roman"/>
          <w:i/>
          <w:sz w:val="24"/>
        </w:rPr>
      </w:pPr>
      <w:r w:rsidRPr="00215BA3">
        <w:rPr>
          <w:rFonts w:ascii="Times New Roman" w:hAnsi="Times New Roman"/>
          <w:sz w:val="24"/>
        </w:rPr>
        <w:t xml:space="preserve">Bratislava </w:t>
      </w:r>
      <w:r>
        <w:rPr>
          <w:rFonts w:ascii="Times New Roman" w:hAnsi="Times New Roman"/>
          <w:sz w:val="24"/>
        </w:rPr>
        <w:t>13. septembra</w:t>
      </w:r>
      <w:r w:rsidRPr="00215BA3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7</w:t>
      </w:r>
    </w:p>
    <w:p w:rsidR="00333E6A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FF2C44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FF2C44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FF2C44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FF2C44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FF2C44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FF2C44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FF2C44" w:rsidRPr="00CA5EC5" w:rsidP="00FF2C44">
      <w:pPr>
        <w:bidi w:val="0"/>
        <w:jc w:val="center"/>
        <w:rPr>
          <w:rFonts w:ascii="Times New Roman" w:hAnsi="Times New Roman"/>
          <w:b/>
          <w:sz w:val="24"/>
          <w:lang w:eastAsia="cs-CZ"/>
        </w:rPr>
      </w:pPr>
      <w:r w:rsidRPr="00CA5EC5">
        <w:rPr>
          <w:rFonts w:ascii="Times New Roman" w:hAnsi="Times New Roman"/>
          <w:b/>
          <w:bCs/>
          <w:sz w:val="24"/>
          <w:lang w:eastAsia="cs-CZ"/>
        </w:rPr>
        <w:t>Robert Fico</w:t>
      </w:r>
      <w:r w:rsidR="009469B2">
        <w:rPr>
          <w:rFonts w:ascii="Times New Roman" w:hAnsi="Times New Roman"/>
          <w:b/>
          <w:bCs/>
          <w:sz w:val="24"/>
          <w:lang w:eastAsia="cs-CZ"/>
        </w:rPr>
        <w:t>, v. r.</w:t>
      </w:r>
    </w:p>
    <w:p w:rsidR="00FF2C44" w:rsidRPr="00CA5EC5" w:rsidP="00FF2C44">
      <w:pPr>
        <w:widowControl w:val="0"/>
        <w:bidi w:val="0"/>
        <w:adjustRightInd w:val="0"/>
        <w:jc w:val="center"/>
        <w:rPr>
          <w:rFonts w:ascii="Times New Roman" w:hAnsi="Times New Roman"/>
          <w:sz w:val="24"/>
        </w:rPr>
      </w:pPr>
      <w:r w:rsidRPr="00CA5EC5">
        <w:rPr>
          <w:rFonts w:ascii="Times New Roman" w:hAnsi="Times New Roman"/>
          <w:sz w:val="24"/>
        </w:rPr>
        <w:t>predseda vlády Slovenskej republiky</w:t>
      </w:r>
    </w:p>
    <w:p w:rsidR="00FF2C44" w:rsidP="00FF2C44">
      <w:pPr>
        <w:widowControl w:val="0"/>
        <w:bidi w:val="0"/>
        <w:adjustRightInd w:val="0"/>
        <w:jc w:val="center"/>
        <w:rPr>
          <w:rFonts w:ascii="Times New Roman" w:hAnsi="Times New Roman"/>
          <w:sz w:val="24"/>
        </w:rPr>
      </w:pPr>
    </w:p>
    <w:p w:rsidR="00FF2C44" w:rsidP="00FF2C44">
      <w:pPr>
        <w:widowControl w:val="0"/>
        <w:bidi w:val="0"/>
        <w:adjustRightInd w:val="0"/>
        <w:jc w:val="center"/>
        <w:rPr>
          <w:rFonts w:ascii="Times New Roman" w:hAnsi="Times New Roman"/>
          <w:sz w:val="24"/>
        </w:rPr>
      </w:pPr>
    </w:p>
    <w:p w:rsidR="00FF2C44" w:rsidP="00FF2C44">
      <w:pPr>
        <w:widowControl w:val="0"/>
        <w:bidi w:val="0"/>
        <w:adjustRightInd w:val="0"/>
        <w:jc w:val="center"/>
        <w:rPr>
          <w:rFonts w:ascii="Times New Roman" w:hAnsi="Times New Roman"/>
          <w:sz w:val="24"/>
        </w:rPr>
      </w:pPr>
    </w:p>
    <w:p w:rsidR="00FF2C44" w:rsidP="00FF2C44">
      <w:pPr>
        <w:widowControl w:val="0"/>
        <w:bidi w:val="0"/>
        <w:adjustRightInd w:val="0"/>
        <w:jc w:val="center"/>
        <w:rPr>
          <w:rFonts w:ascii="Times New Roman" w:hAnsi="Times New Roman"/>
          <w:sz w:val="24"/>
        </w:rPr>
      </w:pPr>
    </w:p>
    <w:p w:rsidR="00FF2C44" w:rsidP="00FF2C44">
      <w:pPr>
        <w:widowControl w:val="0"/>
        <w:bidi w:val="0"/>
        <w:adjustRightInd w:val="0"/>
        <w:jc w:val="center"/>
        <w:rPr>
          <w:rFonts w:ascii="Times New Roman" w:hAnsi="Times New Roman"/>
          <w:sz w:val="24"/>
        </w:rPr>
      </w:pPr>
    </w:p>
    <w:p w:rsidR="00FF2C44" w:rsidRPr="00CA5EC5" w:rsidP="00FF2C44">
      <w:pPr>
        <w:widowControl w:val="0"/>
        <w:bidi w:val="0"/>
        <w:adjustRightInd w:val="0"/>
        <w:jc w:val="center"/>
        <w:rPr>
          <w:rFonts w:ascii="Times New Roman" w:hAnsi="Times New Roman"/>
          <w:sz w:val="24"/>
        </w:rPr>
      </w:pPr>
    </w:p>
    <w:p w:rsidR="00FF2C44" w:rsidRPr="00CA5EC5" w:rsidP="00FF2C44">
      <w:pPr>
        <w:widowControl w:val="0"/>
        <w:bidi w:val="0"/>
        <w:adjustRightInd w:val="0"/>
        <w:rPr>
          <w:rFonts w:ascii="Times New Roman" w:hAnsi="Times New Roman"/>
          <w:sz w:val="24"/>
        </w:rPr>
      </w:pPr>
    </w:p>
    <w:p w:rsidR="00FF2C44" w:rsidRPr="00CA5EC5" w:rsidP="00FF2C44">
      <w:pPr>
        <w:widowControl w:val="0"/>
        <w:bidi w:val="0"/>
        <w:adjustRightIn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Arpád Érsek</w:t>
      </w:r>
      <w:r w:rsidR="009469B2">
        <w:rPr>
          <w:rFonts w:ascii="Times New Roman" w:hAnsi="Times New Roman"/>
          <w:b/>
          <w:sz w:val="24"/>
        </w:rPr>
        <w:t>, v. r.</w:t>
      </w:r>
      <w:r w:rsidRPr="00CA5EC5">
        <w:rPr>
          <w:rFonts w:ascii="Times New Roman" w:hAnsi="Times New Roman"/>
          <w:b/>
          <w:sz w:val="24"/>
        </w:rPr>
        <w:t xml:space="preserve"> </w:t>
      </w:r>
    </w:p>
    <w:p w:rsidR="00FF2C44" w:rsidRPr="005510EA" w:rsidP="00FF2C44">
      <w:pPr>
        <w:widowControl w:val="0"/>
        <w:bidi w:val="0"/>
        <w:adjustRightInd w:val="0"/>
        <w:jc w:val="center"/>
        <w:rPr>
          <w:rFonts w:ascii="Times New Roman" w:hAnsi="Times New Roman"/>
          <w:sz w:val="24"/>
        </w:rPr>
      </w:pPr>
      <w:r w:rsidRPr="00CA5EC5">
        <w:rPr>
          <w:rFonts w:ascii="Times New Roman" w:hAnsi="Times New Roman"/>
          <w:sz w:val="24"/>
        </w:rPr>
        <w:t>minister dopravy</w:t>
      </w:r>
      <w:r>
        <w:rPr>
          <w:rFonts w:ascii="Times New Roman" w:hAnsi="Times New Roman"/>
          <w:sz w:val="24"/>
        </w:rPr>
        <w:t xml:space="preserve"> a </w:t>
      </w:r>
      <w:r w:rsidRPr="00CA5EC5">
        <w:rPr>
          <w:rFonts w:ascii="Times New Roman" w:hAnsi="Times New Roman"/>
          <w:sz w:val="24"/>
        </w:rPr>
        <w:t>výstavby</w:t>
      </w:r>
      <w:r>
        <w:rPr>
          <w:rFonts w:ascii="Times New Roman" w:hAnsi="Times New Roman"/>
          <w:sz w:val="24"/>
        </w:rPr>
        <w:t xml:space="preserve"> </w:t>
      </w:r>
      <w:r w:rsidRPr="00CA5EC5">
        <w:rPr>
          <w:rFonts w:ascii="Times New Roman" w:hAnsi="Times New Roman"/>
          <w:sz w:val="24"/>
        </w:rPr>
        <w:t>Slovenskej republiky</w:t>
      </w:r>
    </w:p>
    <w:p w:rsidR="00FF2C44" w:rsidP="00333E6A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sectPr w:rsidSect="00984721">
      <w:headerReference w:type="default" r:id="rId11"/>
      <w:pgSz w:w="11906" w:h="16838"/>
      <w:pgMar w:top="1178" w:right="1418" w:bottom="96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6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333E6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72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469B2">
      <w:rPr>
        <w:rFonts w:ascii="Times New Roman" w:hAnsi="Times New Roman"/>
        <w:noProof/>
      </w:rPr>
      <w:t>33</w:t>
    </w:r>
    <w:r>
      <w:rPr>
        <w:rFonts w:ascii="Times New Roman" w:hAnsi="Times New Roman"/>
      </w:rPr>
      <w:fldChar w:fldCharType="end"/>
    </w:r>
  </w:p>
  <w:p w:rsidR="00333E6A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6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333E6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6A" w:rsidP="00EB59C8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333E6A" w:rsidRPr="00EB59C8" w:rsidP="00EB59C8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6A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6A" w:rsidRPr="000A15AE" w:rsidP="000A15A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56E" w:rsidP="0090556E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EDE"/>
    <w:multiLevelType w:val="hybridMultilevel"/>
    <w:tmpl w:val="9E9084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2F4CD9"/>
    <w:multiLevelType w:val="hybridMultilevel"/>
    <w:tmpl w:val="582636E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F30082"/>
    <w:multiLevelType w:val="hybridMultilevel"/>
    <w:tmpl w:val="0B7A911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345E3703"/>
    <w:multiLevelType w:val="hybridMultilevel"/>
    <w:tmpl w:val="69B24F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5">
    <w:nsid w:val="35C879E1"/>
    <w:multiLevelType w:val="hybridMultilevel"/>
    <w:tmpl w:val="E80CA7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C973FDF"/>
    <w:multiLevelType w:val="hybridMultilevel"/>
    <w:tmpl w:val="2176085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0725D5"/>
    <w:multiLevelType w:val="hybridMultilevel"/>
    <w:tmpl w:val="1C5402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856C2"/>
    <w:multiLevelType w:val="hybridMultilevel"/>
    <w:tmpl w:val="B92692F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61B17E12"/>
    <w:multiLevelType w:val="hybridMultilevel"/>
    <w:tmpl w:val="BBA2AA9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B8462C"/>
    <w:multiLevelType w:val="hybridMultilevel"/>
    <w:tmpl w:val="DD6E67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13">
    <w:nsid w:val="7E375859"/>
    <w:multiLevelType w:val="hybridMultilevel"/>
    <w:tmpl w:val="5BBA5D6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13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6532E7"/>
    <w:rsid w:val="00004226"/>
    <w:rsid w:val="0001250E"/>
    <w:rsid w:val="000149C9"/>
    <w:rsid w:val="00033F71"/>
    <w:rsid w:val="00042C66"/>
    <w:rsid w:val="000779B9"/>
    <w:rsid w:val="000A15AE"/>
    <w:rsid w:val="000A7064"/>
    <w:rsid w:val="000A7FDC"/>
    <w:rsid w:val="000B2793"/>
    <w:rsid w:val="000C45E7"/>
    <w:rsid w:val="000D2622"/>
    <w:rsid w:val="000E163F"/>
    <w:rsid w:val="000F21BE"/>
    <w:rsid w:val="00127DAC"/>
    <w:rsid w:val="00140533"/>
    <w:rsid w:val="001411D0"/>
    <w:rsid w:val="00154881"/>
    <w:rsid w:val="00166F3A"/>
    <w:rsid w:val="00180EF9"/>
    <w:rsid w:val="001C1A7D"/>
    <w:rsid w:val="00212894"/>
    <w:rsid w:val="00215BA3"/>
    <w:rsid w:val="00215CDA"/>
    <w:rsid w:val="002203A5"/>
    <w:rsid w:val="00222431"/>
    <w:rsid w:val="00223C7D"/>
    <w:rsid w:val="002316E0"/>
    <w:rsid w:val="0024067A"/>
    <w:rsid w:val="002542E2"/>
    <w:rsid w:val="00265B5D"/>
    <w:rsid w:val="002851D0"/>
    <w:rsid w:val="002D7F51"/>
    <w:rsid w:val="002E368F"/>
    <w:rsid w:val="002E3B41"/>
    <w:rsid w:val="002F0EFF"/>
    <w:rsid w:val="00301241"/>
    <w:rsid w:val="00313813"/>
    <w:rsid w:val="00320653"/>
    <w:rsid w:val="00333E6A"/>
    <w:rsid w:val="00343E43"/>
    <w:rsid w:val="003501A1"/>
    <w:rsid w:val="003611D3"/>
    <w:rsid w:val="003727D7"/>
    <w:rsid w:val="003A2B1F"/>
    <w:rsid w:val="003B4986"/>
    <w:rsid w:val="003C3251"/>
    <w:rsid w:val="003D7E69"/>
    <w:rsid w:val="003F7525"/>
    <w:rsid w:val="00400598"/>
    <w:rsid w:val="00416872"/>
    <w:rsid w:val="00432293"/>
    <w:rsid w:val="00434175"/>
    <w:rsid w:val="00435B44"/>
    <w:rsid w:val="004819DE"/>
    <w:rsid w:val="004934D8"/>
    <w:rsid w:val="004A00EA"/>
    <w:rsid w:val="004C60B8"/>
    <w:rsid w:val="004D27A9"/>
    <w:rsid w:val="00541BE9"/>
    <w:rsid w:val="005510EA"/>
    <w:rsid w:val="00584F7E"/>
    <w:rsid w:val="005B11E1"/>
    <w:rsid w:val="005C4506"/>
    <w:rsid w:val="005C4B9C"/>
    <w:rsid w:val="005E6441"/>
    <w:rsid w:val="0060245A"/>
    <w:rsid w:val="00633B6E"/>
    <w:rsid w:val="006532E7"/>
    <w:rsid w:val="00653ADA"/>
    <w:rsid w:val="00667E9A"/>
    <w:rsid w:val="00671BDE"/>
    <w:rsid w:val="00687BE9"/>
    <w:rsid w:val="00693702"/>
    <w:rsid w:val="006A0DC4"/>
    <w:rsid w:val="006A6221"/>
    <w:rsid w:val="006B146E"/>
    <w:rsid w:val="006B155A"/>
    <w:rsid w:val="006B23AC"/>
    <w:rsid w:val="006B2A16"/>
    <w:rsid w:val="006B43AF"/>
    <w:rsid w:val="006C648F"/>
    <w:rsid w:val="006E2C2C"/>
    <w:rsid w:val="006E4C72"/>
    <w:rsid w:val="007539CA"/>
    <w:rsid w:val="00761780"/>
    <w:rsid w:val="00797ADA"/>
    <w:rsid w:val="007A00B7"/>
    <w:rsid w:val="007A6B09"/>
    <w:rsid w:val="007C7898"/>
    <w:rsid w:val="007D5748"/>
    <w:rsid w:val="007E2F93"/>
    <w:rsid w:val="007E5250"/>
    <w:rsid w:val="007E535F"/>
    <w:rsid w:val="00820B1F"/>
    <w:rsid w:val="008422D3"/>
    <w:rsid w:val="008926CB"/>
    <w:rsid w:val="008A1252"/>
    <w:rsid w:val="008D339D"/>
    <w:rsid w:val="008D628B"/>
    <w:rsid w:val="0090556E"/>
    <w:rsid w:val="00923D89"/>
    <w:rsid w:val="00931078"/>
    <w:rsid w:val="00932BCF"/>
    <w:rsid w:val="00941047"/>
    <w:rsid w:val="009469B2"/>
    <w:rsid w:val="0095420F"/>
    <w:rsid w:val="00957139"/>
    <w:rsid w:val="00964DDF"/>
    <w:rsid w:val="00984721"/>
    <w:rsid w:val="00996E30"/>
    <w:rsid w:val="009A6C3C"/>
    <w:rsid w:val="009B077C"/>
    <w:rsid w:val="009F2279"/>
    <w:rsid w:val="00A179AE"/>
    <w:rsid w:val="00A2233F"/>
    <w:rsid w:val="00A33B7C"/>
    <w:rsid w:val="00A402CE"/>
    <w:rsid w:val="00A601E6"/>
    <w:rsid w:val="00A87C2B"/>
    <w:rsid w:val="00A954AC"/>
    <w:rsid w:val="00AB307C"/>
    <w:rsid w:val="00AB7650"/>
    <w:rsid w:val="00AC3390"/>
    <w:rsid w:val="00AD1E63"/>
    <w:rsid w:val="00AD30F4"/>
    <w:rsid w:val="00AE17DD"/>
    <w:rsid w:val="00AE28B6"/>
    <w:rsid w:val="00AE7570"/>
    <w:rsid w:val="00AF2E62"/>
    <w:rsid w:val="00B007AE"/>
    <w:rsid w:val="00B02B66"/>
    <w:rsid w:val="00B1031A"/>
    <w:rsid w:val="00B1784E"/>
    <w:rsid w:val="00B40261"/>
    <w:rsid w:val="00B7228E"/>
    <w:rsid w:val="00BB606B"/>
    <w:rsid w:val="00BD6235"/>
    <w:rsid w:val="00BD757D"/>
    <w:rsid w:val="00BF3078"/>
    <w:rsid w:val="00C10F27"/>
    <w:rsid w:val="00C162BA"/>
    <w:rsid w:val="00C165A5"/>
    <w:rsid w:val="00C35919"/>
    <w:rsid w:val="00C57AF8"/>
    <w:rsid w:val="00C70131"/>
    <w:rsid w:val="00C979B7"/>
    <w:rsid w:val="00CA2C8E"/>
    <w:rsid w:val="00CA5EC5"/>
    <w:rsid w:val="00CB3B13"/>
    <w:rsid w:val="00CB4CF9"/>
    <w:rsid w:val="00CC25AB"/>
    <w:rsid w:val="00CC26E9"/>
    <w:rsid w:val="00CF7BE0"/>
    <w:rsid w:val="00D03D99"/>
    <w:rsid w:val="00D061D2"/>
    <w:rsid w:val="00D214CA"/>
    <w:rsid w:val="00D27A34"/>
    <w:rsid w:val="00D3615C"/>
    <w:rsid w:val="00D568A4"/>
    <w:rsid w:val="00D734CF"/>
    <w:rsid w:val="00D80760"/>
    <w:rsid w:val="00DA1793"/>
    <w:rsid w:val="00DA5C32"/>
    <w:rsid w:val="00DC6116"/>
    <w:rsid w:val="00E12BB4"/>
    <w:rsid w:val="00E41A6D"/>
    <w:rsid w:val="00E43AA2"/>
    <w:rsid w:val="00E57105"/>
    <w:rsid w:val="00E57B5B"/>
    <w:rsid w:val="00E723FE"/>
    <w:rsid w:val="00E81F1F"/>
    <w:rsid w:val="00EB0258"/>
    <w:rsid w:val="00EB59C8"/>
    <w:rsid w:val="00EC6777"/>
    <w:rsid w:val="00F04CCD"/>
    <w:rsid w:val="00F161CB"/>
    <w:rsid w:val="00F36EF9"/>
    <w:rsid w:val="00FA4BDE"/>
    <w:rsid w:val="00FA54F0"/>
    <w:rsid w:val="00FC0240"/>
    <w:rsid w:val="00FD7704"/>
    <w:rsid w:val="00FE201D"/>
    <w:rsid w:val="00FE36A0"/>
    <w:rsid w:val="00FE501D"/>
    <w:rsid w:val="00FF2C44"/>
    <w:rsid w:val="00FF7B2F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32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532E7"/>
    <w:pPr>
      <w:keepNext/>
      <w:jc w:val="left"/>
      <w:outlineLvl w:val="0"/>
    </w:pPr>
    <w:rPr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532E7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table" w:styleId="TableGrid">
    <w:name w:val="Table Grid"/>
    <w:basedOn w:val="TableNormal"/>
    <w:uiPriority w:val="99"/>
    <w:rsid w:val="006532E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532E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532E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532E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32E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32E7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Style17">
    <w:name w:val="Style17"/>
    <w:basedOn w:val="Normal"/>
    <w:rsid w:val="00C10F27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9B077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077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Normaltext">
    <w:name w:val="Normal text"/>
    <w:link w:val="NormaltextChar"/>
    <w:rsid w:val="00333E6A"/>
    <w:pPr>
      <w:framePr w:wrap="auto"/>
      <w:widowControl/>
      <w:autoSpaceDE/>
      <w:autoSpaceDN/>
      <w:adjustRightInd/>
      <w:spacing w:before="120" w:after="120"/>
      <w:ind w:left="0" w:right="0"/>
      <w:jc w:val="both"/>
      <w:textAlignment w:val="auto"/>
    </w:pPr>
    <w:rPr>
      <w:rFonts w:ascii="Arial" w:hAnsi="Arial" w:cs="Times New Roman"/>
      <w:sz w:val="20"/>
      <w:szCs w:val="22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rsid w:val="00333E6A"/>
    <w:pPr>
      <w:spacing w:before="120"/>
      <w:jc w:val="left"/>
    </w:pPr>
    <w:rPr>
      <w:sz w:val="24"/>
      <w:szCs w:val="24"/>
      <w:lang w:eastAsia="en-US"/>
    </w:rPr>
  </w:style>
  <w:style w:type="paragraph" w:styleId="Title">
    <w:name w:val="Title"/>
    <w:basedOn w:val="Normal"/>
    <w:link w:val="NzovChar"/>
    <w:uiPriority w:val="10"/>
    <w:qFormat/>
    <w:rsid w:val="00333E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basedOn w:val="DefaultParagraphFont"/>
    <w:link w:val="Title"/>
    <w:uiPriority w:val="10"/>
    <w:locked/>
    <w:rsid w:val="00333E6A"/>
    <w:rPr>
      <w:rFonts w:ascii="Arial" w:hAnsi="Arial" w:cs="Arial"/>
      <w:b/>
      <w:bCs/>
      <w:kern w:val="28"/>
      <w:sz w:val="32"/>
      <w:szCs w:val="32"/>
      <w:rtl w:val="0"/>
      <w:cs w:val="0"/>
    </w:rPr>
  </w:style>
  <w:style w:type="character" w:customStyle="1" w:styleId="NormaltextChar">
    <w:name w:val="Normal text Char"/>
    <w:link w:val="Normaltext"/>
    <w:locked/>
    <w:rsid w:val="00333E6A"/>
    <w:rPr>
      <w:rFonts w:ascii="Arial" w:hAnsi="Arial" w:cs="Arial"/>
      <w:sz w:val="20"/>
    </w:rPr>
  </w:style>
  <w:style w:type="paragraph" w:customStyle="1" w:styleId="Style10">
    <w:name w:val="Style10"/>
    <w:basedOn w:val="Normal"/>
    <w:rsid w:val="00333E6A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paragraph" w:customStyle="1" w:styleId="Odsektext">
    <w:name w:val="Odsek text"/>
    <w:basedOn w:val="Normal"/>
    <w:autoRedefine/>
    <w:uiPriority w:val="99"/>
    <w:rsid w:val="00333E6A"/>
    <w:pPr>
      <w:autoSpaceDE w:val="0"/>
      <w:autoSpaceDN w:val="0"/>
      <w:spacing w:before="120"/>
      <w:jc w:val="both"/>
    </w:pPr>
    <w:rPr>
      <w:color w:val="000000"/>
      <w:sz w:val="24"/>
      <w:szCs w:val="24"/>
      <w:lang w:eastAsia="cs-CZ"/>
    </w:rPr>
  </w:style>
  <w:style w:type="character" w:styleId="PageNumber">
    <w:name w:val="page number"/>
    <w:basedOn w:val="DefaultParagraphFont"/>
    <w:uiPriority w:val="99"/>
    <w:rsid w:val="00333E6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2260-78AC-44B5-9949-0D9876A4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33</Pages>
  <Words>11400</Words>
  <Characters>64984</Characters>
  <Application>Microsoft Office Word</Application>
  <DocSecurity>0</DocSecurity>
  <Lines>0</Lines>
  <Paragraphs>0</Paragraphs>
  <ScaleCrop>false</ScaleCrop>
  <Company/>
  <LinksUpToDate>false</LinksUpToDate>
  <CharactersWithSpaces>76232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Smitka, Anton</dc:creator>
  <cp:lastModifiedBy>Smitka, Anton</cp:lastModifiedBy>
  <cp:revision>3</cp:revision>
  <cp:lastPrinted>2017-09-18T10:02:00Z</cp:lastPrinted>
  <dcterms:created xsi:type="dcterms:W3CDTF">2017-09-18T10:06:00Z</dcterms:created>
  <dcterms:modified xsi:type="dcterms:W3CDTF">2017-09-18T10:07:00Z</dcterms:modified>
</cp:coreProperties>
</file>