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2D072D">
        <w:t>3</w:t>
      </w:r>
      <w:r w:rsidR="00652CCE">
        <w:t>3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35458F">
        <w:t>1158</w:t>
      </w:r>
      <w:r w:rsidRPr="00053FB9" w:rsidR="003371B9">
        <w:t>/</w:t>
      </w:r>
      <w:r w:rsidR="00053FB9">
        <w:t>201</w:t>
      </w:r>
      <w:r w:rsidR="002D072D">
        <w:t>7</w:t>
      </w:r>
    </w:p>
    <w:p w:rsidR="0004001B" w:rsidP="00067F0B">
      <w:pPr>
        <w:ind w:left="3540" w:firstLine="708"/>
        <w:rPr>
          <w:b/>
        </w:rPr>
      </w:pPr>
    </w:p>
    <w:p w:rsidR="00652CCE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  <w:r w:rsidR="00AB3B1E">
        <w:rPr>
          <w:b/>
        </w:rPr>
        <w:t>176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</w:t>
      </w:r>
      <w:r>
        <w:rPr>
          <w:b/>
        </w:rPr>
        <w:t xml:space="preserve">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652CCE">
        <w:rPr>
          <w:b/>
        </w:rPr>
        <w:t>o</w:t>
      </w:r>
      <w:r w:rsidR="00272FA8">
        <w:rPr>
          <w:b/>
        </w:rPr>
        <w:t xml:space="preserve"> </w:t>
      </w:r>
      <w:r w:rsidR="00652CCE">
        <w:rPr>
          <w:b/>
        </w:rPr>
        <w:t>4</w:t>
      </w:r>
      <w:r w:rsidR="00C72FBD">
        <w:rPr>
          <w:b/>
        </w:rPr>
        <w:t xml:space="preserve">. </w:t>
      </w:r>
      <w:r w:rsidR="00652CCE">
        <w:rPr>
          <w:b/>
        </w:rPr>
        <w:t>septembra</w:t>
      </w:r>
      <w:r w:rsidR="00830899">
        <w:rPr>
          <w:b/>
        </w:rPr>
        <w:t xml:space="preserve"> 201</w:t>
      </w:r>
      <w:r w:rsidR="002D072D">
        <w:rPr>
          <w:b/>
        </w:rPr>
        <w:t>7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B804D8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B804D8" w:rsidR="00B804D8">
        <w:t xml:space="preserve"> </w:t>
      </w:r>
      <w:r w:rsidR="00B804D8">
        <w:t>v</w:t>
      </w:r>
      <w:r w:rsidRPr="00B804D8" w:rsidR="00B804D8">
        <w:t xml:space="preserve">ládny návrh zákona o verejnej výskumnej inštitúcii a o zmene a doplnení niektorých zákonov (tlač 569)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B804D8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B804D8">
        <w:t>v</w:t>
      </w:r>
      <w:r w:rsidRPr="00B804D8" w:rsidR="00B804D8">
        <w:t>ládny</w:t>
      </w:r>
      <w:r w:rsidR="00B804D8">
        <w:t>m</w:t>
      </w:r>
      <w:r w:rsidRPr="00B804D8" w:rsidR="00B804D8">
        <w:t xml:space="preserve"> návrh</w:t>
      </w:r>
      <w:r w:rsidR="00B804D8">
        <w:t>om</w:t>
      </w:r>
      <w:r w:rsidRPr="00B804D8" w:rsidR="00B804D8">
        <w:t xml:space="preserve"> zákona o ver</w:t>
      </w:r>
      <w:r w:rsidRPr="00B804D8" w:rsidR="00B804D8">
        <w:t>ejnej výskumnej inštitúcii a o zmene a doplnení niektorých zákonov (tlač 569)</w:t>
      </w:r>
      <w:r w:rsidR="000A416B">
        <w:t>;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B804D8" w:rsidR="00B804D8">
        <w:rPr>
          <w:b w:val="0"/>
        </w:rPr>
        <w:t>vládny návrh zákona o verejnej výskumnej inštitúcii a o zmene a doplnení niektorých zákonov (tlač 569)</w:t>
      </w:r>
      <w:r w:rsidRPr="00B804D8" w:rsidR="00B804D8">
        <w:t xml:space="preserve"> </w:t>
      </w:r>
      <w:r w:rsidRPr="00AB3B1E" w:rsidR="004E2F99">
        <w:t>schváliť s pozmeňujúcimi a doplňujúcimi návrhmi tak, ako sú uvedené v prílohe tohto uznesenia;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0A416B">
        <w:rPr>
          <w:lang w:val="sk-SK"/>
        </w:rPr>
        <w:t>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B804D8">
        <w:rPr>
          <w:lang w:val="sk-SK"/>
        </w:rPr>
        <w:t>vzdel</w:t>
      </w:r>
      <w:r w:rsidR="000A416B">
        <w:rPr>
          <w:lang w:val="sk-SK"/>
        </w:rPr>
        <w:t>áv</w:t>
      </w:r>
      <w:r w:rsidR="00B804D8">
        <w:rPr>
          <w:lang w:val="sk-SK"/>
        </w:rPr>
        <w:t>anie, vedu, mládež a šport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</w:t>
      </w:r>
      <w:r>
        <w:rPr>
          <w:lang w:val="sk-SK"/>
        </w:rPr>
        <w:t>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7D7D61"/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 17</w:t>
      </w:r>
      <w:r>
        <w:rPr>
          <w:b/>
          <w:bCs w:val="0"/>
        </w:rPr>
        <w:t>6</w:t>
      </w:r>
    </w:p>
    <w:p w:rsidR="00AB3B1E" w:rsidRPr="00993B10" w:rsidP="00AB3B1E">
      <w:pPr>
        <w:jc w:val="right"/>
        <w:rPr>
          <w:bCs w:val="0"/>
        </w:rPr>
      </w:pPr>
      <w:r w:rsidRPr="00993B10">
        <w:t>3</w:t>
      </w:r>
      <w:r>
        <w:t>3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Pozmeňujúce a doplňujúce návrhy</w:t>
      </w:r>
    </w:p>
    <w:p w:rsidR="00AB3B1E" w:rsidRPr="00993B10" w:rsidP="00AB3B1E">
      <w:pPr>
        <w:keepNext/>
        <w:ind w:left="360"/>
        <w:jc w:val="center"/>
        <w:outlineLvl w:val="0"/>
        <w:rPr>
          <w:b/>
        </w:rPr>
      </w:pPr>
      <w:r w:rsidRPr="00993B10">
        <w:rPr>
          <w:b/>
        </w:rPr>
        <w:t>k </w:t>
      </w:r>
      <w:r>
        <w:rPr>
          <w:b/>
        </w:rPr>
        <w:t>vládnemu</w:t>
      </w:r>
      <w:r w:rsidRPr="00B804D8">
        <w:rPr>
          <w:b/>
        </w:rPr>
        <w:t xml:space="preserve"> návrh</w:t>
      </w:r>
      <w:r>
        <w:rPr>
          <w:b/>
        </w:rPr>
        <w:t>u</w:t>
      </w:r>
      <w:r w:rsidRPr="00B804D8">
        <w:rPr>
          <w:b/>
        </w:rPr>
        <w:t xml:space="preserve"> zákona o verejnej výskumnej inštitúcii a o zmene a doplnení niektorých zákonov (tlač 569)</w:t>
      </w:r>
    </w:p>
    <w:p w:rsidR="00AB3B1E" w:rsidRPr="00993B10" w:rsidP="00AB3B1E">
      <w:pPr>
        <w:rPr>
          <w:b/>
        </w:rPr>
      </w:pPr>
      <w:r w:rsidRPr="00993B10">
        <w:rPr>
          <w:b/>
        </w:rPr>
        <w:t>–––––––––––––––––––––––––––––––––––––––––––</w:t>
      </w:r>
      <w:r w:rsidRPr="00993B10">
        <w:rPr>
          <w:b/>
        </w:rPr>
        <w:t xml:space="preserve">––––––––––––––––––––––––––––––––  </w:t>
      </w:r>
    </w:p>
    <w:p w:rsidR="00AB3B1E" w:rsidRPr="00AB3B1E" w:rsidP="00AB3B1E">
      <w:pPr>
        <w:rPr>
          <w:b/>
          <w:bCs w:val="0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12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12 ods. 2 písm. b) sa za slovo „existujúcu“ vkladá slovo „verejnú“.</w:t>
      </w:r>
    </w:p>
    <w:p w:rsidR="00AB3B1E" w:rsidRPr="00AB3B1E" w:rsidP="00AB3B1E">
      <w:pPr>
        <w:jc w:val="both"/>
      </w:pPr>
    </w:p>
    <w:p w:rsidR="00AB3B1E" w:rsidRPr="00AB3B1E" w:rsidP="00AB3B1E">
      <w:pPr>
        <w:ind w:left="4253"/>
        <w:jc w:val="both"/>
      </w:pPr>
      <w:r w:rsidRPr="00AB3B1E">
        <w:t>Dopĺňa sa chýbajúce slovo v spojení „verejná výskumná inštitúcia“.</w:t>
      </w:r>
    </w:p>
    <w:p w:rsidR="00AB3B1E" w:rsidRPr="00AB3B1E" w:rsidP="00AB3B1E">
      <w:pPr>
        <w:ind w:left="4253"/>
        <w:jc w:val="both"/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16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16 ods. 2 písm. c) sa slovo „audítorom“ nahrádza slovami „štatutárnym audítorom“.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Zjednocuje sa terminológia používaná v rámci návrhu zákona so zákonom č. 423/2015 Z. z. o štatutárnom audite a o zmene a doplnení zákona č. 431/2002 Z. z. o účtovníctve v znení neskorších predpisov.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19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19 ods. 1 písm. c) sa za slová „všeobecne záväzných“ vkladá slovo „právnych“.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Dopĺňa sa chýbajúce slovo.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21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21 ods. 3 sa slová „funkcie riaditeľa alebo funkcie“ nahrádzajú slovami „miesta riaditeľa alebo miesta“.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Zjednot</w:t>
      </w:r>
      <w:r w:rsidRPr="00AB3B1E">
        <w:rPr>
          <w:rFonts w:ascii="Times New Roman" w:hAnsi="Times New Roman"/>
          <w:sz w:val="24"/>
          <w:szCs w:val="24"/>
        </w:rPr>
        <w:t>enie terminológie v rámci príslušných ustanovení návrhu zákona (§ 22).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22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22 ods. 2 sa slovo „funkcie“ nahrádza slovom „miesta“ a slovo „funkciu“ sa nahrádza slovami „obsadenie miesta“.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Zjednotenie terminológie v rámci príslušných ust</w:t>
      </w:r>
      <w:r w:rsidRPr="00AB3B1E">
        <w:rPr>
          <w:rFonts w:ascii="Times New Roman" w:hAnsi="Times New Roman"/>
          <w:sz w:val="24"/>
          <w:szCs w:val="24"/>
        </w:rPr>
        <w:t>anovení návrhu zákona.</w:t>
      </w:r>
    </w:p>
    <w:p w:rsid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22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22 ods. 3 úvodnej vete sa slová „o výberovom konaní na obsadenie funkcie riaditeľa alebo funkcie vedúceho organizačnej zložky“ nahrádzajú slovami „podľa odseku 2“.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Úprava formulácie ustanovenia. Oznámenie</w:t>
      </w:r>
      <w:r w:rsidRPr="00AB3B1E">
        <w:rPr>
          <w:rFonts w:ascii="Times New Roman" w:hAnsi="Times New Roman"/>
          <w:sz w:val="24"/>
          <w:szCs w:val="24"/>
        </w:rPr>
        <w:t xml:space="preserve"> sa identifikuje prostredníctvom vnútorného odkazu.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 § 22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22 ods. 4 sa slovo „funkcie“ nahrádza slovom „miesta“.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Zjednotenie terminológie v rámci príslušných ustanovení návrhu zákona.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23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 § 23 ods. 4 písm. d) sa slová „vedeckej rady alebo dozornej rady“ nahrádzajú slovami „predseda vedeckej rady alebo predseda dozornej rady“.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Legislatívno-technická pripomienka. Zosúladenie s čl. 4 ods. 3 Legislatívnych pravidiel tvorby zákonov.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23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23 ods. 8 písm. c) sa slovo „vyhlásenie“ nahrádza slovom „oznámenie“.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Zjednocuje sa terminológia návrhu zákona, keďže v ďalšom texte sa v súvislosti so vzdaním sa funkcie používa pojem „oznámenie“.</w:t>
      </w:r>
    </w:p>
    <w:p w:rsidR="00AB3B1E" w:rsidRPr="00AB3B1E" w:rsidP="00AB3B1E">
      <w:pPr>
        <w:pStyle w:val="ListParagraph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24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24 ods. 14 sa za slová „osobitného predpisu</w:t>
      </w:r>
      <w:r w:rsidRPr="00AB3B1E">
        <w:rPr>
          <w:rFonts w:ascii="Times New Roman" w:hAnsi="Times New Roman"/>
          <w:sz w:val="24"/>
          <w:szCs w:val="24"/>
          <w:vertAlign w:val="superscript"/>
        </w:rPr>
        <w:t>10</w:t>
      </w:r>
      <w:r w:rsidRPr="00AB3B1E">
        <w:rPr>
          <w:rFonts w:ascii="Times New Roman" w:hAnsi="Times New Roman"/>
          <w:sz w:val="24"/>
          <w:szCs w:val="24"/>
        </w:rPr>
        <w:t>)“ vk</w:t>
      </w:r>
      <w:r w:rsidRPr="00AB3B1E">
        <w:rPr>
          <w:rFonts w:ascii="Times New Roman" w:hAnsi="Times New Roman"/>
          <w:sz w:val="24"/>
          <w:szCs w:val="24"/>
        </w:rPr>
        <w:t>ladajú slová „verejnej výskumnej inštitúcie“.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Formulácia ustanovenia sa dopĺňa o identifikáciu subjektu, v ktorom sa vykonáva kontrola hospodárenia.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27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27 ods. 2 písm. b) a ods. 4 písm. f) sa slovo „audítora“ nahrádza slovami „štatutárneho audítora“.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Zjednocuje sa terminológia používaná v rámci návrhu zákona so zákonom č. 423/2015 Z. z. o štatutárnom audite a o zmene a doplnení zákona č. 431/2002 Z. z. o účtovníctve v znení neskorších predpisov.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32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32 ods. 3 písm. b) sa slová „štatutárneho, výkonného“ nahrádzajú slovami „štatutárneho orgánu, výkonného orgánu“.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Legislatívno-technická pripomienka. Zosúladenie s čl. 4 ods. 3 Legislatívnych pravidiel tvorby zákonov.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33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33 ods. 5 úvodnej vete sa slová „v sume“ nahrádzajú slovami „vo výške“.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Upravuje sa znenie úvodnej vety a zároveň sa zosúlaďuje s terminológiou používanou v právnom poriadku.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33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33 ods. 5 písm. a) sa vypúšťajú slová „vo výške rovnajúcej sa dohodnutej kúpnej cene</w:t>
      </w:r>
      <w:r w:rsidRPr="00AB3B1E">
        <w:rPr>
          <w:rFonts w:ascii="Times New Roman" w:hAnsi="Times New Roman"/>
          <w:sz w:val="24"/>
          <w:szCs w:val="24"/>
        </w:rPr>
        <w:t>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Odstraňuje sa duplicita, keďže podmienka, aby notárska úschova peňazí bola zriadená v sume kúpnej ceny, je obsiahnutá už v úvodnej časti vety.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 § 35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35 ods. 1 písm. e) sa slová „uzatvoriť nájomnú zmluvu alebo zmluvu o výpožičke alebo meniť ju, ak“ nahrádzajú slovami „uzatvoriť alebo meniť nájomnú zmluvu alebo zmluvu o výpožičke, ak“.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Formulácia úvodnej vety sa upravuje tak, aby bolo zrejmé, že predchádzajúci písomný súhlas dozornej rady a zakladateľa sa vyžaduje aj na zmenu nájomnej zmluvy.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35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35 ods. 1 písm. e) druhom bode a ods. 3 písm. d) druhom bode sa slovo „prenájmu“ nahrádza slovom „nájmu“.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Terminológia návrhu zákona sa zosúlaďuje s terminológiou Občianskeho zákonníka, v ktorom sa používa spojenie „doba nájmu“.</w:t>
      </w:r>
    </w:p>
    <w:p w:rsidR="00AB3B1E" w:rsidRPr="00AB3B1E" w:rsidP="00AB3B1E">
      <w:pPr>
        <w:pStyle w:val="ListParagraph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35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35 ods. 3 písm. b) treťom bode sa slová „ďalšími spoločníkmi alebo členmi tejto právnickej osoby sú zamestnanci verejnej výskumnej inštitúcie“ nahrádzajú slovami „ďalším spoločníkom alebo členom tejto právnickej osoby je zamest</w:t>
      </w:r>
      <w:r w:rsidRPr="00AB3B1E">
        <w:rPr>
          <w:rFonts w:ascii="Times New Roman" w:hAnsi="Times New Roman"/>
          <w:sz w:val="24"/>
          <w:szCs w:val="24"/>
        </w:rPr>
        <w:t>nanec verejnej výskumnej inštitúcie“ a za slová „§ 34 ods. 3“ sa vkladajú slová „písm. b)“.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Formulácia ustanovenia sa upravuje tak, aby jednoznačne zahŕňala aj prípad, keď právnická osoba bude mať iba jedného ďalšieho spoločníka alebo člena, ktorý je zame</w:t>
      </w:r>
      <w:r w:rsidRPr="00AB3B1E">
        <w:rPr>
          <w:rFonts w:ascii="Times New Roman" w:hAnsi="Times New Roman"/>
          <w:sz w:val="24"/>
          <w:szCs w:val="24"/>
        </w:rPr>
        <w:t>stnancom verejnej výskumnej inštitúcie. Súčasne sa spresňuje vnútorný odkaz tak, aby duplicitne nezahŕňal aj situáciu uvedenú v § 34 ods. 3 písm. a), keďže táto už je uvedená priamo v § 35 ods. 3 písm. b) treťom bode.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36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 § 36 ods. 18 sa slová „podľa tohto paragrafu“ nahrádzajú slovami „v tomto paragrafe“.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Úprava formulácie ustanovenia. Možnosti nakladania s koncesným majetkom sú ustanovené priamo v § 36.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38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38 ods.  1 písm. a) a b) sa slovo „funkciu“ nahrádza slovami „obsadenie miesta“.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Zjednotenie terminológie v rámci príslušných ustanovení návrhu zákona.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39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39 ods. 2 písm. f) sa slovo „pôsobností“ nahrádza slovom „oprávnení“ a za slová „zložky voči tretím osobám“ sa vkladajú slová „(§ 20 ods. 5)“.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Terminologická úprava. Pôsobnosť vymedzuje okruh pôsobenia, v tomto prípade však ide o rozsah oprávnení vedúceho organizačnej zložky konať v mene verejnej výskumnej inštitúcie voči tretím osobám. Zároveň sa v záujme jednoznačnej interpretácie tohto ustanovenia dopĺňa odkaz na ustanovenie upravujúce vymedzenie rozsahu týchto oprávnení.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41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41 ods. 8 písm. c) sa za slovo „návrhu“ vkladajú slová „na zápis“.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Dopĺňajú sa chýbajúce slová vzhľadom na legislatívnu skratku „návrh na zápis“ zavedenú v § 41 ods. 2.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 § 43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 § 43 ods. 4 sa slová „ods. 6“ nahrádzajú slovami „ods. 7“.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Oprava nesprávneho vnútorného odkazu. Požiadavka stanovovania hodnoty majetku znaleckým posudkom je upravená v § 35 ods. 7.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II bodom 38 a 39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II sa novelizačný bod 38 označuje ako bod 39 a novelizačný bod 39 sa označuje ako bod 38.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Legislatívno-technická pripomienka. Mení sa poradie novelizačných bodov vzhľadom na postupnosť zmien v § 12 v týchto novelizačných bodoch.</w:t>
      </w:r>
    </w:p>
    <w:p w:rsidR="00AB3B1E" w:rsidRPr="00AB3B1E" w:rsidP="00AB3B1E">
      <w:pPr>
        <w:pStyle w:val="ListParagraph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II bod 39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II bod 39 znie: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„39. V § 12 ods. 13 sa nad slovom „predpisu“ odkaz „</w:t>
      </w:r>
      <w:r w:rsidRPr="00AB3B1E">
        <w:rPr>
          <w:rFonts w:ascii="Times New Roman" w:hAnsi="Times New Roman"/>
          <w:sz w:val="24"/>
          <w:szCs w:val="24"/>
          <w:vertAlign w:val="superscript"/>
        </w:rPr>
        <w:t>14</w:t>
      </w:r>
      <w:r w:rsidRPr="00AB3B1E">
        <w:rPr>
          <w:rFonts w:ascii="Times New Roman" w:hAnsi="Times New Roman"/>
          <w:sz w:val="24"/>
          <w:szCs w:val="24"/>
        </w:rPr>
        <w:t>)“ nahrádza odkazom „</w:t>
      </w:r>
      <w:r w:rsidRPr="00AB3B1E">
        <w:rPr>
          <w:rFonts w:ascii="Times New Roman" w:hAnsi="Times New Roman"/>
          <w:sz w:val="24"/>
          <w:szCs w:val="24"/>
          <w:vertAlign w:val="superscript"/>
        </w:rPr>
        <w:t>9</w:t>
      </w:r>
      <w:r w:rsidRPr="00AB3B1E">
        <w:rPr>
          <w:rFonts w:ascii="Times New Roman" w:hAnsi="Times New Roman"/>
          <w:sz w:val="24"/>
          <w:szCs w:val="24"/>
        </w:rPr>
        <w:t>)“.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Poznámka pod čiarou k odkazu 14 sa vypúšťa.“.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Legislatívno-technická pripomienka. Navrhované znenie poznámky pod čiarou k odkazu 14 je totožné s navrhovaným znením poznámky pod čiarou k odkazu 9 (čl. II bod 7 návrhu zákona), preto sa odkaz 14 nahrádza odkazom 9 a poznámka pod čiarou k odkazu 14 sa vypúšťa.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II bod 42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II bode 42 sa vypúšťa táto veta: „Doterajšia štvrtá časť sa označuje ako tretia časť.“.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Legislatívno-technická pripomienka. V súlade so zaužívanou legislatívnou praxou pri vypustení časti zákona sa nevykonáva prečíslovanie zostávajúcich častí.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II bod 43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II bode 43 v § 21a sa v celom texte slová „Slovenská akadémia vied“ vo všetkých tvaroch nahrádzajú slovom „akadémia“ v príslušnom tvare a slová „organizácia Slovenskej akadémie vied“ vo všetkých tvaroch sa nahrádzajú slovom „organizácia“ v príslušnom tvare.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Vzhľadom na legislatívnu skratku „akadémia“ zavedenú v § 1 ods. 1 zákona č. 133/2002 Z. z. a legislatívnu skratku „organizácia“ zavedenú v § 2 uvedeného zákona, je potrebné tieto legislatívne skratky dodržiavať v celom texte zákona.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II bod 43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II bode 43 v § 21a ods. 13 a ods. 14 sa na konci úvodnej vety pripája čiarka.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Dopĺňa sa chýbajúca čiarka na konci úvodných viet uvedených ustanovení.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II bod 43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II bode 43 v § 21a ods. 14 písm. a) sa za slovo „ktorá“ vkladajú slová „k 30. júnu 2018“.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Obdobne ako je to v čl. II bode 43 § 21a ods. 13 písm. a) sa jednoznačne uvádza, že ide o osobu, ktorá danú funkciu vykonáva ku dňu, ktorý predchádza dňu transformácie.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II bod 43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II bode 43 v § 21a ods. 15 sa slová „10 až 14“ nahrádzajú slovami „11 až 14“.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Oprava nesprávneho vnútorného odkazu. V § 21a ods. 10 nie je upravené pôsobenie osôb vo funkciách, resp. členstvo v orgánoch verejnej výskumnej inštitúcie.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II bod 43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II bode 43 v § 21a sa odkazy 17a až 17h označujú ako odkazy 23 až 30.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nadväznosti na to sa primerane upraví označenie poznámok pod čiarou a úvodná veta k poznámkam pod čiarou.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Legislatívno-technická úprava. Vzhľadom na skutočnosť, že čl. II bod 42, ktorým sa vypúšťa tretia časť zákona vrátane poznámok pod čiarou k odkazom 17 až 22, nadobudne v zmysle čl. XVI účinnosť až 1. júla 2018 a čl. II bod 43 už 1. januára 2018, je potrebné z dôvodu chronológie číslovania odkazov prečíslovať odkazy v čl. II bode 43 v § 21a tak, aby nadväzovali na doterajšie číslovanie odkazov.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IV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IV v § 1 ods. 2 písm. b) sa slovo „zákona“ nahrádza slovom „predpisu“.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Legislatívno-technická úprava. Zosúladenie s bodom 18 prílohy č. 2 k Legislatívnym pravidlám tvorby zákonov.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V bod 1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V bode 1 v § 1 ods. 1 písm. i) sa nad slovom „inštitúcie“ odkaz „</w:t>
      </w:r>
      <w:r w:rsidRPr="00AB3B1E">
        <w:rPr>
          <w:rFonts w:ascii="Times New Roman" w:hAnsi="Times New Roman"/>
          <w:sz w:val="24"/>
          <w:szCs w:val="24"/>
          <w:vertAlign w:val="superscript"/>
        </w:rPr>
        <w:t>4a</w:t>
      </w:r>
      <w:r w:rsidRPr="00AB3B1E">
        <w:rPr>
          <w:rFonts w:ascii="Times New Roman" w:hAnsi="Times New Roman"/>
          <w:sz w:val="24"/>
          <w:szCs w:val="24"/>
        </w:rPr>
        <w:t>)“ označuje ako odkaz „</w:t>
      </w:r>
      <w:r w:rsidRPr="00AB3B1E">
        <w:rPr>
          <w:rFonts w:ascii="Times New Roman" w:hAnsi="Times New Roman"/>
          <w:sz w:val="24"/>
          <w:szCs w:val="24"/>
          <w:vertAlign w:val="superscript"/>
        </w:rPr>
        <w:t>4aa</w:t>
      </w:r>
      <w:r w:rsidRPr="00AB3B1E">
        <w:rPr>
          <w:rFonts w:ascii="Times New Roman" w:hAnsi="Times New Roman"/>
          <w:sz w:val="24"/>
          <w:szCs w:val="24"/>
        </w:rPr>
        <w:t>)“.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Legislatívno-technická pripomienka. Odkaz 4a je už použitý v § 1 ods. 1 písm. j) zákona č. 553/2003 Z. z. Nový odkaz sa tak vkladá medzi odkaz 4 v § 1 ods. 1 písm. f) a odkaz 4a v § 1 ods. 1 písm. j).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VI bod 2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VI bode 2 v § 19 ods. 12 sa za slovom „inštitúcia“ vypúšťa slovo „môžu“.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Vypúšťa sa nadbytočné slovo, ktoré už v § 19 ods. 12 zákona č. 523/2004 Z. z. je, a preto by jeho doplnenie spôsobilo duplicitu.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VIII bod 6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VIII bode 6 v § 16 ods. 7 písm. c) sa vypúšťajú slová „štátnej správy“.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Legislatívno-technická pripomienka. V súlade s bodom 8 prílohy č. 2 k Legislatívnym pravidlám tvorby zákonov je potrebné legislatívnu skratku „ústredný orgán“ zavedenú v § 7 písm. a) zákona č. 172/2005 Z. z. používať v celom texte zákona.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VIII bod 7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VIII bode 7 sa na konci dopĺňa táto veta: „Poznámka pod čiarou k odkazu 21 sa vypúšťa.“.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Legislatívno-technická pripomienka. Vzhľadom na vypustenie odkazu 21 v rámci nového znenia § 16 ods. 9 zákona č. 172/2005 Z. z. je potrebné vypustiť aj poznámku pod čiarou k tomuto odkazu.</w:t>
      </w:r>
    </w:p>
    <w:p w:rsid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IX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IX v § 3 ods. 1 písm. j) sa nad slovo „republiky“ umiestňuje odkaz „</w:t>
      </w:r>
      <w:r w:rsidRPr="00AB3B1E">
        <w:rPr>
          <w:rFonts w:ascii="Times New Roman" w:hAnsi="Times New Roman"/>
          <w:sz w:val="24"/>
          <w:szCs w:val="24"/>
          <w:vertAlign w:val="superscript"/>
        </w:rPr>
        <w:t>10a</w:t>
      </w:r>
      <w:r w:rsidRPr="00AB3B1E">
        <w:rPr>
          <w:rFonts w:ascii="Times New Roman" w:hAnsi="Times New Roman"/>
          <w:sz w:val="24"/>
          <w:szCs w:val="24"/>
        </w:rPr>
        <w:t>)“ a súčasne sa nad slovom „inštitúcia“ odkaz „</w:t>
      </w:r>
      <w:r w:rsidRPr="00AB3B1E">
        <w:rPr>
          <w:rFonts w:ascii="Times New Roman" w:hAnsi="Times New Roman"/>
          <w:sz w:val="24"/>
          <w:szCs w:val="24"/>
          <w:vertAlign w:val="superscript"/>
        </w:rPr>
        <w:t>10a</w:t>
      </w:r>
      <w:r w:rsidRPr="00AB3B1E">
        <w:rPr>
          <w:rFonts w:ascii="Times New Roman" w:hAnsi="Times New Roman"/>
          <w:sz w:val="24"/>
          <w:szCs w:val="24"/>
        </w:rPr>
        <w:t>)“ označuje ako odkaz „</w:t>
      </w:r>
      <w:r w:rsidRPr="00AB3B1E">
        <w:rPr>
          <w:rFonts w:ascii="Times New Roman" w:hAnsi="Times New Roman"/>
          <w:sz w:val="24"/>
          <w:szCs w:val="24"/>
          <w:vertAlign w:val="superscript"/>
        </w:rPr>
        <w:t>10b</w:t>
      </w:r>
      <w:r w:rsidRPr="00AB3B1E">
        <w:rPr>
          <w:rFonts w:ascii="Times New Roman" w:hAnsi="Times New Roman"/>
          <w:sz w:val="24"/>
          <w:szCs w:val="24"/>
        </w:rPr>
        <w:t>)“.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Poznámka pod čiarou k odkazu 10a znie: „</w:t>
      </w:r>
      <w:r w:rsidRPr="00AB3B1E">
        <w:rPr>
          <w:rFonts w:ascii="Times New Roman" w:hAnsi="Times New Roman"/>
          <w:sz w:val="24"/>
          <w:szCs w:val="24"/>
          <w:vertAlign w:val="superscript"/>
        </w:rPr>
        <w:t>10a</w:t>
      </w:r>
      <w:r w:rsidRPr="00AB3B1E">
        <w:rPr>
          <w:rFonts w:ascii="Times New Roman" w:hAnsi="Times New Roman"/>
          <w:sz w:val="24"/>
          <w:szCs w:val="24"/>
        </w:rPr>
        <w:t>) Zákon č. 131/2002 Z. z. o vysokých školách a o zmene a doplnení niektorých zákonov v znení neskorších predpisov.“.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Doterajšia poznámka pod čiarou k odkazu 10a sa označuje ako poznámka pod čiarou k odkazu 10b a vypúšťajú sa v nej slová „Zákon č. 131/2002 Z. z. o vysokých školách a o zmene a doplnení niektorých zákonov v znení neskorších predpisov,“.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nadväznosti na tieto zmeny sa upraví aj úvodná veta k poznámkam pod čiarou.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zmysle bodu 18 prílohy č. 2 k Legislatívnym pravidlám tvorby zákonov sa odkaz umiestňuje nad právny pojem, na ktorý sa odkazuje. Nie je preto možné pod jeden odkaz na konci ustanovenia zahrnúť viaceré pojmy uvedené v tomto ustanovení. Z tohto dôvodu je potrebné nad každým pojmom uviesť samostatný odkaz.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XI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XI v § 3 ods. 1 sa nad slovom „inštitúcia“ odkaz „</w:t>
      </w:r>
      <w:r w:rsidRPr="00AB3B1E">
        <w:rPr>
          <w:rFonts w:ascii="Times New Roman" w:hAnsi="Times New Roman"/>
          <w:sz w:val="24"/>
          <w:szCs w:val="24"/>
          <w:vertAlign w:val="superscript"/>
        </w:rPr>
        <w:t>3a</w:t>
      </w:r>
      <w:r w:rsidRPr="00AB3B1E">
        <w:rPr>
          <w:rFonts w:ascii="Times New Roman" w:hAnsi="Times New Roman"/>
          <w:sz w:val="24"/>
          <w:szCs w:val="24"/>
        </w:rPr>
        <w:t>)“ označuje ako odkaz „</w:t>
      </w:r>
      <w:r w:rsidRPr="00AB3B1E">
        <w:rPr>
          <w:rFonts w:ascii="Times New Roman" w:hAnsi="Times New Roman"/>
          <w:sz w:val="24"/>
          <w:szCs w:val="24"/>
          <w:vertAlign w:val="superscript"/>
        </w:rPr>
        <w:t>2a</w:t>
      </w:r>
      <w:r w:rsidRPr="00AB3B1E">
        <w:rPr>
          <w:rFonts w:ascii="Times New Roman" w:hAnsi="Times New Roman"/>
          <w:sz w:val="24"/>
          <w:szCs w:val="24"/>
        </w:rPr>
        <w:t>)“.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Legislatívno-technická pripomienka. V zmysle Legislatívnych pravidiel tvorby zákonov sa odkazy číslujú priebežne a ak sa vkladá nový odkaz, označí sa číslom zhodným s číslom odkazu, ktorý mu predchádza a pripojením malého písmena abecedy. Nový odkaz sa tak vkladá medzi odkaz 2 v § 2 ods. 2 písm. a) a odkaz 3 v § 3 ods. 1 zákona č. 525/2010 Z. z.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XII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XII úvodnej vete novelizačného bodu sa slová „§ 3 sa dopĺňa“ nahrádzajú slovami „V § 3 sa odsek 1 dopĺňa“.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Zákonom č. 146/2017 Z. z. sa § 3 zákona č. 526/2010 Z. z. doplnil novým odsekom 2, pričom doterajší text § 3 sa označil ako odsek 1. Je preto potrebné jednoznačne identifikovať odsek, ktorý sa dopĺňa novým písmenom.</w:t>
      </w:r>
    </w:p>
    <w:p w:rsidR="00AB3B1E" w:rsidRPr="00AB3B1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B3B1E" w:rsidRPr="00AB3B1E" w:rsidP="00AB3B1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K čl. XII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čl. XII v § 3 písm. k) sa nad slovom „inštitúcii“ odkaz „</w:t>
      </w:r>
      <w:r w:rsidRPr="00AB3B1E">
        <w:rPr>
          <w:rFonts w:ascii="Times New Roman" w:hAnsi="Times New Roman"/>
          <w:sz w:val="24"/>
          <w:szCs w:val="24"/>
          <w:vertAlign w:val="superscript"/>
        </w:rPr>
        <w:t>8a</w:t>
      </w:r>
      <w:r w:rsidRPr="00AB3B1E">
        <w:rPr>
          <w:rFonts w:ascii="Times New Roman" w:hAnsi="Times New Roman"/>
          <w:sz w:val="24"/>
          <w:szCs w:val="24"/>
        </w:rPr>
        <w:t>)“ označuje ako odkaz „</w:t>
      </w:r>
      <w:r w:rsidRPr="00AB3B1E">
        <w:rPr>
          <w:rFonts w:ascii="Times New Roman" w:hAnsi="Times New Roman"/>
          <w:sz w:val="24"/>
          <w:szCs w:val="24"/>
          <w:vertAlign w:val="superscript"/>
        </w:rPr>
        <w:t>8aa</w:t>
      </w:r>
      <w:r w:rsidRPr="00AB3B1E">
        <w:rPr>
          <w:rFonts w:ascii="Times New Roman" w:hAnsi="Times New Roman"/>
          <w:sz w:val="24"/>
          <w:szCs w:val="24"/>
        </w:rPr>
        <w:t>)“.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AB3B1E" w:rsidRPr="00AB3B1E" w:rsidP="00AB3B1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3B1E" w:rsidRPr="0055610E" w:rsidP="00AB3B1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3B1E">
        <w:rPr>
          <w:rFonts w:ascii="Times New Roman" w:hAnsi="Times New Roman"/>
          <w:sz w:val="24"/>
          <w:szCs w:val="24"/>
        </w:rPr>
        <w:t>Legislatívno-technická pripomienka. Odkaz 8a je už použitý v § 3 ods. 2 písm. b) zákona č. 526/2010 Z. z. Nový odkaz sa tak vkladá medzi odkaz 8 v § 3 ods</w:t>
      </w:r>
      <w:r>
        <w:rPr>
          <w:rFonts w:ascii="Times New Roman" w:hAnsi="Times New Roman"/>
          <w:sz w:val="24"/>
          <w:szCs w:val="24"/>
        </w:rPr>
        <w:t>. 1 písm. g) a odkaz 8a v § 3 ods. 2 písm. b).</w:t>
      </w:r>
    </w:p>
    <w:p w:rsidR="00AB3B1E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3B1E">
      <w:rPr>
        <w:rStyle w:val="PageNumber"/>
        <w:noProof/>
      </w:rPr>
      <w:t>8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3"/>
  </w:num>
  <w:num w:numId="6">
    <w:abstractNumId w:val="8"/>
  </w:num>
  <w:num w:numId="7">
    <w:abstractNumId w:val="19"/>
  </w:num>
  <w:num w:numId="8">
    <w:abstractNumId w:val="38"/>
  </w:num>
  <w:num w:numId="9">
    <w:abstractNumId w:val="39"/>
  </w:num>
  <w:num w:numId="10">
    <w:abstractNumId w:val="2"/>
  </w:num>
  <w:num w:numId="11">
    <w:abstractNumId w:val="24"/>
  </w:num>
  <w:num w:numId="12">
    <w:abstractNumId w:val="1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1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2"/>
  </w:num>
  <w:num w:numId="20">
    <w:abstractNumId w:val="32"/>
  </w:num>
  <w:num w:numId="21">
    <w:abstractNumId w:val="9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27"/>
  </w:num>
  <w:num w:numId="25">
    <w:abstractNumId w:val="42"/>
  </w:num>
  <w:num w:numId="26">
    <w:abstractNumId w:val="26"/>
  </w:num>
  <w:num w:numId="27">
    <w:abstractNumId w:val="22"/>
  </w:num>
  <w:num w:numId="28">
    <w:abstractNumId w:val="11"/>
  </w:num>
  <w:num w:numId="29">
    <w:abstractNumId w:val="4"/>
  </w:num>
  <w:num w:numId="30">
    <w:abstractNumId w:val="37"/>
  </w:num>
  <w:num w:numId="31">
    <w:abstractNumId w:val="17"/>
  </w:num>
  <w:num w:numId="32">
    <w:abstractNumId w:val="25"/>
  </w:num>
  <w:num w:numId="33">
    <w:abstractNumId w:val="18"/>
  </w:num>
  <w:num w:numId="34">
    <w:abstractNumId w:val="15"/>
  </w:num>
  <w:num w:numId="35">
    <w:abstractNumId w:val="20"/>
  </w:num>
  <w:num w:numId="36">
    <w:abstractNumId w:val="7"/>
  </w:num>
  <w:num w:numId="37">
    <w:abstractNumId w:val="21"/>
  </w:num>
  <w:num w:numId="38">
    <w:abstractNumId w:val="0"/>
  </w:num>
  <w:num w:numId="39">
    <w:abstractNumId w:val="30"/>
  </w:num>
  <w:num w:numId="40">
    <w:abstractNumId w:val="28"/>
  </w:num>
  <w:num w:numId="41">
    <w:abstractNumId w:val="36"/>
  </w:num>
  <w:num w:numId="42">
    <w:abstractNumId w:val="34"/>
  </w:num>
  <w:num w:numId="43">
    <w:abstractNumId w:val="3"/>
  </w:num>
  <w:num w:numId="44">
    <w:abstractNumId w:val="44"/>
  </w:num>
  <w:num w:numId="45">
    <w:abstractNumId w:val="13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16B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0FD6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09C6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458F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2F99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26216"/>
    <w:rsid w:val="0053362C"/>
    <w:rsid w:val="005375F3"/>
    <w:rsid w:val="00552BE1"/>
    <w:rsid w:val="0055610E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26F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3B10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B3B1E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04D8"/>
    <w:rsid w:val="00B83537"/>
    <w:rsid w:val="00B956AC"/>
    <w:rsid w:val="00B95CCC"/>
    <w:rsid w:val="00B97CFB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BF1695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2E35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45D1F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678FA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CE86A-C98E-48E9-BBA5-346B7D16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46</cp:revision>
  <cp:lastPrinted>2016-10-04T11:58:00Z</cp:lastPrinted>
  <dcterms:created xsi:type="dcterms:W3CDTF">2013-06-14T07:14:00Z</dcterms:created>
  <dcterms:modified xsi:type="dcterms:W3CDTF">2017-09-04T09:49:00Z</dcterms:modified>
</cp:coreProperties>
</file>