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C55">
      <w:pPr>
        <w:pStyle w:val="Heading4"/>
        <w:widowControl w:val="0"/>
        <w:rPr>
          <w:rFonts w:ascii="AT*Zurich Calligraphic" w:hAnsi="AT*Zurich Calligraphic"/>
        </w:rPr>
      </w:pPr>
    </w:p>
    <w:p w:rsidR="00EC5F3F">
      <w:pPr>
        <w:pStyle w:val="Heading4"/>
        <w:widowControl w:val="0"/>
        <w:rPr>
          <w:rFonts w:ascii="AT*Zurich Calligraphic" w:hAnsi="AT*Zurich Calligraphic"/>
        </w:rPr>
      </w:pPr>
      <w:r>
        <w:rPr>
          <w:rFonts w:ascii="AT*Zurich Calligraphic" w:hAnsi="AT*Zurich Calligraphic"/>
        </w:rPr>
        <w:t>Výbor Národnej rady Slovenskej republiky</w:t>
      </w:r>
    </w:p>
    <w:p w:rsidR="00EC5F3F">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F7162F">
      <w:pPr>
        <w:ind w:left="4248"/>
        <w:jc w:val="right"/>
        <w:rPr>
          <w:sz w:val="28"/>
        </w:rPr>
      </w:pPr>
    </w:p>
    <w:p w:rsidR="00F92F1D">
      <w:pPr>
        <w:ind w:left="4248"/>
        <w:jc w:val="right"/>
        <w:rPr>
          <w:sz w:val="28"/>
        </w:rPr>
      </w:pPr>
      <w:r w:rsidR="00EC5F3F">
        <w:rPr>
          <w:sz w:val="28"/>
        </w:rPr>
        <w:t xml:space="preserve">                                     </w:t>
      </w:r>
    </w:p>
    <w:p w:rsidR="00EC5F3F" w:rsidRPr="00D14EA4">
      <w:pPr>
        <w:ind w:left="4248"/>
        <w:jc w:val="right"/>
      </w:pPr>
      <w:r>
        <w:rPr>
          <w:sz w:val="28"/>
        </w:rPr>
        <w:t xml:space="preserve"> </w:t>
      </w:r>
      <w:r w:rsidR="002D072D">
        <w:t>3</w:t>
      </w:r>
      <w:r w:rsidR="00652CCE">
        <w:t>3</w:t>
      </w:r>
      <w:r w:rsidRPr="00D14EA4" w:rsidR="00985280">
        <w:t>.</w:t>
      </w:r>
      <w:r w:rsidRPr="00D14EA4">
        <w:t xml:space="preserve"> schôdza</w:t>
      </w:r>
    </w:p>
    <w:p w:rsidR="00E20A99" w:rsidRPr="00500C97" w:rsidP="00500C97">
      <w:pPr>
        <w:ind w:left="3540" w:firstLine="708"/>
        <w:jc w:val="right"/>
      </w:pPr>
      <w:r w:rsidR="002B6101">
        <w:rPr>
          <w:b/>
        </w:rPr>
        <w:t xml:space="preserve">        </w:t>
      </w:r>
      <w:r w:rsidR="001852E1">
        <w:rPr>
          <w:b/>
        </w:rPr>
        <w:t xml:space="preserve">         </w:t>
      </w:r>
      <w:r w:rsidR="00CF7721">
        <w:rPr>
          <w:b/>
        </w:rPr>
        <w:tab/>
        <w:tab/>
        <w:tab/>
        <w:tab/>
      </w:r>
      <w:r w:rsidR="00C87B3F">
        <w:t>1100</w:t>
      </w:r>
      <w:r w:rsidRPr="00053FB9" w:rsidR="003371B9">
        <w:t>/</w:t>
      </w:r>
      <w:r w:rsidR="00053FB9">
        <w:t>201</w:t>
      </w:r>
      <w:r w:rsidR="002D072D">
        <w:t>7</w:t>
      </w:r>
    </w:p>
    <w:p w:rsidR="0004001B" w:rsidP="00067F0B">
      <w:pPr>
        <w:ind w:left="3540" w:firstLine="708"/>
        <w:rPr>
          <w:b/>
        </w:rPr>
      </w:pPr>
    </w:p>
    <w:p w:rsidR="00652CCE" w:rsidP="00652CCE">
      <w:pPr>
        <w:ind w:left="3540" w:firstLine="708"/>
        <w:rPr>
          <w:b/>
        </w:rPr>
      </w:pPr>
      <w:r w:rsidR="00050225">
        <w:rPr>
          <w:b/>
        </w:rPr>
        <w:t xml:space="preserve">       </w:t>
      </w:r>
      <w:r w:rsidR="00E27E58">
        <w:rPr>
          <w:b/>
        </w:rPr>
        <w:t xml:space="preserve"> </w:t>
      </w:r>
      <w:r w:rsidR="002D072D">
        <w:rPr>
          <w:b/>
        </w:rPr>
        <w:t xml:space="preserve">  </w:t>
      </w:r>
      <w:r w:rsidR="007350B2">
        <w:rPr>
          <w:b/>
        </w:rPr>
        <w:t>175</w:t>
      </w:r>
    </w:p>
    <w:p w:rsidR="00EC5F3F" w:rsidP="00067F0B">
      <w:pPr>
        <w:ind w:left="3540" w:firstLine="708"/>
        <w:rPr>
          <w:b/>
        </w:rPr>
      </w:pPr>
      <w:r>
        <w:rPr>
          <w:b/>
        </w:rPr>
        <w:t>U z n e s e n i e</w:t>
      </w:r>
    </w:p>
    <w:p w:rsidR="00EC5F3F">
      <w:pPr>
        <w:ind w:right="-567"/>
        <w:jc w:val="center"/>
        <w:rPr>
          <w:b/>
        </w:rPr>
      </w:pPr>
      <w:r>
        <w:rPr>
          <w:b/>
        </w:rPr>
        <w:t>Výboru Národnej rady Slovenskej republiky</w:t>
      </w:r>
    </w:p>
    <w:p w:rsidR="00EC5F3F">
      <w:pPr>
        <w:ind w:right="-567"/>
        <w:jc w:val="center"/>
        <w:rPr>
          <w:b/>
        </w:rPr>
      </w:pPr>
      <w:r>
        <w:rPr>
          <w:b/>
        </w:rPr>
        <w:t>pre financie</w:t>
      </w:r>
      <w:r w:rsidR="003371B9">
        <w:rPr>
          <w:b/>
        </w:rPr>
        <w:t xml:space="preserve"> a</w:t>
      </w:r>
      <w:r>
        <w:rPr>
          <w:b/>
        </w:rPr>
        <w:t xml:space="preserve"> rozpočet </w:t>
      </w:r>
    </w:p>
    <w:p w:rsidR="00EC5F3F">
      <w:pPr>
        <w:ind w:right="-567"/>
        <w:jc w:val="center"/>
        <w:rPr>
          <w:b/>
        </w:rPr>
      </w:pPr>
    </w:p>
    <w:p w:rsidR="008458BA" w:rsidP="008458BA">
      <w:pPr>
        <w:ind w:right="-567"/>
        <w:jc w:val="center"/>
        <w:rPr>
          <w:b/>
        </w:rPr>
      </w:pPr>
      <w:r w:rsidR="00BD37D8">
        <w:rPr>
          <w:b/>
        </w:rPr>
        <w:t>z</w:t>
      </w:r>
      <w:r w:rsidR="00652CCE">
        <w:rPr>
          <w:b/>
        </w:rPr>
        <w:t>o</w:t>
      </w:r>
      <w:r w:rsidR="00272FA8">
        <w:rPr>
          <w:b/>
        </w:rPr>
        <w:t xml:space="preserve"> </w:t>
      </w:r>
      <w:r w:rsidR="00652CCE">
        <w:rPr>
          <w:b/>
        </w:rPr>
        <w:t>4</w:t>
      </w:r>
      <w:r w:rsidR="00C72FBD">
        <w:rPr>
          <w:b/>
        </w:rPr>
        <w:t xml:space="preserve">. </w:t>
      </w:r>
      <w:r w:rsidR="00652CCE">
        <w:rPr>
          <w:b/>
        </w:rPr>
        <w:t>septembra</w:t>
      </w:r>
      <w:r w:rsidR="00830899">
        <w:rPr>
          <w:b/>
        </w:rPr>
        <w:t xml:space="preserve"> 201</w:t>
      </w:r>
      <w:r w:rsidR="002D072D">
        <w:rPr>
          <w:b/>
        </w:rPr>
        <w:t>7</w:t>
      </w:r>
    </w:p>
    <w:p w:rsidR="00576DE1" w:rsidP="00576DE1">
      <w:pPr>
        <w:pStyle w:val="BodyText"/>
        <w:spacing w:after="0"/>
        <w:jc w:val="both"/>
        <w:rPr>
          <w:b/>
        </w:rPr>
      </w:pPr>
    </w:p>
    <w:p w:rsidR="00EC5F3F" w:rsidRPr="005D2E69" w:rsidP="00B804D8">
      <w:pPr>
        <w:pStyle w:val="BodyText"/>
        <w:spacing w:after="0"/>
        <w:jc w:val="both"/>
      </w:pPr>
      <w:r w:rsidRPr="005D2E69">
        <w:t>Výbor Národnej rady Sl</w:t>
      </w:r>
      <w:r w:rsidRPr="005D2E69" w:rsidR="003371B9">
        <w:t>ovenskej republiky pre financie a</w:t>
      </w:r>
      <w:r w:rsidRPr="005D2E69">
        <w:t xml:space="preserve"> rozpočet </w:t>
      </w:r>
      <w:r w:rsidRPr="005D2E69" w:rsidR="00F966EF">
        <w:t>prerokoval</w:t>
      </w:r>
      <w:r w:rsidRPr="00C87B3F" w:rsidR="00C87B3F">
        <w:t xml:space="preserve"> </w:t>
      </w:r>
      <w:r w:rsidR="00C87B3F">
        <w:t>v</w:t>
      </w:r>
      <w:r w:rsidRPr="00C87B3F" w:rsidR="00C87B3F">
        <w:t>ládny návrh zákona, ktorým sa mení a dopĺňa zákon č. 435/2001 Z. z. o patentoch, dodatkových ochranných osvedčeniach a o zmene a doplnení niektorých zákonov (patentový zákon) v znení neskorších predpisov a ktorým sa menia a dopĺňajú niektoré zákony (tlač 549)</w:t>
      </w:r>
      <w:r w:rsidRPr="00B804D8" w:rsidR="00B804D8">
        <w:t xml:space="preserve"> </w:t>
      </w:r>
      <w:r w:rsidRPr="00777CFA" w:rsidR="00450C55">
        <w:rPr>
          <w:b/>
        </w:rPr>
        <w:t>a</w:t>
      </w:r>
      <w:r w:rsidRPr="005D2E69" w:rsidR="00ED3C5E">
        <w:t xml:space="preserve"> </w:t>
      </w:r>
      <w:r w:rsidRPr="005D2E69" w:rsidR="008458BA">
        <w:t xml:space="preserve"> </w:t>
      </w:r>
    </w:p>
    <w:p w:rsidR="00302EB6" w:rsidP="00BD7172"/>
    <w:p w:rsidR="00AC2960" w:rsidP="00BD7172"/>
    <w:p w:rsidR="00EC5F3F" w:rsidP="00067F0B">
      <w:pPr>
        <w:numPr>
          <w:ilvl w:val="0"/>
          <w:numId w:val="1"/>
        </w:numPr>
        <w:jc w:val="both"/>
        <w:rPr>
          <w:b/>
        </w:rPr>
      </w:pPr>
      <w:r w:rsidR="00777CFA">
        <w:rPr>
          <w:b/>
        </w:rPr>
        <w:t>s</w:t>
      </w:r>
      <w:r>
        <w:rPr>
          <w:b/>
        </w:rPr>
        <w:t>úhlasí</w:t>
      </w:r>
    </w:p>
    <w:p w:rsidR="00F92F1D" w:rsidP="00F92F1D">
      <w:pPr>
        <w:pStyle w:val="BodyText"/>
        <w:spacing w:after="0"/>
        <w:ind w:firstLine="360"/>
        <w:jc w:val="both"/>
      </w:pPr>
    </w:p>
    <w:p w:rsidR="00824DAD" w:rsidP="00B804D8">
      <w:pPr>
        <w:pStyle w:val="BodyText"/>
        <w:spacing w:after="0"/>
        <w:ind w:firstLine="360"/>
        <w:jc w:val="both"/>
        <w:rPr>
          <w:color w:val="000000"/>
        </w:rPr>
      </w:pPr>
      <w:r w:rsidR="00321A20">
        <w:t>s</w:t>
      </w:r>
      <w:r w:rsidRPr="00A73ECD" w:rsidR="00B614DE">
        <w:t> </w:t>
      </w:r>
      <w:r w:rsidR="00652CCE">
        <w:t xml:space="preserve"> </w:t>
      </w:r>
      <w:r w:rsidR="00C87B3F">
        <w:t>v</w:t>
      </w:r>
      <w:r w:rsidRPr="00C87B3F" w:rsidR="00C87B3F">
        <w:t>ládny</w:t>
      </w:r>
      <w:r w:rsidR="00C87B3F">
        <w:t>m</w:t>
      </w:r>
      <w:r w:rsidRPr="00C87B3F" w:rsidR="00C87B3F">
        <w:t xml:space="preserve"> návrh</w:t>
      </w:r>
      <w:r w:rsidR="00C87B3F">
        <w:t>om</w:t>
      </w:r>
      <w:r w:rsidRPr="00C87B3F" w:rsidR="00C87B3F">
        <w:t xml:space="preserve"> zákona, ktorým sa mení a dopĺňa zákon č. 435/2001 Z. z. o patentoch, dodatkových ochranných osvedčeniach a o zmene a doplnení niektorých zákonov (patentový zákon) v znení neskorších predpisov a ktorým sa menia a dopĺňajú niektoré zákony (tlač 549)</w:t>
      </w:r>
      <w:r w:rsidR="00F709C1">
        <w:t>;</w:t>
      </w:r>
    </w:p>
    <w:p w:rsidR="00824DAD" w:rsidP="00E20A99">
      <w:pPr>
        <w:pStyle w:val="BodyText"/>
        <w:spacing w:after="0"/>
        <w:ind w:left="1416" w:firstLine="708"/>
        <w:jc w:val="both"/>
        <w:rPr>
          <w:color w:val="000000"/>
        </w:rPr>
      </w:pPr>
    </w:p>
    <w:p w:rsidR="008F04DB" w:rsidRPr="00370DA7" w:rsidP="00E20A99">
      <w:pPr>
        <w:pStyle w:val="BodyText"/>
        <w:spacing w:after="0"/>
        <w:ind w:left="1416" w:firstLine="708"/>
        <w:jc w:val="both"/>
        <w:rPr>
          <w:color w:val="000000"/>
        </w:rPr>
      </w:pPr>
    </w:p>
    <w:p w:rsidR="00F92F1D" w:rsidP="00F92F1D">
      <w:pPr>
        <w:pStyle w:val="Heading7"/>
        <w:widowControl/>
        <w:numPr>
          <w:ilvl w:val="0"/>
          <w:numId w:val="1"/>
        </w:numPr>
        <w:rPr>
          <w:bCs/>
          <w:lang w:val="sk-SK"/>
        </w:rPr>
      </w:pPr>
      <w:r w:rsidRPr="00067F0B" w:rsidR="00EC5F3F">
        <w:rPr>
          <w:lang w:val="sk-SK"/>
        </w:rPr>
        <w:t>odporúča</w:t>
      </w:r>
      <w:r w:rsidRPr="00067F0B" w:rsidR="00EC5F3F">
        <w:rPr>
          <w:bCs/>
          <w:lang w:val="sk-SK"/>
        </w:rPr>
        <w:t xml:space="preserve"> </w:t>
      </w:r>
    </w:p>
    <w:p w:rsidR="00EC5F3F" w:rsidRPr="00F92F1D" w:rsidP="00F92F1D">
      <w:pPr>
        <w:pStyle w:val="Heading7"/>
        <w:widowControl/>
        <w:ind w:left="360"/>
        <w:rPr>
          <w:bCs/>
          <w:lang w:val="sk-SK"/>
        </w:rPr>
      </w:pPr>
      <w:r w:rsidRPr="00F92F1D">
        <w:rPr>
          <w:lang w:val="sk-SK"/>
        </w:rPr>
        <w:t>Národnej rade Slovenskej republiky</w:t>
      </w:r>
    </w:p>
    <w:p w:rsidR="00777CFA" w:rsidP="005B36AB">
      <w:pPr>
        <w:pStyle w:val="Heading1"/>
        <w:ind w:left="1416" w:firstLine="708"/>
        <w:jc w:val="both"/>
      </w:pPr>
    </w:p>
    <w:p w:rsidR="00EC5F3F" w:rsidRPr="007350B2" w:rsidP="00F92F1D">
      <w:pPr>
        <w:pStyle w:val="Heading1"/>
        <w:ind w:left="0" w:firstLine="360"/>
        <w:jc w:val="both"/>
      </w:pPr>
      <w:r w:rsidRPr="00C87B3F" w:rsidR="00C87B3F">
        <w:rPr>
          <w:b w:val="0"/>
        </w:rPr>
        <w:t>vládny návrh zákona, ktorým sa mení a dopĺňa zákon č. 435/2001 Z. z. o patentoch, dodatkových ochranných osvedčeniach a o zmene a doplnení niektorých zákonov (patentový zákon) v znení neskorších predpisov a ktorým sa menia a dopĺňajú niektoré zákony (tlač 549)</w:t>
      </w:r>
      <w:r w:rsidR="00C87B3F">
        <w:t xml:space="preserve"> </w:t>
      </w:r>
      <w:r w:rsidRPr="007350B2" w:rsidR="002E072A">
        <w:t>schváliť s pozmeňujúcimi a doplňujúcimi návrhmi tak, ako sú uved</w:t>
      </w:r>
      <w:r w:rsidRPr="007350B2" w:rsidR="002E072A">
        <w:t>ené v prílohe tohto uznesenia;</w:t>
      </w:r>
    </w:p>
    <w:p w:rsidR="00E13467" w:rsidP="000139BA">
      <w:pPr>
        <w:ind w:left="1416"/>
        <w:jc w:val="both"/>
        <w:rPr>
          <w:b/>
        </w:rPr>
      </w:pPr>
      <w:r>
        <w:rPr>
          <w:b/>
        </w:rPr>
        <w:tab/>
      </w:r>
    </w:p>
    <w:p w:rsidR="00AC2960" w:rsidP="000139BA">
      <w:pPr>
        <w:ind w:left="1416"/>
        <w:jc w:val="both"/>
        <w:rPr>
          <w:b/>
        </w:rPr>
      </w:pPr>
    </w:p>
    <w:p w:rsidR="00067F0B" w:rsidP="00067F0B">
      <w:pPr>
        <w:pStyle w:val="Heading5"/>
        <w:numPr>
          <w:ilvl w:val="0"/>
          <w:numId w:val="1"/>
        </w:numPr>
      </w:pPr>
      <w:r w:rsidR="00EC5F3F">
        <w:t>ukladá</w:t>
      </w:r>
    </w:p>
    <w:p w:rsidR="00EC5F3F" w:rsidP="00F92F1D">
      <w:pPr>
        <w:pStyle w:val="Heading5"/>
        <w:ind w:firstLine="360"/>
      </w:pPr>
      <w:r>
        <w:t>predsedovi výboru</w:t>
      </w:r>
    </w:p>
    <w:p w:rsidR="00777CFA" w:rsidP="00117627">
      <w:r w:rsidR="00BD7172">
        <w:t xml:space="preserve"> </w:t>
      </w:r>
      <w:r w:rsidR="00E20A99">
        <w:t xml:space="preserve"> </w:t>
      </w:r>
      <w:r w:rsidR="00117627">
        <w:tab/>
        <w:tab/>
        <w:tab/>
      </w:r>
    </w:p>
    <w:p w:rsidR="00D14EA4" w:rsidP="00F92F1D">
      <w:pPr>
        <w:pStyle w:val="BodyTextIndent3"/>
        <w:ind w:left="0" w:firstLine="360"/>
        <w:rPr>
          <w:lang w:val="sk-SK"/>
        </w:rPr>
      </w:pPr>
      <w:r w:rsidR="002D072D">
        <w:rPr>
          <w:lang w:val="sk-SK"/>
        </w:rPr>
        <w:t>podať predsedníčke</w:t>
      </w:r>
      <w:r>
        <w:rPr>
          <w:lang w:val="sk-SK"/>
        </w:rPr>
        <w:t xml:space="preserve"> </w:t>
      </w:r>
      <w:r w:rsidR="002D072D">
        <w:rPr>
          <w:lang w:val="sk-SK"/>
        </w:rPr>
        <w:t>V</w:t>
      </w:r>
      <w:r>
        <w:rPr>
          <w:lang w:val="sk-SK"/>
        </w:rPr>
        <w:t>ýboru Národnej rady Slovenskej republiky</w:t>
      </w:r>
      <w:r w:rsidR="002D072D">
        <w:rPr>
          <w:lang w:val="sk-SK"/>
        </w:rPr>
        <w:t xml:space="preserve"> pre </w:t>
      </w:r>
      <w:r w:rsidR="00C87B3F">
        <w:rPr>
          <w:lang w:val="sk-SK"/>
        </w:rPr>
        <w:t xml:space="preserve">hospodárske záležitosti </w:t>
      </w:r>
      <w:r>
        <w:rPr>
          <w:lang w:val="sk-SK"/>
        </w:rPr>
        <w:t xml:space="preserve"> ako ge</w:t>
      </w:r>
      <w:r w:rsidR="00824DAD">
        <w:rPr>
          <w:lang w:val="sk-SK"/>
        </w:rPr>
        <w:t xml:space="preserve">storskému výboru informáciu o </w:t>
      </w:r>
      <w:r>
        <w:rPr>
          <w:lang w:val="sk-SK"/>
        </w:rPr>
        <w:t>výsledku prerokovania</w:t>
      </w:r>
      <w:r w:rsidR="005A403B">
        <w:rPr>
          <w:lang w:val="sk-SK"/>
        </w:rPr>
        <w:t>.</w:t>
      </w:r>
    </w:p>
    <w:p w:rsidR="005919F9" w:rsidRPr="00841EA3" w:rsidP="004612FB">
      <w:pPr>
        <w:pStyle w:val="BodyTextIndent3"/>
        <w:ind w:left="1416" w:firstLine="708"/>
        <w:rPr>
          <w:lang w:val="sk-SK"/>
        </w:rPr>
      </w:pPr>
    </w:p>
    <w:p w:rsidR="0052115B" w:rsidP="00C739C2">
      <w:r w:rsidR="00E20A99">
        <w:t xml:space="preserve">                                         </w:t>
      </w:r>
      <w:r w:rsidR="00E20A99">
        <w:t xml:space="preserve">                     </w:t>
      </w:r>
    </w:p>
    <w:p w:rsidR="0052115B">
      <w:pPr>
        <w:ind w:left="5664" w:firstLine="708"/>
        <w:rPr>
          <w:b/>
          <w:bCs w:val="0"/>
        </w:rPr>
      </w:pPr>
    </w:p>
    <w:p w:rsidR="00D96ABB" w:rsidP="00D96ABB">
      <w:pPr>
        <w:ind w:left="5664" w:firstLine="708"/>
        <w:rPr>
          <w:b/>
        </w:rPr>
      </w:pPr>
      <w:r>
        <w:rPr>
          <w:b/>
          <w:bCs w:val="0"/>
        </w:rPr>
        <w:t xml:space="preserve">        Ladislav Kamenický </w:t>
      </w:r>
    </w:p>
    <w:p w:rsidR="00D96ABB" w:rsidP="00D96ABB">
      <w:pPr>
        <w:ind w:left="5664" w:firstLine="708"/>
      </w:pPr>
      <w:r>
        <w:t xml:space="preserve">           predseda výboru</w:t>
      </w:r>
    </w:p>
    <w:p w:rsidR="00D96ABB" w:rsidP="00D96ABB">
      <w:pPr>
        <w:jc w:val="both"/>
        <w:rPr>
          <w:b/>
          <w:bCs w:val="0"/>
        </w:rPr>
      </w:pPr>
      <w:r>
        <w:rPr>
          <w:b/>
        </w:rPr>
        <w:t xml:space="preserve">  </w:t>
      </w:r>
      <w:r>
        <w:rPr>
          <w:b/>
          <w:bCs w:val="0"/>
        </w:rPr>
        <w:t>Irén Sárközy</w:t>
      </w:r>
    </w:p>
    <w:p w:rsidR="00D96ABB" w:rsidP="00D96ABB">
      <w:pPr>
        <w:jc w:val="both"/>
        <w:rPr>
          <w:b/>
          <w:bCs w:val="0"/>
        </w:rPr>
      </w:pPr>
      <w:r>
        <w:rPr>
          <w:b/>
          <w:bCs w:val="0"/>
        </w:rPr>
        <w:t xml:space="preserve"> Peter Štarchoň</w:t>
      </w:r>
    </w:p>
    <w:p w:rsidR="00D96ABB" w:rsidP="00D96ABB">
      <w:pPr>
        <w:jc w:val="both"/>
        <w:rPr>
          <w:bCs w:val="0"/>
        </w:rPr>
      </w:pPr>
      <w:r>
        <w:rPr>
          <w:bCs w:val="0"/>
        </w:rPr>
        <w:t>overovateľ výboru</w:t>
      </w:r>
    </w:p>
    <w:p w:rsidR="007350B2" w:rsidP="00D96ABB">
      <w:pPr>
        <w:jc w:val="both"/>
        <w:rPr>
          <w:bCs w:val="0"/>
        </w:rPr>
      </w:pPr>
    </w:p>
    <w:p w:rsidR="007350B2" w:rsidP="00D96ABB">
      <w:pPr>
        <w:jc w:val="both"/>
        <w:rPr>
          <w:bCs w:val="0"/>
        </w:rPr>
      </w:pPr>
    </w:p>
    <w:p w:rsidR="007350B2" w:rsidP="00D96ABB">
      <w:pPr>
        <w:jc w:val="both"/>
        <w:rPr>
          <w:bCs w:val="0"/>
        </w:rPr>
      </w:pPr>
    </w:p>
    <w:p w:rsidR="007350B2" w:rsidP="00D96ABB">
      <w:pPr>
        <w:jc w:val="both"/>
        <w:rPr>
          <w:bCs w:val="0"/>
        </w:rPr>
      </w:pPr>
    </w:p>
    <w:p w:rsidR="007350B2" w:rsidP="00D96ABB">
      <w:pPr>
        <w:jc w:val="both"/>
        <w:rPr>
          <w:bCs w:val="0"/>
        </w:rPr>
      </w:pPr>
    </w:p>
    <w:p w:rsidR="007350B2" w:rsidP="00D96ABB">
      <w:pPr>
        <w:jc w:val="both"/>
        <w:rPr>
          <w:bCs w:val="0"/>
        </w:rPr>
      </w:pPr>
    </w:p>
    <w:p w:rsidR="007350B2" w:rsidP="00D96ABB">
      <w:pPr>
        <w:jc w:val="both"/>
        <w:rPr>
          <w:bCs w:val="0"/>
        </w:rPr>
      </w:pPr>
    </w:p>
    <w:p w:rsidR="007350B2" w:rsidRPr="008F51E4" w:rsidP="007350B2">
      <w:pPr>
        <w:jc w:val="both"/>
        <w:rPr>
          <w:bCs w:val="0"/>
        </w:rPr>
      </w:pPr>
    </w:p>
    <w:p w:rsidR="007350B2" w:rsidP="007350B2">
      <w:pPr>
        <w:keepNext/>
        <w:widowControl w:val="0"/>
        <w:outlineLvl w:val="3"/>
        <w:rPr>
          <w:rFonts w:ascii="AT*Zurich Calligraphic" w:eastAsia="Arial Unicode MS" w:hAnsi="AT*Zurich Calligraphic"/>
          <w:b/>
          <w:bCs w:val="0"/>
          <w:szCs w:val="20"/>
        </w:rPr>
      </w:pPr>
    </w:p>
    <w:p w:rsidR="007350B2" w:rsidRPr="00993B10" w:rsidP="007350B2">
      <w:pPr>
        <w:keepNext/>
        <w:widowControl w:val="0"/>
        <w:outlineLvl w:val="3"/>
        <w:rPr>
          <w:rFonts w:ascii="AT*Zurich Calligraphic" w:eastAsia="Arial Unicode MS" w:hAnsi="AT*Zurich Calligraphic"/>
          <w:b/>
          <w:bCs w:val="0"/>
          <w:szCs w:val="20"/>
        </w:rPr>
      </w:pPr>
      <w:r w:rsidRPr="00993B10">
        <w:rPr>
          <w:rFonts w:ascii="AT*Zurich Calligraphic" w:eastAsia="Arial Unicode MS" w:hAnsi="AT*Zurich Calligraphic"/>
          <w:b/>
          <w:bCs w:val="0"/>
          <w:szCs w:val="20"/>
        </w:rPr>
        <w:t>Výbor Národnej rady  Slovenskej republiky</w:t>
      </w:r>
    </w:p>
    <w:p w:rsidR="007350B2" w:rsidRPr="00993B10" w:rsidP="007350B2">
      <w:pPr>
        <w:rPr>
          <w:rFonts w:ascii="AT*Zurich Calligraphic" w:hAnsi="AT*Zurich Calligraphic"/>
          <w:b/>
          <w:bCs w:val="0"/>
        </w:rPr>
      </w:pPr>
      <w:r w:rsidRPr="00993B10">
        <w:rPr>
          <w:rFonts w:ascii="AT*Zurich Calligraphic" w:hAnsi="AT*Zurich Calligraphic"/>
          <w:b/>
          <w:bCs w:val="0"/>
        </w:rPr>
        <w:t xml:space="preserve">            pre financie a rozpočet </w:t>
      </w:r>
    </w:p>
    <w:p w:rsidR="007350B2" w:rsidRPr="00993B10" w:rsidP="007350B2">
      <w:pPr>
        <w:jc w:val="right"/>
        <w:rPr>
          <w:bCs w:val="0"/>
          <w:sz w:val="28"/>
        </w:rPr>
      </w:pPr>
    </w:p>
    <w:p w:rsidR="007350B2" w:rsidRPr="00993B10" w:rsidP="007350B2">
      <w:pPr>
        <w:jc w:val="right"/>
        <w:rPr>
          <w:bCs w:val="0"/>
          <w:sz w:val="28"/>
        </w:rPr>
      </w:pPr>
      <w:r w:rsidRPr="00993B10">
        <w:rPr>
          <w:bCs w:val="0"/>
          <w:sz w:val="28"/>
        </w:rPr>
        <w:t xml:space="preserve">                          </w:t>
      </w:r>
    </w:p>
    <w:p w:rsidR="007350B2" w:rsidRPr="00993B10" w:rsidP="007350B2">
      <w:pPr>
        <w:jc w:val="right"/>
        <w:rPr>
          <w:b/>
          <w:bCs w:val="0"/>
        </w:rPr>
      </w:pPr>
      <w:r w:rsidRPr="00993B10">
        <w:rPr>
          <w:bCs w:val="0"/>
        </w:rPr>
        <w:t>Príloha k uzn</w:t>
      </w:r>
      <w:r w:rsidRPr="00993B10">
        <w:rPr>
          <w:bCs w:val="0"/>
        </w:rPr>
        <w:t xml:space="preserve">. </w:t>
      </w:r>
      <w:r w:rsidRPr="00993B10">
        <w:rPr>
          <w:b/>
          <w:bCs w:val="0"/>
        </w:rPr>
        <w:t>č. 17</w:t>
      </w:r>
      <w:r>
        <w:rPr>
          <w:b/>
          <w:bCs w:val="0"/>
        </w:rPr>
        <w:t>5</w:t>
      </w:r>
    </w:p>
    <w:p w:rsidR="007350B2" w:rsidRPr="00993B10" w:rsidP="007350B2">
      <w:pPr>
        <w:jc w:val="right"/>
        <w:rPr>
          <w:bCs w:val="0"/>
        </w:rPr>
      </w:pPr>
      <w:r w:rsidRPr="00993B10">
        <w:t>3</w:t>
      </w:r>
      <w:r>
        <w:t>3</w:t>
      </w:r>
      <w:r w:rsidRPr="00993B10">
        <w:t xml:space="preserve">. </w:t>
      </w:r>
      <w:r w:rsidRPr="00993B10">
        <w:rPr>
          <w:bCs w:val="0"/>
        </w:rPr>
        <w:t>schôdza</w:t>
      </w:r>
    </w:p>
    <w:p w:rsidR="007350B2" w:rsidRPr="00993B10" w:rsidP="007350B2">
      <w:pPr>
        <w:jc w:val="center"/>
        <w:rPr>
          <w:b/>
          <w:bCs w:val="0"/>
        </w:rPr>
      </w:pPr>
    </w:p>
    <w:p w:rsidR="007350B2" w:rsidRPr="00993B10" w:rsidP="007350B2">
      <w:pPr>
        <w:jc w:val="center"/>
        <w:rPr>
          <w:b/>
          <w:bCs w:val="0"/>
        </w:rPr>
      </w:pPr>
    </w:p>
    <w:p w:rsidR="007350B2" w:rsidRPr="00993B10" w:rsidP="007350B2">
      <w:pPr>
        <w:jc w:val="center"/>
        <w:rPr>
          <w:b/>
          <w:bCs w:val="0"/>
        </w:rPr>
      </w:pPr>
    </w:p>
    <w:p w:rsidR="007350B2" w:rsidRPr="00993B10" w:rsidP="007350B2">
      <w:pPr>
        <w:jc w:val="center"/>
        <w:rPr>
          <w:b/>
        </w:rPr>
      </w:pPr>
      <w:r w:rsidRPr="00993B10">
        <w:rPr>
          <w:b/>
        </w:rPr>
        <w:t>Pozmeňujúce a doplňujúce návrhy</w:t>
      </w:r>
    </w:p>
    <w:p w:rsidR="007350B2" w:rsidRPr="00993B10" w:rsidP="007350B2">
      <w:pPr>
        <w:keepNext/>
        <w:ind w:left="360"/>
        <w:jc w:val="center"/>
        <w:outlineLvl w:val="0"/>
        <w:rPr>
          <w:b/>
        </w:rPr>
      </w:pPr>
      <w:r w:rsidRPr="00993B10">
        <w:rPr>
          <w:b/>
        </w:rPr>
        <w:t>k </w:t>
      </w:r>
      <w:r w:rsidRPr="00C87B3F">
        <w:rPr>
          <w:b/>
        </w:rPr>
        <w:t>v</w:t>
      </w:r>
      <w:r>
        <w:rPr>
          <w:b/>
        </w:rPr>
        <w:t>ládnemu</w:t>
      </w:r>
      <w:r w:rsidRPr="00C87B3F">
        <w:rPr>
          <w:b/>
        </w:rPr>
        <w:t xml:space="preserve"> návrh</w:t>
      </w:r>
      <w:r>
        <w:rPr>
          <w:b/>
        </w:rPr>
        <w:t>u</w:t>
      </w:r>
      <w:r w:rsidRPr="00C87B3F">
        <w:rPr>
          <w:b/>
        </w:rPr>
        <w:t xml:space="preserve"> zákona, ktorým sa mení a dopĺňa zákon č. 435/2001 Z. z. o patentoch, dodatkových ochranných osvedčeniach a o zmene a doplnení niektorých zákonov (patentový zákon) v znení neskorších predpisov a ktorým sa menia a dopĺňajú niektoré zákony (tlač 549)</w:t>
      </w:r>
    </w:p>
    <w:p w:rsidR="007350B2" w:rsidRPr="00993B10" w:rsidP="007350B2">
      <w:pPr>
        <w:rPr>
          <w:b/>
        </w:rPr>
      </w:pPr>
      <w:r w:rsidRPr="00993B10">
        <w:rPr>
          <w:b/>
        </w:rPr>
        <w:t xml:space="preserve">–––––––––––––––––––––––––––––––––––––––––––––––––––––––––––––––––––––––––––  </w:t>
      </w:r>
    </w:p>
    <w:p w:rsidR="007350B2" w:rsidRPr="00993B10" w:rsidP="007350B2">
      <w:pPr>
        <w:jc w:val="both"/>
        <w:rPr>
          <w:bCs w:val="0"/>
        </w:rPr>
      </w:pPr>
    </w:p>
    <w:p w:rsidR="007350B2" w:rsidRPr="007350B2" w:rsidP="007350B2">
      <w:pPr>
        <w:numPr>
          <w:ilvl w:val="0"/>
          <w:numId w:val="46"/>
        </w:numPr>
        <w:contextualSpacing/>
        <w:rPr>
          <w:bCs w:val="0"/>
          <w:lang w:eastAsia="en-US"/>
        </w:rPr>
      </w:pPr>
      <w:r w:rsidRPr="007350B2">
        <w:rPr>
          <w:bCs w:val="0"/>
          <w:lang w:eastAsia="en-US"/>
        </w:rPr>
        <w:t>V čl. I, bode 2 poznámka pod čiarou k odkazu 1 znie:</w:t>
      </w:r>
    </w:p>
    <w:p w:rsidR="007350B2" w:rsidRPr="007350B2" w:rsidP="007350B2">
      <w:pPr>
        <w:ind w:left="851" w:hanging="425"/>
        <w:contextualSpacing/>
        <w:rPr>
          <w:bCs w:val="0"/>
          <w:lang w:eastAsia="en-US"/>
        </w:rPr>
      </w:pPr>
      <w:r w:rsidRPr="007350B2">
        <w:rPr>
          <w:bCs w:val="0"/>
          <w:lang w:eastAsia="en-US"/>
        </w:rPr>
        <w:t>„</w:t>
      </w:r>
      <w:r w:rsidRPr="007350B2">
        <w:rPr>
          <w:bCs w:val="0"/>
          <w:vertAlign w:val="superscript"/>
          <w:lang w:eastAsia="en-US"/>
        </w:rPr>
        <w:t>1</w:t>
      </w:r>
      <w:r w:rsidRPr="007350B2">
        <w:rPr>
          <w:bCs w:val="0"/>
          <w:lang w:eastAsia="en-US"/>
        </w:rPr>
        <w:t>)  Zmluva o patentovej spolupráci prijatá vo Washingtone 17. júna 1970 zmenená v roku 1979 a 1984 (oznámenie Federálneho ministerstva zahraničných vecí                 č. 296/1991 Zb.).“</w:t>
      </w:r>
    </w:p>
    <w:p w:rsidR="007350B2" w:rsidRPr="007350B2" w:rsidP="007350B2">
      <w:pPr>
        <w:ind w:left="3402"/>
        <w:contextualSpacing/>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pripomienku, ktorou sa spresňuje citácia názvu medzinárodnej zmluvy v súlade so znením publikov</w:t>
      </w:r>
      <w:r w:rsidRPr="007350B2">
        <w:rPr>
          <w:bCs w:val="0"/>
          <w:lang w:eastAsia="en-US"/>
        </w:rPr>
        <w:t>aným v Zbierke zákonov.</w:t>
      </w:r>
    </w:p>
    <w:p w:rsidR="007350B2" w:rsidRPr="007350B2" w:rsidP="007350B2">
      <w:pPr>
        <w:ind w:left="360"/>
        <w:contextualSpacing/>
        <w:jc w:val="both"/>
        <w:rPr>
          <w:bCs w:val="0"/>
          <w:lang w:eastAsia="en-US"/>
        </w:rPr>
      </w:pPr>
    </w:p>
    <w:p w:rsidR="007350B2" w:rsidRPr="007350B2" w:rsidP="007350B2">
      <w:pPr>
        <w:numPr>
          <w:ilvl w:val="0"/>
          <w:numId w:val="46"/>
        </w:numPr>
        <w:contextualSpacing/>
        <w:rPr>
          <w:bCs w:val="0"/>
          <w:lang w:eastAsia="en-US"/>
        </w:rPr>
      </w:pPr>
      <w:r w:rsidRPr="007350B2">
        <w:rPr>
          <w:bCs w:val="0"/>
          <w:lang w:eastAsia="en-US"/>
        </w:rPr>
        <w:t>V čl. I, bode 2 poznámka pod čiarou k odkazu 3 znie:</w:t>
      </w:r>
    </w:p>
    <w:p w:rsidR="007350B2" w:rsidRPr="007350B2" w:rsidP="007350B2">
      <w:pPr>
        <w:ind w:left="851" w:hanging="491"/>
        <w:contextualSpacing/>
        <w:rPr>
          <w:bCs w:val="0"/>
          <w:lang w:eastAsia="en-US"/>
        </w:rPr>
      </w:pPr>
      <w:r w:rsidRPr="007350B2">
        <w:rPr>
          <w:bCs w:val="0"/>
          <w:lang w:eastAsia="en-US"/>
        </w:rPr>
        <w:t xml:space="preserve"> „</w:t>
      </w:r>
      <w:r w:rsidRPr="007350B2">
        <w:rPr>
          <w:bCs w:val="0"/>
          <w:vertAlign w:val="superscript"/>
          <w:lang w:eastAsia="en-US"/>
        </w:rPr>
        <w:t>3</w:t>
      </w:r>
      <w:r w:rsidRPr="007350B2">
        <w:rPr>
          <w:bCs w:val="0"/>
          <w:lang w:eastAsia="en-US"/>
        </w:rPr>
        <w:t>)  Dohovor o medzinárodných výstavách, uzavretý v Paríži 22. novembra 1928 (uverejnené č.46/1932 Sb. z. a n.).“</w:t>
      </w:r>
    </w:p>
    <w:p w:rsidR="007350B2" w:rsidRPr="007350B2" w:rsidP="007350B2">
      <w:pPr>
        <w:ind w:left="360"/>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pripomienku, ktorou sa spresňuje </w:t>
      </w:r>
      <w:r w:rsidRPr="007350B2">
        <w:rPr>
          <w:bCs w:val="0"/>
          <w:lang w:eastAsia="en-US"/>
        </w:rPr>
        <w:t>citácia medzinárodnej zmluvy v súlade so znením publikovaným v Zbierke zákonov.</w:t>
      </w:r>
    </w:p>
    <w:p w:rsidR="007350B2" w:rsidRPr="007350B2" w:rsidP="007350B2">
      <w:pPr>
        <w:ind w:left="3402"/>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 bode 5 § 11 ods. 2 sa slová „riešenie, vznik“ nahrádzajú slovami „riešenie, ako aj vznik“.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upravuje gramaticky/š</w:t>
      </w:r>
      <w:r w:rsidRPr="007350B2">
        <w:rPr>
          <w:bCs w:val="0"/>
          <w:lang w:eastAsia="en-US"/>
        </w:rPr>
        <w:t xml:space="preserve">tylisticky. </w:t>
      </w:r>
    </w:p>
    <w:p w:rsidR="007350B2" w:rsidRPr="007350B2" w:rsidP="007350B2">
      <w:pPr>
        <w:ind w:left="3969"/>
        <w:contextualSpacing/>
        <w:jc w:val="both"/>
        <w:rPr>
          <w:bCs w:val="0"/>
          <w:lang w:eastAsia="en-US"/>
        </w:rPr>
      </w:pPr>
      <w:r w:rsidRPr="007350B2">
        <w:rPr>
          <w:bCs w:val="0"/>
          <w:lang w:eastAsia="en-US"/>
        </w:rPr>
        <w:t xml:space="preserve">  </w:t>
      </w:r>
    </w:p>
    <w:p w:rsidR="007350B2" w:rsidRPr="007350B2" w:rsidP="007350B2">
      <w:pPr>
        <w:numPr>
          <w:ilvl w:val="0"/>
          <w:numId w:val="46"/>
        </w:numPr>
        <w:contextualSpacing/>
        <w:jc w:val="both"/>
        <w:rPr>
          <w:bCs w:val="0"/>
          <w:lang w:eastAsia="en-US"/>
        </w:rPr>
      </w:pPr>
      <w:r w:rsidRPr="007350B2">
        <w:rPr>
          <w:bCs w:val="0"/>
          <w:lang w:eastAsia="en-US"/>
        </w:rPr>
        <w:t xml:space="preserve">V čl. I, bode 5 § 11 ods. 3 </w:t>
      </w:r>
      <w:r w:rsidRPr="007350B2">
        <w:rPr>
          <w:bCs w:val="0"/>
          <w:i/>
          <w:lang w:eastAsia="en-US"/>
        </w:rPr>
        <w:t xml:space="preserve">(prvá veta) </w:t>
      </w:r>
      <w:r w:rsidRPr="007350B2">
        <w:rPr>
          <w:bCs w:val="0"/>
          <w:lang w:eastAsia="en-US"/>
        </w:rPr>
        <w:t>sa za slovo „upovedomenia“ vkladá slovo „pôvodcom“.</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určením osoby, ktorá upovedomuje zamestnávateľa. </w:t>
      </w:r>
    </w:p>
    <w:p w:rsidR="007350B2" w:rsidRPr="007350B2" w:rsidP="007350B2">
      <w:pPr>
        <w:ind w:left="360"/>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 bode 5 § 11 ods. 6 </w:t>
      </w:r>
      <w:r w:rsidRPr="007350B2">
        <w:rPr>
          <w:bCs w:val="0"/>
          <w:i/>
          <w:lang w:eastAsia="en-US"/>
        </w:rPr>
        <w:t>(prvá</w:t>
      </w:r>
      <w:r w:rsidRPr="007350B2">
        <w:rPr>
          <w:bCs w:val="0"/>
          <w:i/>
          <w:lang w:eastAsia="en-US"/>
        </w:rPr>
        <w:t xml:space="preserve"> veta)</w:t>
      </w:r>
      <w:r w:rsidRPr="007350B2">
        <w:rPr>
          <w:bCs w:val="0"/>
          <w:lang w:eastAsia="en-US"/>
        </w:rPr>
        <w:t xml:space="preserve"> sa slová „sa uplatnilo“ nahrádzajú slovami „zamestnávateľ uplatnil“.</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určením osoby, ktorá si uplatnila právo na riešenie. </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 bode 5 § 11 ods. 7 </w:t>
      </w:r>
      <w:r w:rsidRPr="007350B2">
        <w:rPr>
          <w:bCs w:val="0"/>
          <w:i/>
          <w:lang w:eastAsia="en-US"/>
        </w:rPr>
        <w:t xml:space="preserve">(tretia veta) </w:t>
      </w:r>
      <w:r w:rsidRPr="007350B2">
        <w:rPr>
          <w:bCs w:val="0"/>
          <w:lang w:eastAsia="en-US"/>
        </w:rPr>
        <w:t>sa slová „na ktorý sa mu poskytli“ nahrádzajú slovami „na ktorý mu ich zamestnávateľ poskytol“.</w:t>
      </w:r>
      <w:r w:rsidRPr="007350B2">
        <w:rPr>
          <w:bCs w:val="0"/>
          <w:i/>
          <w:lang w:eastAsia="en-US"/>
        </w:rPr>
        <w:t xml:space="preserve">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určením osoby, ktorá účelom obmedzila použitie „dôverných informácií“ poskytnutých pôvodcovi.  </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 bode 5 </w:t>
      </w:r>
      <w:r w:rsidRPr="007350B2">
        <w:rPr>
          <w:bCs w:val="0"/>
          <w:lang w:eastAsia="en-US"/>
        </w:rPr>
        <w:t>§ 11 ods. 9 sa slová „spolupôvodcovia nedohodnú inak alebo ak inak nerozhodne súd“ nahrádzajú slovami „spolupôvodcovia nedohodli inak alebo ak inak nerozhodol súd“.</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text  ustanovenia sa spresňuje vo väzbe na skutočnosti, ktoré musia reálne nastať, aby mohlo dôjsť k zmene spolupôvodcovských podielov.</w:t>
      </w:r>
    </w:p>
    <w:p w:rsidR="007350B2" w:rsidRPr="007350B2" w:rsidP="007350B2">
      <w:pPr>
        <w:ind w:left="4536"/>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 bode 12 § 20 ods. 8 sa za slová „Občianskeho zákonníka“ vkladajú slová „o podielovom spoluvlastníctve“.</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slovnou konkretizáciou ustanovení Občianskeho zákonníka.  </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 bode 12 sa za poznámku pod čiarou k odkazu 8b  vkladá poznámka pod čiarou k odkazu 9, ktorá znie: </w:t>
      </w:r>
    </w:p>
    <w:p w:rsidR="007350B2" w:rsidRPr="007350B2" w:rsidP="007350B2">
      <w:pPr>
        <w:ind w:left="360"/>
        <w:contextualSpacing/>
        <w:jc w:val="both"/>
        <w:rPr>
          <w:bCs w:val="0"/>
          <w:lang w:eastAsia="en-US"/>
        </w:rPr>
      </w:pPr>
      <w:r w:rsidRPr="007350B2">
        <w:rPr>
          <w:bCs w:val="0"/>
          <w:lang w:eastAsia="en-US"/>
        </w:rPr>
        <w:t>„</w:t>
      </w:r>
      <w:r w:rsidRPr="007350B2">
        <w:rPr>
          <w:bCs w:val="0"/>
          <w:vertAlign w:val="superscript"/>
          <w:lang w:eastAsia="en-US"/>
        </w:rPr>
        <w:t>9</w:t>
      </w:r>
      <w:r w:rsidRPr="007350B2">
        <w:rPr>
          <w:bCs w:val="0"/>
          <w:lang w:eastAsia="en-US"/>
        </w:rPr>
        <w:t>) § 137 až 142 Občianskeho zákonníka.“.</w:t>
      </w:r>
    </w:p>
    <w:p w:rsidR="007350B2" w:rsidRPr="007350B2" w:rsidP="007350B2">
      <w:pPr>
        <w:ind w:left="360"/>
        <w:contextualSpacing/>
        <w:jc w:val="both"/>
        <w:rPr>
          <w:bCs w:val="0"/>
          <w:lang w:eastAsia="en-US"/>
        </w:rPr>
      </w:pPr>
    </w:p>
    <w:p w:rsidR="007350B2" w:rsidRPr="007350B2" w:rsidP="007350B2">
      <w:pPr>
        <w:ind w:left="360"/>
        <w:contextualSpacing/>
        <w:jc w:val="both"/>
        <w:rPr>
          <w:bCs w:val="0"/>
          <w:lang w:eastAsia="en-US"/>
        </w:rPr>
      </w:pPr>
      <w:r w:rsidRPr="007350B2">
        <w:rPr>
          <w:bCs w:val="0"/>
          <w:lang w:eastAsia="en-US"/>
        </w:rPr>
        <w:t>V súvislosti s vložením poznámky pod čiarou sa upraví úvodná veta k poznámkam pod čiarou.</w:t>
      </w:r>
    </w:p>
    <w:p w:rsidR="007350B2" w:rsidRPr="007350B2" w:rsidP="007350B2">
      <w:pPr>
        <w:ind w:left="360"/>
        <w:contextualSpacing/>
        <w:jc w:val="both"/>
        <w:rPr>
          <w:bCs w:val="0"/>
          <w:lang w:eastAsia="en-US"/>
        </w:rPr>
      </w:pPr>
      <w:r w:rsidRPr="007350B2">
        <w:rPr>
          <w:bCs w:val="0"/>
          <w:lang w:eastAsia="en-US"/>
        </w:rPr>
        <w:t xml:space="preserve">   </w:t>
      </w:r>
    </w:p>
    <w:p w:rsidR="007350B2" w:rsidRPr="007350B2" w:rsidP="007350B2">
      <w:pPr>
        <w:ind w:left="3402"/>
        <w:jc w:val="both"/>
        <w:rPr>
          <w:bCs w:val="0"/>
          <w:lang w:eastAsia="en-US"/>
        </w:rPr>
      </w:pPr>
      <w:r w:rsidRPr="007350B2">
        <w:rPr>
          <w:bCs w:val="0"/>
          <w:lang w:eastAsia="en-US"/>
        </w:rPr>
        <w:t xml:space="preserve">Ide o legislatívno-technickú úpravu;  poznámka pod čiarou  sa spresňuje uvedením ustanovení týkajúcich sa   podielového spoluvlastníctva.  </w:t>
      </w:r>
    </w:p>
    <w:p w:rsidR="007350B2" w:rsidRPr="007350B2" w:rsidP="007350B2">
      <w:pPr>
        <w:ind w:left="4536"/>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 bode 30 § 35 ods. 4 sa  slová  „</w:t>
      </w:r>
      <w:r w:rsidRPr="007350B2">
        <w:rPr>
          <w:bCs w:val="0"/>
          <w:shd w:val="clear" w:color="auto" w:fill="FFFFFF"/>
          <w:lang w:eastAsia="en-US"/>
        </w:rPr>
        <w:t>vyzve prihlasovateľ</w:t>
      </w:r>
      <w:r w:rsidRPr="007350B2">
        <w:rPr>
          <w:bCs w:val="0"/>
          <w:shd w:val="clear" w:color="auto" w:fill="FFFFFF"/>
          <w:lang w:eastAsia="en-US"/>
        </w:rPr>
        <w:t>a</w:t>
      </w:r>
      <w:r w:rsidRPr="007350B2">
        <w:rPr>
          <w:bCs w:val="0"/>
          <w:lang w:eastAsia="en-US"/>
        </w:rPr>
        <w:t xml:space="preserve"> v lehote, ktorá nemôže byť kratšia ako dva mesiace, aby prihlášku doplnil“ nahrádzajú slovami „</w:t>
      </w:r>
      <w:r w:rsidRPr="007350B2">
        <w:rPr>
          <w:bCs w:val="0"/>
          <w:shd w:val="clear" w:color="auto" w:fill="FFFFFF"/>
          <w:lang w:eastAsia="en-US"/>
        </w:rPr>
        <w:t>vyzve prihlasovateľa,</w:t>
      </w:r>
      <w:r w:rsidRPr="007350B2">
        <w:rPr>
          <w:bCs w:val="0"/>
          <w:lang w:eastAsia="en-US"/>
        </w:rPr>
        <w:t xml:space="preserve"> aby v lehote, ktorá nemôže byť kratšia ako dva mesiace, prihlášku doplnil“.</w:t>
      </w:r>
    </w:p>
    <w:p w:rsidR="007350B2" w:rsidRPr="007350B2" w:rsidP="007350B2">
      <w:pPr>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upravuje s ohľadom na jeho jednoznačnosť a zrozumiteľnosť vo väzbe na určenú lehotu.</w:t>
      </w:r>
    </w:p>
    <w:p w:rsidR="007350B2" w:rsidRPr="007350B2" w:rsidP="007350B2">
      <w:pPr>
        <w:ind w:left="4536"/>
        <w:contextualSpacing/>
        <w:jc w:val="both"/>
        <w:rPr>
          <w:bCs w:val="0"/>
          <w:lang w:eastAsia="en-US"/>
        </w:rPr>
      </w:pPr>
      <w:r w:rsidRPr="007350B2">
        <w:rPr>
          <w:bCs w:val="0"/>
          <w:lang w:eastAsia="en-US"/>
        </w:rPr>
        <w:t xml:space="preserve">  </w:t>
      </w:r>
    </w:p>
    <w:p w:rsidR="007350B2" w:rsidRPr="007350B2" w:rsidP="007350B2">
      <w:pPr>
        <w:numPr>
          <w:ilvl w:val="0"/>
          <w:numId w:val="46"/>
        </w:numPr>
        <w:contextualSpacing/>
        <w:jc w:val="both"/>
        <w:rPr>
          <w:bCs w:val="0"/>
          <w:lang w:eastAsia="en-US"/>
        </w:rPr>
      </w:pPr>
      <w:r w:rsidRPr="007350B2">
        <w:rPr>
          <w:bCs w:val="0"/>
          <w:lang w:eastAsia="en-US"/>
        </w:rPr>
        <w:t>V čl. I, bode 31 § 35 ods. 6 písm. a) sa slová „sa v pôvodnom podaní uplatnilo“ nahrádzajú slovami „bolo v pôvodnom podaní uplatnené“.</w:t>
      </w:r>
    </w:p>
    <w:p w:rsidR="007350B2" w:rsidRPr="007350B2" w:rsidP="007350B2">
      <w:pPr>
        <w:ind w:left="3969"/>
        <w:contextualSpacing/>
        <w:jc w:val="both"/>
        <w:rPr>
          <w:bCs w:val="0"/>
          <w:lang w:eastAsia="en-US"/>
        </w:rPr>
      </w:pPr>
      <w:r w:rsidRPr="007350B2">
        <w:rPr>
          <w:bCs w:val="0"/>
          <w:lang w:eastAsia="en-US"/>
        </w:rPr>
        <w:t xml:space="preserve">  </w:t>
      </w: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jazykovo/gramaticky zjednocuje  s ohľadom na zaužívané formulácie tak v návrhu zákona </w:t>
      </w:r>
      <w:r w:rsidRPr="007350B2">
        <w:rPr>
          <w:bCs w:val="0"/>
          <w:i/>
          <w:lang w:eastAsia="en-US"/>
        </w:rPr>
        <w:t>(napr. § 23 ods. 4 v čl. I bode 12, § 32 ods. 1 v čl. I bode 20, § 39 ods. 3 v čl. I bode  45 a pod.),</w:t>
      </w:r>
      <w:r w:rsidRPr="007350B2">
        <w:rPr>
          <w:bCs w:val="0"/>
          <w:lang w:eastAsia="en-US"/>
        </w:rPr>
        <w:t xml:space="preserve"> ako aj v platnom zákone </w:t>
      </w:r>
      <w:r w:rsidRPr="007350B2">
        <w:rPr>
          <w:bCs w:val="0"/>
          <w:i/>
          <w:lang w:eastAsia="en-US"/>
        </w:rPr>
        <w:t>(napr. § 36a ods. 1 a pod.)</w:t>
      </w:r>
      <w:r w:rsidRPr="007350B2">
        <w:rPr>
          <w:bCs w:val="0"/>
          <w:lang w:eastAsia="en-US"/>
        </w:rPr>
        <w:t xml:space="preserve">. </w:t>
      </w:r>
      <w:r w:rsidRPr="007350B2">
        <w:rPr>
          <w:bCs w:val="0"/>
          <w:lang w:eastAsia="en-US"/>
        </w:rPr>
        <w:t xml:space="preserve">  </w:t>
      </w:r>
    </w:p>
    <w:p w:rsidR="007350B2" w:rsidRPr="007350B2" w:rsidP="007350B2">
      <w:pPr>
        <w:widowControl w:val="0"/>
        <w:autoSpaceDE w:val="0"/>
        <w:autoSpaceDN w:val="0"/>
        <w:adjustRightInd w:val="0"/>
        <w:rPr>
          <w:bCs w:val="0"/>
        </w:rPr>
      </w:pPr>
    </w:p>
    <w:p w:rsidR="007350B2" w:rsidRPr="007350B2" w:rsidP="007350B2">
      <w:pPr>
        <w:numPr>
          <w:ilvl w:val="0"/>
          <w:numId w:val="46"/>
        </w:numPr>
        <w:contextualSpacing/>
        <w:jc w:val="both"/>
        <w:rPr>
          <w:bCs w:val="0"/>
          <w:lang w:eastAsia="en-US"/>
        </w:rPr>
      </w:pPr>
      <w:r w:rsidRPr="007350B2">
        <w:rPr>
          <w:bCs w:val="0"/>
          <w:lang w:eastAsia="en-US"/>
        </w:rPr>
        <w:t>V  čl. I, bode 45 § 39 odsek 3 znie:</w:t>
      </w:r>
    </w:p>
    <w:p w:rsidR="007350B2" w:rsidRPr="007350B2" w:rsidP="007350B2">
      <w:pPr>
        <w:ind w:left="360"/>
        <w:contextualSpacing/>
        <w:jc w:val="both"/>
        <w:rPr>
          <w:bCs w:val="0"/>
          <w:lang w:eastAsia="en-US"/>
        </w:rPr>
      </w:pPr>
      <w:r w:rsidRPr="007350B2">
        <w:rPr>
          <w:bCs w:val="0"/>
          <w:lang w:eastAsia="en-US"/>
        </w:rPr>
        <w:t>„(3) Úrad v prerušenom konaní o prihláške pokračuje po doručení právoplatného rozhodnutia súdu o práve na riešenie, ktoré je úradu povinná doručiť tá strana súdneho sporu, ktorá podala žiadosť podľa odseku 1.“.</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upravuje s ohľadom na jeho jednoznačnosť a zrozumiteľnosť v súvislosti s pokračovaním prerušeného konania  o prihláške. </w:t>
      </w:r>
    </w:p>
    <w:p w:rsidR="007350B2" w:rsidRPr="007350B2" w:rsidP="007350B2">
      <w:pPr>
        <w:jc w:val="both"/>
        <w:rPr>
          <w:bCs w:val="0"/>
          <w:lang w:eastAsia="en-US"/>
        </w:rPr>
      </w:pPr>
    </w:p>
    <w:p w:rsidR="007350B2" w:rsidRPr="007350B2" w:rsidP="007350B2">
      <w:pPr>
        <w:widowControl w:val="0"/>
        <w:numPr>
          <w:ilvl w:val="0"/>
          <w:numId w:val="46"/>
        </w:numPr>
        <w:autoSpaceDE w:val="0"/>
        <w:autoSpaceDN w:val="0"/>
        <w:adjustRightInd w:val="0"/>
        <w:contextualSpacing/>
        <w:jc w:val="both"/>
        <w:rPr>
          <w:bCs w:val="0"/>
          <w:lang w:eastAsia="en-US"/>
        </w:rPr>
      </w:pPr>
      <w:r w:rsidRPr="007350B2">
        <w:rPr>
          <w:bCs w:val="0"/>
          <w:lang w:eastAsia="en-US"/>
        </w:rPr>
        <w:t>V čl. I, bode 49 § 40 ods. 4 sa slová „k zisteným dôvodom, na základe ktorých sa má prihláška zamietnuť“ nahrádzajú slovami „k zisteným skutočnostiam, ktoré odôvodňujú zamietnutie prihlášky“.</w:t>
      </w:r>
    </w:p>
    <w:p w:rsidR="007350B2" w:rsidRPr="007350B2" w:rsidP="007350B2">
      <w:pPr>
        <w:ind w:left="4536"/>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s ohľadom na skutočnosti odôvodňujúce zamietnutie prihlášky a zároveň sa jazykovo/gramaticky zjednocuje  s ohľadom na zaužívané formulácie v celom návrhu zákona. </w:t>
      </w:r>
    </w:p>
    <w:p w:rsidR="007350B2" w:rsidRPr="007350B2" w:rsidP="007350B2">
      <w:pPr>
        <w:ind w:left="3969"/>
        <w:contextualSpacing/>
        <w:jc w:val="both"/>
        <w:rPr>
          <w:bCs w:val="0"/>
          <w:lang w:eastAsia="en-US"/>
        </w:rPr>
      </w:pPr>
    </w:p>
    <w:p w:rsidR="007350B2" w:rsidRPr="007350B2" w:rsidP="007350B2">
      <w:pPr>
        <w:numPr>
          <w:ilvl w:val="0"/>
          <w:numId w:val="46"/>
        </w:numPr>
        <w:jc w:val="both"/>
        <w:rPr>
          <w:bCs w:val="0"/>
        </w:rPr>
      </w:pPr>
      <w:r w:rsidRPr="007350B2">
        <w:rPr>
          <w:bCs w:val="0"/>
        </w:rPr>
        <w:t>V čl. I, bode 52 § 41a ods. 2 sa slová „typu vykonanej úradom ako pobočkou Vyšehradského patentového inštitútu“ nahrádzajú slovami „typu, ktorú vykonal</w:t>
      </w:r>
      <w:r w:rsidRPr="007350B2">
        <w:rPr>
          <w:bCs w:val="0"/>
        </w:rPr>
        <w:t xml:space="preserve"> úrad ako pobočka Vyšehrad</w:t>
      </w:r>
      <w:r w:rsidRPr="007350B2">
        <w:rPr>
          <w:bCs w:val="0"/>
        </w:rPr>
        <w:t xml:space="preserve">ského patentového inštitútu“. </w:t>
      </w:r>
    </w:p>
    <w:p w:rsidR="007350B2" w:rsidRPr="007350B2" w:rsidP="007350B2">
      <w:pPr>
        <w:ind w:left="360"/>
        <w:rPr>
          <w:bCs w:val="0"/>
        </w:rPr>
      </w:pPr>
    </w:p>
    <w:p w:rsidR="007350B2" w:rsidRPr="007350B2" w:rsidP="007350B2">
      <w:pPr>
        <w:ind w:left="3402"/>
        <w:contextualSpacing/>
        <w:jc w:val="both"/>
        <w:rPr>
          <w:bCs w:val="0"/>
          <w:lang w:eastAsia="en-US"/>
        </w:rPr>
      </w:pPr>
      <w:r w:rsidRPr="007350B2">
        <w:rPr>
          <w:bCs w:val="0"/>
          <w:lang w:eastAsia="en-US"/>
        </w:rPr>
        <w:t>Ide o legislatívno-technickú úpravu; ustanovenie sa upravuje  v záujme jeho zrozumiteľnosti a  jednoznačnosti.</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 bode 59 § 47 ods. 1 sa prvá veta nahrádza textom, ktorý znie: „Návrh na zrušenie patentu musí obsahovať právne a skutkové odôvodnenie. Zároveň s návrhom na zrušenie patentu  navrhovateľ musí predložiť dôkazy alebo označiť dôkazy, ktoré predloží</w:t>
      </w:r>
      <w:r w:rsidRPr="007350B2">
        <w:rPr>
          <w:bCs w:val="0"/>
          <w:lang w:eastAsia="en-US"/>
        </w:rPr>
        <w:t xml:space="preserve">.“ a v doterajšej druhej vete sa slová „predchádzajúcej vety“ nahrádzajú slovami „predchádzajúcich viet“. </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upravuje v záujme jeho zrozumiteľnosti a  jednoznačnosti.</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 bode 59 § 47 ods. 8 </w:t>
      </w:r>
      <w:r w:rsidRPr="007350B2">
        <w:rPr>
          <w:bCs w:val="0"/>
          <w:i/>
          <w:lang w:eastAsia="en-US"/>
        </w:rPr>
        <w:t>(druhá veta)</w:t>
      </w:r>
      <w:r w:rsidRPr="007350B2">
        <w:rPr>
          <w:bCs w:val="0"/>
          <w:lang w:eastAsia="en-US"/>
        </w:rPr>
        <w:t xml:space="preserve"> sa za slovo „inak“ vkladá slovo „úrad“.</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spresňuje.</w:t>
      </w:r>
    </w:p>
    <w:p w:rsidR="007350B2" w:rsidRPr="007350B2" w:rsidP="007350B2">
      <w:pPr>
        <w:ind w:left="4536"/>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V č</w:t>
      </w:r>
      <w:r w:rsidRPr="007350B2">
        <w:rPr>
          <w:bCs w:val="0"/>
          <w:lang w:eastAsia="en-US"/>
        </w:rPr>
        <w:t>l. I, bode 59 § 51 odsek 3 znie:</w:t>
      </w:r>
    </w:p>
    <w:p w:rsidR="007350B2" w:rsidRPr="007350B2" w:rsidP="007350B2">
      <w:pPr>
        <w:ind w:left="360"/>
        <w:rPr>
          <w:bCs w:val="0"/>
        </w:rPr>
      </w:pPr>
      <w:r w:rsidRPr="007350B2">
        <w:rPr>
          <w:bCs w:val="0"/>
        </w:rPr>
        <w:t>„(3) Žiadosti podľa odseku 1 nemožno vyhovieť, ak ide o zmeškanie lehoty podľa § 47 ods. 4 písm. b)  a žiadosti podľa odseku 2 nemožno vyhovieť, ak ide o zmeškanie lehoty podľa § 47 ods. 1, 2, 4 a 6</w:t>
      </w:r>
      <w:r w:rsidRPr="007350B2">
        <w:rPr>
          <w:bCs w:val="0"/>
        </w:rPr>
        <w:t>.“.</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w:t>
      </w:r>
      <w:r w:rsidRPr="007350B2">
        <w:rPr>
          <w:bCs w:val="0"/>
          <w:lang w:eastAsia="en-US"/>
        </w:rPr>
        <w:t xml:space="preserve">technickú úpravu;  ustanovenie sa upravuje gramaticky/štylisticky. </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 xml:space="preserve">V čl. I, bode 59 § 51 ods. 4 sa slová „podľa odsekov 1 alebo 2“ nahrádzajú slovami „podľa odseku 1 alebo odseku 2“.  </w:t>
      </w:r>
    </w:p>
    <w:p w:rsidR="007350B2" w:rsidRPr="007350B2" w:rsidP="007350B2">
      <w:pPr>
        <w:ind w:left="360"/>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upravuje s  ohľ</w:t>
      </w:r>
      <w:r w:rsidRPr="007350B2">
        <w:rPr>
          <w:bCs w:val="0"/>
          <w:lang w:eastAsia="en-US"/>
        </w:rPr>
        <w:t>adom na gramatiku a legislatívne pravidlá tvorby zákonov.</w:t>
      </w:r>
    </w:p>
    <w:p w:rsidR="007350B2" w:rsidRPr="007350B2" w:rsidP="007350B2">
      <w:pPr>
        <w:ind w:left="360"/>
        <w:contextualSpacing/>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 xml:space="preserve">V čl. I, bode 59 § 52 ods. 2 sa za slová „bránili vykonaniu úkonu“ vkladá čiarka.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upravuje gramaticky. </w:t>
      </w:r>
    </w:p>
    <w:p w:rsidR="007350B2" w:rsidRPr="007350B2" w:rsidP="007350B2">
      <w:pPr>
        <w:ind w:left="3969"/>
        <w:contextualSpacing/>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 xml:space="preserve">V čl. I, bode 59 § 52 ods. 4 úvodná veta znie: „Žiadosti o uvedenie do predošlého stavu nemožno vyhovieť, ak ide o zmeškanie lehoty na“.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formulačne zjednocuje s poukazom na obdobnú úpravu v iných častiach návrhu zákona </w:t>
      </w:r>
      <w:r w:rsidRPr="007350B2">
        <w:rPr>
          <w:bCs w:val="0"/>
          <w:i/>
          <w:lang w:eastAsia="en-US"/>
        </w:rPr>
        <w:t>(napr. § 44 ods. 4 v čl. II bode 40).</w:t>
      </w:r>
    </w:p>
    <w:p w:rsidR="007350B2" w:rsidRPr="007350B2" w:rsidP="007350B2">
      <w:pPr>
        <w:ind w:left="3969"/>
        <w:contextualSpacing/>
        <w:jc w:val="both"/>
        <w:rPr>
          <w:bCs w:val="0"/>
          <w:lang w:eastAsia="ar-SA"/>
        </w:rPr>
      </w:pPr>
    </w:p>
    <w:p w:rsidR="007350B2" w:rsidRPr="007350B2" w:rsidP="007350B2">
      <w:pPr>
        <w:numPr>
          <w:ilvl w:val="0"/>
          <w:numId w:val="46"/>
        </w:numPr>
        <w:autoSpaceDE w:val="0"/>
        <w:autoSpaceDN w:val="0"/>
        <w:adjustRightInd w:val="0"/>
        <w:jc w:val="both"/>
        <w:rPr>
          <w:bCs w:val="0"/>
          <w:color w:val="000000"/>
          <w:lang w:eastAsia="ar-SA"/>
        </w:rPr>
      </w:pPr>
      <w:r w:rsidRPr="007350B2">
        <w:rPr>
          <w:bCs w:val="0"/>
          <w:color w:val="000000"/>
          <w:lang w:eastAsia="en-US"/>
        </w:rPr>
        <w:t>V čl. I, bode 59 § 52 ods. 5 sa slová „alebo jej nemožno vyhovieť podľa odseku 4, alebo žiadateľ nepreukáže svoje tvrdenia podľa odseku 3;“ nahrádzajú slovami „alebo žiadateľ nepreukáže svoje tvrdenia podľa odseku 3, alebo jej nemožno vyhovieť podľa odseku 4;“ a slová „k zisteným dôvodom, na základe ktorých má byť žiadosť zamietnutá“ sa nahrádzajú slovami „k zisteným skutočnostiam, ktoré odôvodňujú zamietnutie žiadosti“.</w:t>
      </w:r>
    </w:p>
    <w:p w:rsidR="007350B2" w:rsidRPr="007350B2" w:rsidP="007350B2">
      <w:pPr>
        <w:autoSpaceDE w:val="0"/>
        <w:autoSpaceDN w:val="0"/>
        <w:adjustRightInd w:val="0"/>
        <w:ind w:left="3402"/>
        <w:jc w:val="both"/>
        <w:rPr>
          <w:bCs w:val="0"/>
          <w:i/>
          <w:color w:val="000000"/>
          <w:lang w:eastAsia="en-US"/>
        </w:rPr>
      </w:pPr>
      <w:r w:rsidRPr="007350B2">
        <w:rPr>
          <w:bCs w:val="0"/>
          <w:color w:val="000000"/>
          <w:lang w:eastAsia="en-US"/>
        </w:rPr>
        <w:t>Ide o legislatívno-technickú úpravu;  ustanovenie upravuje gramat</w:t>
      </w:r>
      <w:r w:rsidRPr="007350B2">
        <w:rPr>
          <w:bCs w:val="0"/>
          <w:color w:val="000000"/>
          <w:lang w:eastAsia="en-US"/>
        </w:rPr>
        <w:t xml:space="preserve">icky/štylisticky </w:t>
      </w:r>
      <w:r w:rsidRPr="007350B2">
        <w:rPr>
          <w:bCs w:val="0"/>
          <w:i/>
          <w:color w:val="000000"/>
          <w:lang w:eastAsia="en-US"/>
        </w:rPr>
        <w:t>(zachovanie poradia vnútorných odkazov a obdobnú úpravu napr. v § 40 ods. 4 v čl. 1 bode 49).</w:t>
      </w:r>
    </w:p>
    <w:p w:rsidR="007350B2" w:rsidRPr="007350B2" w:rsidP="007350B2">
      <w:pPr>
        <w:autoSpaceDE w:val="0"/>
        <w:autoSpaceDN w:val="0"/>
        <w:adjustRightInd w:val="0"/>
        <w:ind w:left="3969"/>
        <w:jc w:val="both"/>
        <w:rPr>
          <w:bCs w:val="0"/>
          <w:color w:val="000000"/>
          <w:lang w:eastAsia="ar-SA"/>
        </w:rPr>
      </w:pPr>
    </w:p>
    <w:p w:rsidR="007350B2" w:rsidRPr="007350B2" w:rsidP="007350B2">
      <w:pPr>
        <w:numPr>
          <w:ilvl w:val="0"/>
          <w:numId w:val="46"/>
        </w:numPr>
        <w:autoSpaceDE w:val="0"/>
        <w:autoSpaceDN w:val="0"/>
        <w:adjustRightInd w:val="0"/>
        <w:jc w:val="both"/>
        <w:rPr>
          <w:bCs w:val="0"/>
          <w:color w:val="000000"/>
          <w:lang w:eastAsia="ar-SA"/>
        </w:rPr>
      </w:pPr>
      <w:r w:rsidRPr="007350B2">
        <w:rPr>
          <w:bCs w:val="0"/>
          <w:color w:val="000000"/>
          <w:lang w:eastAsia="en-US"/>
        </w:rPr>
        <w:t xml:space="preserve">V čl. I, bode 62 § 55 ods. 3 sa slová „ak je podanie rozkladu neprípustné“ nahrádzajú slovami „ak podanie rozkladu nie je prípustné“. </w:t>
      </w:r>
    </w:p>
    <w:p w:rsidR="007350B2" w:rsidRPr="007350B2" w:rsidP="007350B2">
      <w:pPr>
        <w:ind w:left="3402"/>
        <w:jc w:val="both"/>
        <w:rPr>
          <w:bCs w:val="0"/>
          <w:i/>
          <w:lang w:eastAsia="en-US"/>
        </w:rPr>
      </w:pPr>
      <w:r w:rsidRPr="007350B2">
        <w:rPr>
          <w:bCs w:val="0"/>
          <w:lang w:eastAsia="en-US"/>
        </w:rPr>
        <w:t>Ide o leg</w:t>
      </w:r>
      <w:r w:rsidRPr="007350B2">
        <w:rPr>
          <w:bCs w:val="0"/>
          <w:lang w:eastAsia="en-US"/>
        </w:rPr>
        <w:t xml:space="preserve">islatívno-technickú úpravu;  ustanovenie sa  štylisticky zjednocuje </w:t>
      </w:r>
      <w:r w:rsidRPr="007350B2">
        <w:rPr>
          <w:bCs w:val="0"/>
          <w:i/>
          <w:lang w:eastAsia="en-US"/>
        </w:rPr>
        <w:t>(obdobne ako úprava napr. § 53 ods. 3 v  čl. III bode 58).</w:t>
      </w:r>
    </w:p>
    <w:p w:rsidR="007350B2" w:rsidRPr="007350B2" w:rsidP="007350B2">
      <w:pPr>
        <w:ind w:left="3402"/>
        <w:jc w:val="both"/>
        <w:rPr>
          <w:bCs w:val="0"/>
          <w:i/>
          <w:lang w:eastAsia="ar-SA"/>
        </w:rPr>
      </w:pPr>
    </w:p>
    <w:p w:rsidR="007350B2" w:rsidRPr="007350B2" w:rsidP="007350B2">
      <w:pPr>
        <w:numPr>
          <w:ilvl w:val="0"/>
          <w:numId w:val="46"/>
        </w:numPr>
        <w:contextualSpacing/>
        <w:rPr>
          <w:bCs w:val="0"/>
          <w:lang w:eastAsia="en-US"/>
        </w:rPr>
      </w:pPr>
      <w:r w:rsidRPr="007350B2">
        <w:rPr>
          <w:bCs w:val="0"/>
          <w:lang w:eastAsia="en-US"/>
        </w:rPr>
        <w:t>V čl. I, bode 69 § 67a sa v poznámke pod čiarou k odkazu 21a slová „Čl.17 ods. 2 a čl. 8 ods. 1“ nahrádzajú slovami „Čl.8 ods. 1 písm. a) bod iv) a čl. 17 ods.2“.</w:t>
      </w:r>
    </w:p>
    <w:p w:rsidR="007350B2" w:rsidRPr="007350B2" w:rsidP="007350B2">
      <w:pPr>
        <w:ind w:left="360"/>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pripomienku, ktorou sa spresňuje citácia príslušného ustanovenia [čl. 8 ods. 1 písm. a) bod iv] nariadenia Európskeho parlamentu a Rady č. 1610/96, ktoré upravuje náležitosti </w:t>
      </w:r>
      <w:r w:rsidRPr="007350B2">
        <w:rPr>
          <w:bCs w:val="0"/>
          <w:i/>
          <w:lang w:eastAsia="en-US"/>
        </w:rPr>
        <w:t>(číslo a dátum)</w:t>
      </w:r>
      <w:r w:rsidRPr="007350B2">
        <w:rPr>
          <w:bCs w:val="0"/>
          <w:lang w:eastAsia="en-US"/>
        </w:rPr>
        <w:t xml:space="preserve"> prvého povolenia na uvedenie výrobku na trh v Európskej únii v žiadosti o udelenie dodatkového ochranného osvedčenia.</w:t>
      </w:r>
    </w:p>
    <w:p w:rsidR="007350B2" w:rsidRPr="007350B2" w:rsidP="007350B2">
      <w:pPr>
        <w:ind w:left="360"/>
        <w:contextualSpacing/>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V čl. I, bode 70 § 79 ods. 5 sa slová „Účastníci konania, ktorí vykonávajú úkony podľa odseku 3 sú povinní“ nahrádzajú slovami „Účastník konania, ktorý vykonáva úkony podľa odseku 3, je povinný“.</w:t>
      </w:r>
    </w:p>
    <w:p w:rsidR="007350B2" w:rsidRPr="007350B2" w:rsidP="007350B2">
      <w:pPr>
        <w:ind w:left="3402"/>
        <w:contextualSpacing/>
        <w:jc w:val="both"/>
        <w:rPr>
          <w:bCs w:val="0"/>
          <w:lang w:eastAsia="en-US"/>
        </w:rPr>
      </w:pPr>
    </w:p>
    <w:p w:rsidR="007350B2" w:rsidRPr="007350B2" w:rsidP="007350B2">
      <w:pPr>
        <w:ind w:left="3402"/>
        <w:contextualSpacing/>
        <w:jc w:val="both"/>
        <w:rPr>
          <w:bCs w:val="0"/>
          <w:i/>
          <w:lang w:eastAsia="ar-SA"/>
        </w:rPr>
      </w:pPr>
      <w:r w:rsidRPr="007350B2">
        <w:rPr>
          <w:bCs w:val="0"/>
          <w:lang w:eastAsia="en-US"/>
        </w:rPr>
        <w:t xml:space="preserve">Ide o legislatívno-technickú úpravu;  ustanovenie sa  upravuje gramaticky </w:t>
      </w:r>
      <w:r w:rsidRPr="007350B2">
        <w:rPr>
          <w:bCs w:val="0"/>
          <w:i/>
          <w:lang w:eastAsia="en-US"/>
        </w:rPr>
        <w:t xml:space="preserve">(text sa spresňuje a zjednocuje z hľadiska  čísla). </w:t>
      </w:r>
    </w:p>
    <w:p w:rsidR="007350B2" w:rsidRPr="007350B2" w:rsidP="007350B2">
      <w:pPr>
        <w:ind w:left="4536"/>
        <w:jc w:val="both"/>
        <w:rPr>
          <w:bCs w:val="0"/>
          <w:i/>
          <w:lang w:eastAsia="ar-SA"/>
        </w:rPr>
      </w:pPr>
    </w:p>
    <w:p w:rsidR="007350B2" w:rsidRPr="007350B2" w:rsidP="007350B2">
      <w:pPr>
        <w:numPr>
          <w:ilvl w:val="0"/>
          <w:numId w:val="46"/>
        </w:numPr>
        <w:contextualSpacing/>
        <w:jc w:val="both"/>
        <w:rPr>
          <w:bCs w:val="0"/>
          <w:lang w:eastAsia="en-US"/>
        </w:rPr>
      </w:pPr>
      <w:r w:rsidRPr="007350B2">
        <w:rPr>
          <w:bCs w:val="0"/>
          <w:lang w:eastAsia="en-US"/>
        </w:rPr>
        <w:t xml:space="preserve">V čl. II, bode 4 § 12 ods. 3 </w:t>
      </w:r>
      <w:r w:rsidRPr="007350B2">
        <w:rPr>
          <w:bCs w:val="0"/>
          <w:i/>
          <w:lang w:eastAsia="en-US"/>
        </w:rPr>
        <w:t xml:space="preserve">(prvá veta) </w:t>
      </w:r>
      <w:r w:rsidRPr="007350B2">
        <w:rPr>
          <w:bCs w:val="0"/>
          <w:lang w:eastAsia="en-US"/>
        </w:rPr>
        <w:t xml:space="preserve">sa za slovo „upovedomenia“ </w:t>
      </w:r>
      <w:r w:rsidRPr="007350B2">
        <w:rPr>
          <w:bCs w:val="0"/>
          <w:lang w:eastAsia="en-US"/>
        </w:rPr>
        <w:t>vkladá slovo „pôvodcom“.</w:t>
      </w: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určením osoby, ktorá upovedomuje zamestnávateľa. </w:t>
      </w:r>
    </w:p>
    <w:p w:rsidR="007350B2" w:rsidRPr="007350B2" w:rsidP="007350B2">
      <w:pPr>
        <w:ind w:left="4536"/>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 bode 4 § 12 ods. 6 </w:t>
      </w:r>
      <w:r w:rsidRPr="007350B2">
        <w:rPr>
          <w:bCs w:val="0"/>
          <w:i/>
          <w:lang w:eastAsia="en-US"/>
        </w:rPr>
        <w:t>(prvá veta)</w:t>
      </w:r>
      <w:r w:rsidRPr="007350B2">
        <w:rPr>
          <w:bCs w:val="0"/>
          <w:lang w:eastAsia="en-US"/>
        </w:rPr>
        <w:t xml:space="preserve"> sa slová „sa uplatnilo“ nahrádzajú slovami „zamestnávateľ uplatnil“.</w:t>
      </w:r>
    </w:p>
    <w:p w:rsidR="007350B2" w:rsidRPr="007350B2" w:rsidP="007350B2">
      <w:pPr>
        <w:ind w:left="4536"/>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určením osoby, ktorá si uplatnila právo na riešenie. </w:t>
      </w:r>
    </w:p>
    <w:p w:rsidR="007350B2" w:rsidRPr="007350B2" w:rsidP="007350B2">
      <w:pPr>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 bode 4 § 12 ods. 7 </w:t>
      </w:r>
      <w:r w:rsidRPr="007350B2">
        <w:rPr>
          <w:bCs w:val="0"/>
          <w:i/>
          <w:lang w:eastAsia="en-US"/>
        </w:rPr>
        <w:t xml:space="preserve">(tretia veta) </w:t>
      </w:r>
      <w:r w:rsidRPr="007350B2">
        <w:rPr>
          <w:bCs w:val="0"/>
          <w:lang w:eastAsia="en-US"/>
        </w:rPr>
        <w:t>sa slová „na ktorý sa mu poskytli“ nahrádzajú slovami „na ktorý mu ich zamestnávateľ poskytol“.</w:t>
      </w:r>
      <w:r w:rsidRPr="007350B2">
        <w:rPr>
          <w:bCs w:val="0"/>
          <w:i/>
          <w:lang w:eastAsia="en-US"/>
        </w:rPr>
        <w:t xml:space="preserve">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určením osoby, ktorá účelom obmedzila použitie „dôverných informácií“ poskytnutých pôvodcovi.  </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en-US"/>
        </w:rPr>
      </w:pPr>
      <w:r w:rsidRPr="007350B2">
        <w:rPr>
          <w:bCs w:val="0"/>
          <w:lang w:eastAsia="en-US"/>
        </w:rPr>
        <w:t>V čl. II, bode 4 § 12 ods. 9 sa slová „spolupôvodcovia nedohodnú inak alebo ak inak nerozhodne súd</w:t>
      </w:r>
      <w:r w:rsidRPr="007350B2">
        <w:rPr>
          <w:bCs w:val="0"/>
          <w:lang w:eastAsia="en-US"/>
        </w:rPr>
        <w:t>“ nahrádzajú slovami „spolupôvodcovia nedohodli inak alebo ak inak nerozhodol súd“.</w:t>
      </w:r>
    </w:p>
    <w:p w:rsidR="007350B2" w:rsidRPr="007350B2" w:rsidP="007350B2">
      <w:pPr>
        <w:ind w:left="4536"/>
        <w:jc w:val="both"/>
        <w:rPr>
          <w:bCs w:val="0"/>
          <w:lang w:eastAsia="en-US"/>
        </w:rPr>
      </w:pPr>
    </w:p>
    <w:p w:rsidR="007350B2" w:rsidRPr="007350B2" w:rsidP="007350B2">
      <w:pPr>
        <w:ind w:left="3402"/>
        <w:jc w:val="both"/>
        <w:rPr>
          <w:bCs w:val="0"/>
          <w:lang w:eastAsia="ar-SA"/>
        </w:rPr>
      </w:pPr>
      <w:r w:rsidRPr="007350B2">
        <w:rPr>
          <w:bCs w:val="0"/>
          <w:lang w:eastAsia="en-US"/>
        </w:rPr>
        <w:t>Ide o legislatívno-technickú úpravu; text  ustanovenia sa spresňuje vo väzbe na skutočnosti, ktoré musia reálne nastať, aby mohlo dôjsť k zmene spolupôvodcovských podielov</w:t>
      </w:r>
      <w:r w:rsidRPr="007350B2">
        <w:rPr>
          <w:bCs w:val="0"/>
          <w:lang w:eastAsia="en-US"/>
        </w:rPr>
        <w:t>.</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en-US"/>
        </w:rPr>
      </w:pPr>
      <w:r w:rsidRPr="007350B2">
        <w:rPr>
          <w:bCs w:val="0"/>
          <w:lang w:eastAsia="en-US"/>
        </w:rPr>
        <w:t>V čl. II, bode 4 sa v poznámke pod čiarou k odkazu 1c slová „z 18. decembra 2006, ktorým sa schvaľuje pristúpenie Európskeho spoločenstva k Ženevskému aktu Haagskej dohody o medzinárodnom zápise dizajnov, prijatému 2. júla 1999 v Ženeve“ vypúšťajú.</w:t>
      </w:r>
    </w:p>
    <w:p w:rsidR="007350B2" w:rsidRPr="007350B2" w:rsidP="007350B2">
      <w:pPr>
        <w:ind w:left="360"/>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pripomienku, ktorou sa vypúšťajú nadbytočné slová v súlade s bodom 41 </w:t>
      </w:r>
      <w:r w:rsidRPr="007350B2">
        <w:rPr>
          <w:bCs w:val="0"/>
          <w:i/>
          <w:lang w:eastAsia="en-US"/>
        </w:rPr>
        <w:t>(skrátená citácia)</w:t>
      </w:r>
      <w:r w:rsidRPr="007350B2">
        <w:rPr>
          <w:bCs w:val="0"/>
          <w:lang w:eastAsia="en-US"/>
        </w:rPr>
        <w:t xml:space="preserve"> Legislatívno-technických pokynov Prílohy č. 2 k legislatívnym pravidlám tvorby zákonov.</w:t>
      </w:r>
    </w:p>
    <w:p w:rsidR="007350B2" w:rsidRPr="007350B2" w:rsidP="007350B2">
      <w:pPr>
        <w:ind w:left="360"/>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II, bode 10 § 16 ods. 8 sa za slová „Občianske</w:t>
      </w:r>
      <w:r w:rsidRPr="007350B2">
        <w:rPr>
          <w:bCs w:val="0"/>
          <w:lang w:eastAsia="en-US"/>
        </w:rPr>
        <w:t>ho zákonníka“ vkladajú slová „o podielovom spoluvlastníctve“.</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slovnou konkretizáciou ustanovení Občianskeho zákonníka.  </w:t>
      </w:r>
    </w:p>
    <w:p w:rsidR="007350B2" w:rsidRPr="007350B2" w:rsidP="007350B2">
      <w:pPr>
        <w:ind w:left="4536"/>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II, bode 10 sa za poznámku pod čiarou k odkazu 2a  vkladá poznámka pod čiarou k odkazu 3, ktorá znie:</w:t>
      </w:r>
    </w:p>
    <w:p w:rsidR="007350B2" w:rsidRPr="007350B2" w:rsidP="007350B2">
      <w:pPr>
        <w:ind w:left="360"/>
        <w:contextualSpacing/>
        <w:jc w:val="both"/>
        <w:rPr>
          <w:bCs w:val="0"/>
          <w:lang w:eastAsia="en-US"/>
        </w:rPr>
      </w:pPr>
      <w:r w:rsidRPr="007350B2">
        <w:rPr>
          <w:bCs w:val="0"/>
          <w:lang w:eastAsia="en-US"/>
        </w:rPr>
        <w:t>„</w:t>
      </w:r>
      <w:r w:rsidRPr="007350B2">
        <w:rPr>
          <w:bCs w:val="0"/>
          <w:vertAlign w:val="superscript"/>
          <w:lang w:eastAsia="en-US"/>
        </w:rPr>
        <w:t>3</w:t>
      </w:r>
      <w:r w:rsidRPr="007350B2">
        <w:rPr>
          <w:bCs w:val="0"/>
          <w:lang w:eastAsia="en-US"/>
        </w:rPr>
        <w:t>) § 137 až 142 Občianskeho zákonníka.“.</w:t>
      </w:r>
    </w:p>
    <w:p w:rsidR="007350B2" w:rsidRPr="007350B2" w:rsidP="007350B2">
      <w:pPr>
        <w:ind w:left="360"/>
        <w:contextualSpacing/>
        <w:jc w:val="both"/>
        <w:rPr>
          <w:bCs w:val="0"/>
          <w:lang w:eastAsia="en-US"/>
        </w:rPr>
      </w:pPr>
    </w:p>
    <w:p w:rsidR="007350B2" w:rsidRPr="007350B2" w:rsidP="007350B2">
      <w:pPr>
        <w:ind w:left="360"/>
        <w:contextualSpacing/>
        <w:jc w:val="both"/>
        <w:rPr>
          <w:bCs w:val="0"/>
          <w:lang w:eastAsia="en-US"/>
        </w:rPr>
      </w:pPr>
      <w:r w:rsidRPr="007350B2">
        <w:rPr>
          <w:bCs w:val="0"/>
          <w:lang w:eastAsia="en-US"/>
        </w:rPr>
        <w:t>V súvislosti s vložením poznámky pod čiarou sa upraví úvodná veta k poznámkam pod čiarou.</w:t>
      </w:r>
    </w:p>
    <w:p w:rsidR="007350B2" w:rsidRPr="007350B2" w:rsidP="007350B2">
      <w:pPr>
        <w:ind w:left="360"/>
        <w:contextualSpacing/>
        <w:jc w:val="both"/>
        <w:rPr>
          <w:bCs w:val="0"/>
          <w:lang w:eastAsia="en-US"/>
        </w:rPr>
      </w:pPr>
      <w:r w:rsidRPr="007350B2">
        <w:rPr>
          <w:bCs w:val="0"/>
          <w:lang w:eastAsia="en-US"/>
        </w:rPr>
        <w:t xml:space="preserve">   </w:t>
      </w:r>
    </w:p>
    <w:p w:rsidR="007350B2" w:rsidRPr="007350B2" w:rsidP="007350B2">
      <w:pPr>
        <w:ind w:left="3402"/>
        <w:jc w:val="both"/>
        <w:rPr>
          <w:bCs w:val="0"/>
          <w:i/>
          <w:lang w:eastAsia="en-US"/>
        </w:rPr>
      </w:pPr>
      <w:r w:rsidRPr="007350B2">
        <w:rPr>
          <w:bCs w:val="0"/>
          <w:lang w:eastAsia="en-US"/>
        </w:rPr>
        <w:t>Ide o legislatívno-technickú úpravu;  poznámka pod čiarou sa spresňuje uvedením ustanovení týkajúcich sa   podielového spoluvlastníctva</w:t>
      </w:r>
      <w:r w:rsidRPr="007350B2">
        <w:rPr>
          <w:bCs w:val="0"/>
          <w:i/>
          <w:lang w:eastAsia="en-US"/>
        </w:rPr>
        <w:t xml:space="preserve"> (úprava reflektuje úpravu § 16 ods. 8 v čl. II bode 10, ako aj obdobnú úpravu poznámky pod čiarou napr. k odkazu 9 v čl. I bode 12).  </w:t>
      </w:r>
    </w:p>
    <w:p w:rsidR="007350B2" w:rsidRPr="007350B2" w:rsidP="007350B2">
      <w:pPr>
        <w:ind w:left="3402"/>
        <w:jc w:val="both"/>
        <w:rPr>
          <w:bCs w:val="0"/>
          <w:lang w:eastAsia="ar-SA"/>
        </w:rPr>
      </w:pPr>
    </w:p>
    <w:p w:rsidR="007350B2" w:rsidRPr="007350B2" w:rsidP="007350B2">
      <w:pPr>
        <w:numPr>
          <w:ilvl w:val="0"/>
          <w:numId w:val="46"/>
        </w:numPr>
        <w:contextualSpacing/>
        <w:jc w:val="both"/>
        <w:rPr>
          <w:bCs w:val="0"/>
          <w:lang w:eastAsia="en-US"/>
        </w:rPr>
      </w:pPr>
      <w:r w:rsidRPr="007350B2">
        <w:rPr>
          <w:bCs w:val="0"/>
          <w:lang w:eastAsia="en-US"/>
        </w:rPr>
        <w:t>V čl. II, bode 11 § 18 sa slovo „priestore</w:t>
      </w:r>
      <w:r w:rsidRPr="007350B2">
        <w:rPr>
          <w:bCs w:val="0"/>
          <w:vertAlign w:val="superscript"/>
          <w:lang w:eastAsia="en-US"/>
        </w:rPr>
        <w:t>3a)</w:t>
      </w:r>
      <w:r w:rsidRPr="007350B2">
        <w:rPr>
          <w:bCs w:val="0"/>
          <w:lang w:eastAsia="en-US"/>
        </w:rPr>
        <w:t>“ nahrádza slovom „priestore“.</w:t>
      </w:r>
    </w:p>
    <w:p w:rsidR="007350B2" w:rsidRPr="007350B2" w:rsidP="007350B2">
      <w:pPr>
        <w:ind w:left="360"/>
        <w:contextualSpacing/>
        <w:jc w:val="both"/>
        <w:rPr>
          <w:bCs w:val="0"/>
          <w:lang w:eastAsia="en-US"/>
        </w:rPr>
      </w:pPr>
      <w:r w:rsidRPr="007350B2">
        <w:rPr>
          <w:bCs w:val="0"/>
          <w:lang w:eastAsia="en-US"/>
        </w:rPr>
        <w:t>Poznámka pod čiarou k odkazu 3a sa vypúšťa.</w:t>
      </w:r>
    </w:p>
    <w:p w:rsidR="007350B2" w:rsidRPr="007350B2" w:rsidP="007350B2">
      <w:pPr>
        <w:ind w:left="360"/>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pripomienku, ktorou sa vypúšťa nadbytočný odkaz na slovenské znenie medzinárodnej dohody, ktorá bola publikovaná v slovenskej Zbierke zákonov a odkazuje iba na členstvo Slovenskej republiky v Dohode o Európskom hospodárskom priestore, a nie všeobecne na všetky zmluvné štáty Dohody o Európskom hospodárskom priestore.</w:t>
      </w:r>
    </w:p>
    <w:p w:rsidR="007350B2" w:rsidP="007350B2">
      <w:pPr>
        <w:ind w:left="360"/>
        <w:contextualSpacing/>
        <w:jc w:val="both"/>
        <w:rPr>
          <w:bCs w:val="0"/>
          <w:lang w:eastAsia="en-US"/>
        </w:rPr>
      </w:pPr>
    </w:p>
    <w:p w:rsidR="007350B2" w:rsidP="007350B2">
      <w:pPr>
        <w:ind w:left="360"/>
        <w:contextualSpacing/>
        <w:jc w:val="both"/>
        <w:rPr>
          <w:bCs w:val="0"/>
          <w:lang w:eastAsia="en-US"/>
        </w:rPr>
      </w:pPr>
    </w:p>
    <w:p w:rsidR="007350B2" w:rsidP="007350B2">
      <w:pPr>
        <w:ind w:left="360"/>
        <w:contextualSpacing/>
        <w:jc w:val="both"/>
        <w:rPr>
          <w:bCs w:val="0"/>
          <w:lang w:eastAsia="en-US"/>
        </w:rPr>
      </w:pPr>
    </w:p>
    <w:p w:rsidR="007350B2" w:rsidP="007350B2">
      <w:pPr>
        <w:ind w:left="360"/>
        <w:contextualSpacing/>
        <w:jc w:val="both"/>
        <w:rPr>
          <w:bCs w:val="0"/>
          <w:lang w:eastAsia="en-US"/>
        </w:rPr>
      </w:pPr>
    </w:p>
    <w:p w:rsidR="007350B2" w:rsidRPr="007350B2" w:rsidP="007350B2">
      <w:pPr>
        <w:ind w:left="360"/>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II, bode 12 § 23 ods. 4 sa slová „v budúcnosti</w:t>
      </w:r>
      <w:r w:rsidRPr="007350B2">
        <w:rPr>
          <w:bCs w:val="0"/>
          <w:vertAlign w:val="superscript"/>
          <w:lang w:eastAsia="en-US"/>
        </w:rPr>
        <w:t>3b)</w:t>
      </w:r>
      <w:r w:rsidRPr="007350B2">
        <w:rPr>
          <w:bCs w:val="0"/>
          <w:lang w:eastAsia="en-US"/>
        </w:rPr>
        <w:t>“ nahrádzajú slovami „v budúcnosti</w:t>
      </w:r>
      <w:r w:rsidRPr="007350B2">
        <w:rPr>
          <w:bCs w:val="0"/>
          <w:vertAlign w:val="superscript"/>
          <w:lang w:eastAsia="en-US"/>
        </w:rPr>
        <w:t>3a)</w:t>
      </w:r>
      <w:r w:rsidRPr="007350B2">
        <w:rPr>
          <w:bCs w:val="0"/>
          <w:lang w:eastAsia="en-US"/>
        </w:rPr>
        <w:t>“.</w:t>
      </w:r>
    </w:p>
    <w:p w:rsidR="007350B2" w:rsidRPr="007350B2" w:rsidP="007350B2">
      <w:pPr>
        <w:ind w:left="360"/>
        <w:contextualSpacing/>
        <w:jc w:val="both"/>
        <w:rPr>
          <w:bCs w:val="0"/>
          <w:lang w:eastAsia="en-US"/>
        </w:rPr>
      </w:pPr>
      <w:r w:rsidRPr="007350B2">
        <w:rPr>
          <w:bCs w:val="0"/>
          <w:lang w:eastAsia="en-US"/>
        </w:rPr>
        <w:t xml:space="preserve">V súvislosti so zmenou označenia odkazu k poznámke pod čiarou v § 23 ods. 4 </w:t>
      </w:r>
      <w:r w:rsidRPr="007350B2">
        <w:rPr>
          <w:bCs w:val="0"/>
          <w:i/>
          <w:lang w:eastAsia="en-US"/>
        </w:rPr>
        <w:t xml:space="preserve">(odkaz 3b sa mení na odkaz 3a) </w:t>
      </w:r>
      <w:r w:rsidRPr="007350B2">
        <w:rPr>
          <w:bCs w:val="0"/>
          <w:lang w:eastAsia="en-US"/>
        </w:rPr>
        <w:t xml:space="preserve">sa upraví úvodná veta k poznámkam pod čiarou a označenie dotknutej  poznámky  pod čiarou </w:t>
      </w:r>
      <w:r w:rsidRPr="007350B2">
        <w:rPr>
          <w:bCs w:val="0"/>
          <w:i/>
          <w:lang w:eastAsia="en-US"/>
        </w:rPr>
        <w:t>(bod 12).</w:t>
      </w:r>
      <w:r w:rsidRPr="007350B2">
        <w:rPr>
          <w:bCs w:val="0"/>
          <w:lang w:eastAsia="en-US"/>
        </w:rPr>
        <w:t xml:space="preserve"> </w:t>
      </w:r>
    </w:p>
    <w:p w:rsidR="007350B2" w:rsidRPr="007350B2" w:rsidP="007350B2">
      <w:pPr>
        <w:ind w:left="851" w:hanging="491"/>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pripomienku; úprava je   reakciou  na legislatívno-technické úpravy v čl. II, bode 11 § 18 </w:t>
      </w:r>
      <w:r w:rsidRPr="007350B2">
        <w:rPr>
          <w:bCs w:val="0"/>
          <w:i/>
          <w:lang w:eastAsia="en-US"/>
        </w:rPr>
        <w:t>(vypustenie poznámky pod čiarou k odkazu 3a)</w:t>
      </w:r>
      <w:r w:rsidRPr="007350B2">
        <w:rPr>
          <w:bCs w:val="0"/>
          <w:lang w:eastAsia="en-US"/>
        </w:rPr>
        <w:t>.</w:t>
      </w:r>
    </w:p>
    <w:p w:rsidR="007350B2" w:rsidRPr="007350B2" w:rsidP="007350B2">
      <w:pPr>
        <w:ind w:left="3402"/>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II, bode 15 § 27 ods. 1 sa vypúšťajú slová „chránených týmto zákonom“.</w:t>
      </w:r>
    </w:p>
    <w:p w:rsidR="007350B2" w:rsidRPr="007350B2" w:rsidP="007350B2">
      <w:pPr>
        <w:jc w:val="both"/>
        <w:rPr>
          <w:bCs w:val="0"/>
          <w:lang w:eastAsia="ar-SA"/>
        </w:rPr>
      </w:pPr>
    </w:p>
    <w:p w:rsidR="007350B2" w:rsidRPr="007350B2" w:rsidP="007350B2">
      <w:pPr>
        <w:ind w:left="3402"/>
        <w:jc w:val="both"/>
        <w:rPr>
          <w:bCs w:val="0"/>
          <w:lang w:eastAsia="en-US"/>
        </w:rPr>
      </w:pPr>
      <w:r w:rsidRPr="007350B2">
        <w:rPr>
          <w:bCs w:val="0"/>
          <w:lang w:eastAsia="en-US"/>
        </w:rPr>
        <w:t>Ide o legislatívno-technickú úpravu; z ustanovenia sa vypúšťajú nadbytočné slová.</w:t>
      </w:r>
    </w:p>
    <w:p w:rsidR="007350B2" w:rsidRPr="007350B2" w:rsidP="007350B2">
      <w:pPr>
        <w:ind w:left="3402"/>
        <w:jc w:val="both"/>
        <w:rPr>
          <w:bCs w:val="0"/>
          <w:lang w:eastAsia="en-US"/>
        </w:rPr>
      </w:pPr>
    </w:p>
    <w:p w:rsidR="007350B2" w:rsidRPr="007350B2" w:rsidP="007350B2">
      <w:pPr>
        <w:numPr>
          <w:ilvl w:val="0"/>
          <w:numId w:val="46"/>
        </w:numPr>
        <w:contextualSpacing/>
        <w:jc w:val="both"/>
        <w:rPr>
          <w:bCs w:val="0"/>
          <w:lang w:eastAsia="ar-SA"/>
        </w:rPr>
      </w:pPr>
      <w:r w:rsidRPr="007350B2">
        <w:rPr>
          <w:bCs w:val="0"/>
          <w:lang w:eastAsia="en-US"/>
        </w:rPr>
        <w:t>V čl. II, bode 28 § 32 ods. 2 sa slová „jej podania  toto právo“ nahrádzajú slovami  „jej podania musí toto právo“.</w:t>
      </w:r>
    </w:p>
    <w:p w:rsidR="007350B2" w:rsidRPr="007350B2" w:rsidP="007350B2">
      <w:pPr>
        <w:jc w:val="both"/>
        <w:rPr>
          <w:bCs w:val="0"/>
          <w:lang w:eastAsia="ar-SA"/>
        </w:rPr>
      </w:pPr>
    </w:p>
    <w:p w:rsidR="007350B2" w:rsidRPr="007350B2" w:rsidP="007350B2">
      <w:pPr>
        <w:ind w:left="3402"/>
        <w:jc w:val="both"/>
        <w:rPr>
          <w:bCs w:val="0"/>
          <w:lang w:eastAsia="ar-SA"/>
        </w:rPr>
      </w:pPr>
      <w:r w:rsidRPr="007350B2">
        <w:rPr>
          <w:bCs w:val="0"/>
          <w:lang w:eastAsia="en-US"/>
        </w:rPr>
        <w:t xml:space="preserve">Ide o legislatívno-technickú úpravu; ustanovenie sa upravuje  s ohľadom na jeho zrozumiteľnosť. </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en-US"/>
        </w:rPr>
      </w:pPr>
      <w:r w:rsidRPr="007350B2">
        <w:rPr>
          <w:bCs w:val="0"/>
          <w:lang w:eastAsia="en-US"/>
        </w:rPr>
        <w:t>V čl. II, bode 35 § 38 ods. 1 sa prvá veta nahrádza textom, ktorý znie: „Návrh na výmaz zapísaného dizajnu musí obsahovať právne a skutkové odôvodnenie. Zároveň s návrhom na výmaz zapísaného dizajnu navrhovateľ musí predložiť dôkazy alebo označiť dôkazy, ktoré predloží</w:t>
      </w:r>
      <w:r w:rsidRPr="007350B2">
        <w:rPr>
          <w:bCs w:val="0"/>
          <w:lang w:eastAsia="en-US"/>
        </w:rPr>
        <w:t xml:space="preserve">.“ a v doterajšej druhej vete sa slová „predchádzajúcej vety“ nahrádzajú slovami „predchádzajúcich viet“. </w:t>
      </w:r>
    </w:p>
    <w:p w:rsidR="007350B2" w:rsidRPr="007350B2" w:rsidP="007350B2">
      <w:pPr>
        <w:ind w:left="4536"/>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upravuje v záujme jeho zrozumiteľnosti a jednoznačnosti.</w:t>
      </w:r>
    </w:p>
    <w:p w:rsidR="007350B2" w:rsidRPr="007350B2" w:rsidP="007350B2">
      <w:pPr>
        <w:ind w:left="3402"/>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 bode 35 § 38 ods. 7 </w:t>
      </w:r>
      <w:r w:rsidRPr="007350B2">
        <w:rPr>
          <w:bCs w:val="0"/>
          <w:i/>
          <w:lang w:eastAsia="en-US"/>
        </w:rPr>
        <w:t xml:space="preserve">(druhá veta) </w:t>
      </w:r>
      <w:r w:rsidRPr="007350B2">
        <w:rPr>
          <w:bCs w:val="0"/>
          <w:lang w:eastAsia="en-US"/>
        </w:rPr>
        <w:t>sa za slovo „inak“ vkladá slovo „úrad“.</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úpravu;  ustanovenie sa spresňuje</w:t>
      </w:r>
      <w:r w:rsidRPr="007350B2">
        <w:rPr>
          <w:bCs w:val="0"/>
          <w:i/>
          <w:lang w:eastAsia="en-US"/>
        </w:rPr>
        <w:t xml:space="preserve"> (obdobne ako úprava napr. v § 47 ods. 8 v čl. I bode 59).</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ar-SA"/>
        </w:rPr>
      </w:pPr>
      <w:r w:rsidRPr="007350B2">
        <w:rPr>
          <w:bCs w:val="0"/>
          <w:lang w:eastAsia="en-US"/>
        </w:rPr>
        <w:t>V čl. II, bode 40 § 43 odsek 3 znie:</w:t>
      </w:r>
    </w:p>
    <w:p w:rsidR="007350B2" w:rsidRPr="007350B2" w:rsidP="007350B2">
      <w:pPr>
        <w:ind w:left="360"/>
        <w:rPr>
          <w:bCs w:val="0"/>
        </w:rPr>
      </w:pPr>
      <w:r w:rsidRPr="007350B2">
        <w:rPr>
          <w:bCs w:val="0"/>
        </w:rPr>
        <w:t>„(3) Žiadosti podľa odseku 1 nemožno vyhovieť, ak ide o zmeškanie lehoty podľa § 38 ods. 3 písm. b)  a žiadosti podľa odseku 2 nemožno vyhovieť, ak ide o zmeškanie lehoty podľa § 38 ods. 1 až 3 a 5</w:t>
      </w:r>
      <w:r w:rsidRPr="007350B2">
        <w:rPr>
          <w:bCs w:val="0"/>
        </w:rPr>
        <w:t>.“.</w:t>
      </w:r>
    </w:p>
    <w:p w:rsidR="007350B2" w:rsidRPr="007350B2" w:rsidP="007350B2">
      <w:pPr>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upravuje gramaticky/štylisticky. </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 xml:space="preserve">V čl. II, bode 40 § 44 ods. 2 sa za slová „bránili vykonaniu úkonu“ vkladá čiarka. </w:t>
      </w:r>
    </w:p>
    <w:p w:rsidR="007350B2" w:rsidRPr="007350B2" w:rsidP="007350B2">
      <w:pPr>
        <w:ind w:left="3969"/>
        <w:contextualSpacing/>
        <w:jc w:val="both"/>
        <w:rPr>
          <w:bCs w:val="0"/>
          <w:lang w:eastAsia="en-US"/>
        </w:rPr>
      </w:pPr>
    </w:p>
    <w:p w:rsidR="007350B2" w:rsidRPr="007350B2" w:rsidP="007350B2">
      <w:pPr>
        <w:ind w:left="3402"/>
        <w:jc w:val="both"/>
        <w:rPr>
          <w:bCs w:val="0"/>
          <w:lang w:eastAsia="ar-SA"/>
        </w:rPr>
      </w:pPr>
      <w:r w:rsidRPr="007350B2">
        <w:rPr>
          <w:bCs w:val="0"/>
          <w:lang w:eastAsia="en-US"/>
        </w:rPr>
        <w:t>Ide o legislatívno-technickú úpravu;  ustanovenie sa upravuje gramaticky.</w:t>
      </w:r>
    </w:p>
    <w:p w:rsidR="007350B2" w:rsidRPr="007350B2" w:rsidP="007350B2">
      <w:pPr>
        <w:ind w:left="4536"/>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 xml:space="preserve">V čl. II, bode 40 § 44 ods. 4 </w:t>
      </w:r>
      <w:r w:rsidRPr="007350B2">
        <w:rPr>
          <w:bCs w:val="0"/>
          <w:i/>
          <w:lang w:eastAsia="en-US"/>
        </w:rPr>
        <w:t>(úvodná veta)</w:t>
      </w:r>
      <w:r w:rsidRPr="007350B2">
        <w:rPr>
          <w:bCs w:val="0"/>
          <w:lang w:eastAsia="en-US"/>
        </w:rPr>
        <w:t xml:space="preserve"> sa slovo „lehôt“ nahrádza slovom „lehoty“.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formulačne zjednocuje s poukazom na obdobnú úpravu v iných častiach návrhu zákona </w:t>
      </w:r>
      <w:r w:rsidRPr="007350B2">
        <w:rPr>
          <w:bCs w:val="0"/>
          <w:i/>
          <w:lang w:eastAsia="en-US"/>
        </w:rPr>
        <w:t>(obdobne ako úprava napr. § 52 ods. 4 v čl. I bode 59).</w:t>
      </w:r>
    </w:p>
    <w:p w:rsidR="007350B2" w:rsidRPr="007350B2" w:rsidP="007350B2">
      <w:pPr>
        <w:ind w:left="3969"/>
        <w:contextualSpacing/>
        <w:jc w:val="both"/>
        <w:rPr>
          <w:bCs w:val="0"/>
          <w:lang w:eastAsia="ar-SA"/>
        </w:rPr>
      </w:pPr>
    </w:p>
    <w:p w:rsidR="007350B2" w:rsidRPr="007350B2" w:rsidP="007350B2">
      <w:pPr>
        <w:numPr>
          <w:ilvl w:val="0"/>
          <w:numId w:val="46"/>
        </w:numPr>
        <w:autoSpaceDE w:val="0"/>
        <w:autoSpaceDN w:val="0"/>
        <w:adjustRightInd w:val="0"/>
        <w:jc w:val="both"/>
        <w:rPr>
          <w:bCs w:val="0"/>
          <w:color w:val="000000"/>
          <w:lang w:eastAsia="ar-SA"/>
        </w:rPr>
      </w:pPr>
      <w:r w:rsidRPr="007350B2">
        <w:rPr>
          <w:bCs w:val="0"/>
          <w:color w:val="000000"/>
          <w:lang w:eastAsia="en-US"/>
        </w:rPr>
        <w:t>V čl. II, bode 40 § 44 ods. 5 sa slová „alebo jej nemožno vyhovieť podľa odseku 4, alebo žiadateľ nepreukáže svoje tvrdenia podľa odseku 3“ nahrádzajú slovami „alebo žiadateľ nepreukáže svoje tvrdenia podľa odseku 3, alebo jej nemožno vyhovieť podľa odseku 4“ a slová „na ktorých základe sa má žiadosť zamietnuť“ sa nahrádzajú slovami „ktoré odôvodňujú zamietnutie žiadosti“.</w:t>
      </w:r>
    </w:p>
    <w:p w:rsidR="007350B2" w:rsidRPr="007350B2" w:rsidP="007350B2">
      <w:pPr>
        <w:autoSpaceDE w:val="0"/>
        <w:autoSpaceDN w:val="0"/>
        <w:adjustRightInd w:val="0"/>
        <w:ind w:left="4536"/>
        <w:jc w:val="both"/>
        <w:rPr>
          <w:bCs w:val="0"/>
          <w:color w:val="000000"/>
          <w:lang w:eastAsia="en-US"/>
        </w:rPr>
      </w:pPr>
    </w:p>
    <w:p w:rsidR="007350B2" w:rsidRPr="007350B2" w:rsidP="007350B2">
      <w:pPr>
        <w:autoSpaceDE w:val="0"/>
        <w:autoSpaceDN w:val="0"/>
        <w:adjustRightInd w:val="0"/>
        <w:ind w:left="3402"/>
        <w:jc w:val="both"/>
        <w:rPr>
          <w:bCs w:val="0"/>
          <w:i/>
          <w:color w:val="000000"/>
          <w:lang w:eastAsia="en-US"/>
        </w:rPr>
      </w:pPr>
      <w:r w:rsidRPr="007350B2">
        <w:rPr>
          <w:bCs w:val="0"/>
          <w:color w:val="000000"/>
          <w:lang w:eastAsia="en-US"/>
        </w:rPr>
        <w:t xml:space="preserve">Ide o legislatívno-technickú úpravu;  ustanovenie sa upravuje gramaticky/štylisticky </w:t>
      </w:r>
      <w:r w:rsidRPr="007350B2">
        <w:rPr>
          <w:bCs w:val="0"/>
          <w:i/>
          <w:color w:val="000000"/>
          <w:lang w:eastAsia="en-US"/>
        </w:rPr>
        <w:t>(napr. zachovanie poradia vnútorných odkazov obdobne ako úprava § 52 ods. 5 v čl. I</w:t>
      </w:r>
      <w:r w:rsidRPr="007350B2">
        <w:rPr>
          <w:bCs w:val="0"/>
          <w:color w:val="000000"/>
          <w:lang w:eastAsia="en-US"/>
        </w:rPr>
        <w:t xml:space="preserve">, </w:t>
      </w:r>
      <w:r w:rsidRPr="007350B2">
        <w:rPr>
          <w:bCs w:val="0"/>
          <w:i/>
          <w:color w:val="000000"/>
          <w:lang w:eastAsia="en-US"/>
        </w:rPr>
        <w:t>bode 59).</w:t>
      </w:r>
    </w:p>
    <w:p w:rsidR="007350B2" w:rsidRPr="007350B2" w:rsidP="007350B2">
      <w:pPr>
        <w:autoSpaceDE w:val="0"/>
        <w:autoSpaceDN w:val="0"/>
        <w:adjustRightInd w:val="0"/>
        <w:ind w:left="3969"/>
        <w:jc w:val="both"/>
        <w:rPr>
          <w:bCs w:val="0"/>
          <w:color w:val="000000"/>
          <w:lang w:eastAsia="ar-SA"/>
        </w:rPr>
      </w:pPr>
    </w:p>
    <w:p w:rsidR="007350B2" w:rsidRPr="007350B2" w:rsidP="007350B2">
      <w:pPr>
        <w:numPr>
          <w:ilvl w:val="0"/>
          <w:numId w:val="46"/>
        </w:numPr>
        <w:autoSpaceDE w:val="0"/>
        <w:autoSpaceDN w:val="0"/>
        <w:adjustRightInd w:val="0"/>
        <w:jc w:val="both"/>
        <w:rPr>
          <w:bCs w:val="0"/>
          <w:color w:val="000000"/>
          <w:lang w:eastAsia="ar-SA"/>
        </w:rPr>
      </w:pPr>
      <w:r w:rsidRPr="007350B2">
        <w:rPr>
          <w:bCs w:val="0"/>
          <w:color w:val="000000"/>
          <w:lang w:eastAsia="en-US"/>
        </w:rPr>
        <w:t xml:space="preserve">V čl. II, bode 41 § 46 ods. 3 sa slová „ak je podanie rozkladu neprípustné“ nahrádzajú slovami „ak podanie rozkladu nie je prípustné“. </w:t>
      </w:r>
    </w:p>
    <w:p w:rsidR="007350B2" w:rsidRPr="007350B2" w:rsidP="007350B2">
      <w:pPr>
        <w:jc w:val="both"/>
        <w:rPr>
          <w:bCs w:val="0"/>
          <w:lang w:eastAsia="ar-SA"/>
        </w:rPr>
      </w:pPr>
    </w:p>
    <w:p w:rsidR="007350B2" w:rsidRPr="007350B2" w:rsidP="007350B2">
      <w:pPr>
        <w:ind w:left="3402"/>
        <w:jc w:val="both"/>
        <w:rPr>
          <w:bCs w:val="0"/>
          <w:i/>
          <w:lang w:eastAsia="ar-SA"/>
        </w:rPr>
      </w:pPr>
      <w:r w:rsidRPr="007350B2">
        <w:rPr>
          <w:bCs w:val="0"/>
          <w:lang w:eastAsia="en-US"/>
        </w:rPr>
        <w:t xml:space="preserve">Ide o legislatívno-technickú úpravu;  ustanovenie sa  štylisticky zjednocuje </w:t>
      </w:r>
      <w:r w:rsidRPr="007350B2">
        <w:rPr>
          <w:bCs w:val="0"/>
          <w:i/>
          <w:lang w:eastAsia="en-US"/>
        </w:rPr>
        <w:t>(napr. § 46 ods. 4 v čl. II bode 41).</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en-US"/>
        </w:rPr>
      </w:pPr>
      <w:r w:rsidRPr="007350B2">
        <w:rPr>
          <w:bCs w:val="0"/>
          <w:lang w:eastAsia="en-US"/>
        </w:rPr>
        <w:t xml:space="preserve">V čl. II bode 43 sa v poznámke pod čiarou k odkazu 14 na konci pripájajú tieto slová „v platnom znení“ .   </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Ide o legislatívno-technickú pripomienku, ktorou sa precizuje citácia novelizovaného právneho aktu Európskej únie.</w:t>
      </w:r>
    </w:p>
    <w:p w:rsidR="007350B2" w:rsidRPr="007350B2" w:rsidP="007350B2">
      <w:pPr>
        <w:ind w:left="3402"/>
        <w:contextualSpacing/>
        <w:jc w:val="both"/>
        <w:rPr>
          <w:bCs w:val="0"/>
          <w:lang w:eastAsia="ar-SA"/>
        </w:rPr>
      </w:pPr>
    </w:p>
    <w:p w:rsidR="007350B2" w:rsidRPr="007350B2" w:rsidP="007350B2">
      <w:pPr>
        <w:numPr>
          <w:ilvl w:val="0"/>
          <w:numId w:val="46"/>
        </w:numPr>
        <w:contextualSpacing/>
        <w:jc w:val="both"/>
        <w:rPr>
          <w:bCs w:val="0"/>
          <w:lang w:eastAsia="ar-SA"/>
        </w:rPr>
      </w:pPr>
      <w:r w:rsidRPr="007350B2">
        <w:rPr>
          <w:bCs w:val="0"/>
          <w:lang w:eastAsia="en-US"/>
        </w:rPr>
        <w:t>V čl. III, bode 10 § 11 ods. 2 sa slová „riešenie, vznik“ nahrádzajú slovami „riešenie, ako aj  vznik“.</w:t>
      </w:r>
    </w:p>
    <w:p w:rsidR="007350B2" w:rsidRPr="007350B2" w:rsidP="007350B2">
      <w:pPr>
        <w:jc w:val="both"/>
        <w:rPr>
          <w:bCs w:val="0"/>
          <w:lang w:eastAsia="ar-SA"/>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upravuje gramaticky/štylisticky </w:t>
      </w:r>
      <w:r w:rsidRPr="007350B2">
        <w:rPr>
          <w:bCs w:val="0"/>
          <w:i/>
          <w:lang w:eastAsia="en-US"/>
        </w:rPr>
        <w:t xml:space="preserve">(obdobne ako úprava napr. § 11 ods. 2 v čl. I, bode 5). </w:t>
      </w:r>
    </w:p>
    <w:p w:rsidR="007350B2" w:rsidRPr="007350B2" w:rsidP="007350B2">
      <w:pPr>
        <w:jc w:val="both"/>
        <w:rPr>
          <w:bCs w:val="0"/>
          <w:lang w:eastAsia="ar-SA"/>
        </w:rPr>
      </w:pPr>
    </w:p>
    <w:p w:rsidR="007350B2" w:rsidRPr="007350B2" w:rsidP="007350B2">
      <w:pPr>
        <w:numPr>
          <w:ilvl w:val="0"/>
          <w:numId w:val="46"/>
        </w:numPr>
        <w:contextualSpacing/>
        <w:jc w:val="both"/>
        <w:rPr>
          <w:bCs w:val="0"/>
          <w:lang w:eastAsia="en-US"/>
        </w:rPr>
      </w:pPr>
      <w:r w:rsidRPr="007350B2">
        <w:rPr>
          <w:bCs w:val="0"/>
          <w:lang w:eastAsia="en-US"/>
        </w:rPr>
        <w:t xml:space="preserve">V čl. III, bode 10 § 11 ods. 3 </w:t>
      </w:r>
      <w:r w:rsidRPr="007350B2">
        <w:rPr>
          <w:bCs w:val="0"/>
          <w:i/>
          <w:lang w:eastAsia="en-US"/>
        </w:rPr>
        <w:t xml:space="preserve">(prvá veta) </w:t>
      </w:r>
      <w:r w:rsidRPr="007350B2">
        <w:rPr>
          <w:bCs w:val="0"/>
          <w:lang w:eastAsia="en-US"/>
        </w:rPr>
        <w:t>sa za slovo „upovedomenia“ vkladá slovo „pôvodcom“.</w:t>
      </w:r>
    </w:p>
    <w:p w:rsidR="007350B2" w:rsidRPr="007350B2" w:rsidP="007350B2">
      <w:pPr>
        <w:ind w:left="3969"/>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spresňuje určením osoby, ktorá upovedomuje zamestnávateľa </w:t>
      </w:r>
      <w:r w:rsidRPr="007350B2">
        <w:rPr>
          <w:bCs w:val="0"/>
          <w:i/>
          <w:lang w:eastAsia="en-US"/>
        </w:rPr>
        <w:t xml:space="preserve">(obdobne ako úprava § 11 ods. 3 v čl. I, bode 5).  </w:t>
      </w:r>
    </w:p>
    <w:p w:rsidR="007350B2" w:rsidRPr="007350B2" w:rsidP="007350B2">
      <w:pPr>
        <w:ind w:left="4536"/>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III, bode 10 § 11 ods. 6 </w:t>
      </w:r>
      <w:r w:rsidRPr="007350B2">
        <w:rPr>
          <w:bCs w:val="0"/>
          <w:i/>
          <w:lang w:eastAsia="en-US"/>
        </w:rPr>
        <w:t>(prvá veta)</w:t>
      </w:r>
      <w:r w:rsidRPr="007350B2">
        <w:rPr>
          <w:bCs w:val="0"/>
          <w:lang w:eastAsia="en-US"/>
        </w:rPr>
        <w:t xml:space="preserve"> sa slová „bolo uplatnené“ nahrádzajú slovami „zamestnávateľ uplatnil“.</w:t>
      </w:r>
    </w:p>
    <w:p w:rsidR="007350B2" w:rsidRPr="007350B2" w:rsidP="007350B2">
      <w:pPr>
        <w:ind w:left="3969"/>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spresňuje určením osoby, ktorá si uplatnila právo na riešenie </w:t>
      </w:r>
      <w:r w:rsidRPr="007350B2">
        <w:rPr>
          <w:bCs w:val="0"/>
          <w:i/>
          <w:lang w:eastAsia="en-US"/>
        </w:rPr>
        <w:t xml:space="preserve">(obdobne ako úprava napr. § 11 ods. 6 v čl. I, bode 5).  </w:t>
      </w:r>
    </w:p>
    <w:p w:rsidR="007350B2"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III, bode 10 § 11 ods. 7 </w:t>
      </w:r>
      <w:r w:rsidRPr="007350B2">
        <w:rPr>
          <w:bCs w:val="0"/>
          <w:i/>
          <w:lang w:eastAsia="en-US"/>
        </w:rPr>
        <w:t xml:space="preserve">(tretia veta) </w:t>
      </w:r>
      <w:r w:rsidRPr="007350B2">
        <w:rPr>
          <w:bCs w:val="0"/>
          <w:lang w:eastAsia="en-US"/>
        </w:rPr>
        <w:t>sa slová „na ktorý sa mu poskytli“ nahrádzajú slovami „na ktorý mu ich zamestnávateľ poskytol“.</w:t>
      </w:r>
      <w:r w:rsidRPr="007350B2">
        <w:rPr>
          <w:bCs w:val="0"/>
          <w:i/>
          <w:lang w:eastAsia="en-US"/>
        </w:rPr>
        <w:t xml:space="preserve"> </w:t>
      </w:r>
    </w:p>
    <w:p w:rsidR="007350B2" w:rsidRPr="007350B2" w:rsidP="007350B2">
      <w:pPr>
        <w:ind w:left="3969"/>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spresňuje určením osoby, ktorá účelom obmedzila použitie „dôverných informácií“ poskytnutých pôvodcovi </w:t>
      </w:r>
      <w:r w:rsidRPr="007350B2">
        <w:rPr>
          <w:bCs w:val="0"/>
          <w:i/>
          <w:lang w:eastAsia="en-US"/>
        </w:rPr>
        <w:t xml:space="preserve">(obdobne ako úprava napr. § 11 ods. 7 v čl. I, bode 5).  </w:t>
      </w:r>
    </w:p>
    <w:p w:rsidR="007350B2" w:rsidRPr="007350B2" w:rsidP="007350B2">
      <w:pPr>
        <w:ind w:left="3402"/>
        <w:contextualSpacing/>
        <w:jc w:val="both"/>
        <w:rPr>
          <w:bCs w:val="0"/>
          <w:i/>
          <w:lang w:eastAsia="en-US"/>
        </w:rPr>
      </w:pPr>
    </w:p>
    <w:p w:rsidR="007350B2" w:rsidRPr="007350B2" w:rsidP="007350B2">
      <w:pPr>
        <w:numPr>
          <w:ilvl w:val="0"/>
          <w:numId w:val="46"/>
        </w:numPr>
        <w:contextualSpacing/>
        <w:jc w:val="both"/>
        <w:rPr>
          <w:bCs w:val="0"/>
          <w:lang w:eastAsia="en-US"/>
        </w:rPr>
      </w:pPr>
      <w:r w:rsidRPr="007350B2">
        <w:rPr>
          <w:bCs w:val="0"/>
          <w:lang w:eastAsia="en-US"/>
        </w:rPr>
        <w:t>V čl. III, bode 10 § 11 ods. 9 sa slová „spolupôvodcovia nedohodnú inak alebo ak inak nerozhodne súd“ nahrádzajú slovami „spolupôvodcovia nedohodli inak alebo ak inak nerozhodol súd“.</w:t>
      </w:r>
    </w:p>
    <w:p w:rsidR="007350B2" w:rsidRPr="007350B2" w:rsidP="007350B2">
      <w:pPr>
        <w:ind w:left="3969"/>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text  ustanovenia sa spresňuje vo väzbe na skutočnosti, ktoré musia reálne nastať, aby mohlo dôjsť k zmene spolupôvodcovských podielov </w:t>
      </w:r>
      <w:r w:rsidRPr="007350B2">
        <w:rPr>
          <w:bCs w:val="0"/>
          <w:i/>
          <w:lang w:eastAsia="en-US"/>
        </w:rPr>
        <w:t>(obdobne ako úprava napr. § 11 ods. 9 v čl. I, bode 5).</w:t>
      </w:r>
    </w:p>
    <w:p w:rsidR="007350B2" w:rsidRPr="007350B2" w:rsidP="007350B2">
      <w:pPr>
        <w:ind w:left="4536"/>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III, bode 15 § 19 ods. 8 sa za slová „Občianskeho zákonníka“ vkladajú slová „o podielovom spoluvlastníctve“.</w:t>
      </w:r>
    </w:p>
    <w:p w:rsidR="007350B2" w:rsidRPr="007350B2" w:rsidP="007350B2">
      <w:pPr>
        <w:ind w:left="4536"/>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slovnou konkretizáciou ustanovení Občianskeho zákonníka </w:t>
      </w:r>
      <w:r w:rsidRPr="007350B2">
        <w:rPr>
          <w:bCs w:val="0"/>
          <w:i/>
          <w:lang w:eastAsia="en-US"/>
        </w:rPr>
        <w:t>(obdobne ako úprava napr. v čl. I, bode 12 § 20 ods. 8).</w:t>
      </w:r>
      <w:r w:rsidRPr="007350B2">
        <w:rPr>
          <w:bCs w:val="0"/>
          <w:lang w:eastAsia="en-US"/>
        </w:rPr>
        <w:t xml:space="preserve">  </w:t>
      </w:r>
    </w:p>
    <w:p w:rsidR="007350B2" w:rsidRPr="007350B2" w:rsidP="007350B2">
      <w:pPr>
        <w:ind w:left="4536"/>
        <w:contextualSpacing/>
        <w:jc w:val="both"/>
        <w:rPr>
          <w:bCs w:val="0"/>
          <w:lang w:eastAsia="en-US"/>
        </w:rPr>
      </w:pPr>
    </w:p>
    <w:p w:rsidR="007350B2" w:rsidRPr="007350B2" w:rsidP="007350B2">
      <w:pPr>
        <w:numPr>
          <w:ilvl w:val="0"/>
          <w:numId w:val="46"/>
        </w:numPr>
        <w:ind w:left="357"/>
        <w:contextualSpacing/>
        <w:jc w:val="both"/>
        <w:rPr>
          <w:bCs w:val="0"/>
          <w:lang w:eastAsia="en-US"/>
        </w:rPr>
      </w:pPr>
      <w:r w:rsidRPr="007350B2">
        <w:rPr>
          <w:bCs w:val="0"/>
          <w:lang w:eastAsia="en-US"/>
        </w:rPr>
        <w:t>V čl. III, bode 15 sa za poznámku pod čiarou k odkazu 7a vkladá poznámka pod čiarou k odkazu 8, ktorá znie:</w:t>
      </w:r>
    </w:p>
    <w:p w:rsidR="007350B2" w:rsidRPr="007350B2" w:rsidP="007350B2">
      <w:pPr>
        <w:ind w:left="357"/>
        <w:contextualSpacing/>
        <w:jc w:val="both"/>
        <w:rPr>
          <w:bCs w:val="0"/>
          <w:lang w:eastAsia="en-US"/>
        </w:rPr>
      </w:pPr>
      <w:r w:rsidRPr="007350B2">
        <w:rPr>
          <w:bCs w:val="0"/>
          <w:lang w:eastAsia="en-US"/>
        </w:rPr>
        <w:t>„</w:t>
      </w:r>
      <w:r w:rsidRPr="007350B2">
        <w:rPr>
          <w:bCs w:val="0"/>
          <w:vertAlign w:val="superscript"/>
          <w:lang w:eastAsia="en-US"/>
        </w:rPr>
        <w:t>8</w:t>
      </w:r>
      <w:r w:rsidRPr="007350B2">
        <w:rPr>
          <w:bCs w:val="0"/>
          <w:lang w:eastAsia="en-US"/>
        </w:rPr>
        <w:t>) § 137 až 142 Občianskeho zákonníka.“.</w:t>
      </w:r>
    </w:p>
    <w:p w:rsidR="007350B2" w:rsidRPr="007350B2" w:rsidP="007350B2">
      <w:pPr>
        <w:ind w:left="357"/>
        <w:contextualSpacing/>
        <w:jc w:val="both"/>
        <w:rPr>
          <w:bCs w:val="0"/>
          <w:lang w:eastAsia="en-US"/>
        </w:rPr>
      </w:pPr>
    </w:p>
    <w:p w:rsidR="007350B2" w:rsidRPr="007350B2" w:rsidP="007350B2">
      <w:pPr>
        <w:ind w:left="357"/>
        <w:contextualSpacing/>
        <w:jc w:val="both"/>
        <w:rPr>
          <w:bCs w:val="0"/>
          <w:lang w:eastAsia="en-US"/>
        </w:rPr>
      </w:pPr>
      <w:r w:rsidRPr="007350B2">
        <w:rPr>
          <w:bCs w:val="0"/>
          <w:lang w:eastAsia="en-US"/>
        </w:rPr>
        <w:t>V súvislosti s vložením poznámky pod čiarou sa upraví úvodná veta k poznámkam pod čiarou.</w:t>
      </w:r>
    </w:p>
    <w:p w:rsidR="007350B2" w:rsidRPr="007350B2" w:rsidP="007350B2">
      <w:pPr>
        <w:ind w:left="357"/>
        <w:contextualSpacing/>
        <w:jc w:val="both"/>
        <w:rPr>
          <w:bCs w:val="0"/>
          <w:lang w:eastAsia="en-US"/>
        </w:rPr>
      </w:pPr>
      <w:r w:rsidRPr="007350B2">
        <w:rPr>
          <w:bCs w:val="0"/>
          <w:lang w:eastAsia="en-US"/>
        </w:rPr>
        <w:t xml:space="preserve">   </w:t>
      </w:r>
    </w:p>
    <w:p w:rsidR="007350B2" w:rsidRPr="007350B2" w:rsidP="007350B2">
      <w:pPr>
        <w:ind w:left="3402"/>
        <w:jc w:val="both"/>
        <w:rPr>
          <w:bCs w:val="0"/>
          <w:lang w:eastAsia="en-US"/>
        </w:rPr>
      </w:pPr>
      <w:r w:rsidRPr="007350B2">
        <w:rPr>
          <w:bCs w:val="0"/>
          <w:lang w:eastAsia="en-US"/>
        </w:rPr>
        <w:t xml:space="preserve">Ide o legislatívno-technickú úpravu;  poznámka pod čiarou  sa spresňuje uvedením ustanovení týkajúcich sa   podielového spoluvlastníctva.  </w:t>
      </w:r>
    </w:p>
    <w:p w:rsidR="007350B2" w:rsidRPr="007350B2" w:rsidP="007350B2">
      <w:pPr>
        <w:ind w:left="3402"/>
        <w:jc w:val="both"/>
        <w:rPr>
          <w:bCs w:val="0"/>
          <w:lang w:eastAsia="en-US"/>
        </w:rPr>
      </w:pPr>
    </w:p>
    <w:p w:rsidR="007350B2" w:rsidRPr="007350B2" w:rsidP="007350B2">
      <w:pPr>
        <w:numPr>
          <w:ilvl w:val="0"/>
          <w:numId w:val="46"/>
        </w:numPr>
        <w:contextualSpacing/>
        <w:jc w:val="both"/>
        <w:rPr>
          <w:bCs w:val="0"/>
          <w:lang w:eastAsia="ar-SA"/>
        </w:rPr>
      </w:pPr>
      <w:r w:rsidRPr="007350B2">
        <w:rPr>
          <w:bCs w:val="0"/>
          <w:lang w:eastAsia="en-US"/>
        </w:rPr>
        <w:t>V čl. III, bode 17 § 26 ods. 7 sa slová „§ 49 ods. 5“ nahrádzajú slovami „§ 49 ods. 4“.</w:t>
      </w:r>
    </w:p>
    <w:p w:rsidR="007350B2" w:rsidRPr="007350B2" w:rsidP="007350B2">
      <w:pPr>
        <w:jc w:val="both"/>
        <w:rPr>
          <w:bCs w:val="0"/>
          <w:lang w:eastAsia="ar-SA"/>
        </w:rPr>
      </w:pPr>
    </w:p>
    <w:p w:rsidR="007350B2" w:rsidRPr="007350B2" w:rsidP="007350B2">
      <w:pPr>
        <w:ind w:left="3402"/>
        <w:jc w:val="both"/>
        <w:rPr>
          <w:bCs w:val="0"/>
          <w:lang w:eastAsia="en-US"/>
        </w:rPr>
      </w:pPr>
      <w:r w:rsidRPr="007350B2">
        <w:rPr>
          <w:bCs w:val="0"/>
          <w:lang w:eastAsia="en-US"/>
        </w:rPr>
        <w:t xml:space="preserve">Ide o legislatívno-technickú úpravu;  v ustanovení  sa uvedený vnútorný odkaz nahrádza relevantným odkazom.   </w:t>
      </w:r>
    </w:p>
    <w:p w:rsidR="007350B2" w:rsidRPr="007350B2" w:rsidP="007350B2">
      <w:pPr>
        <w:jc w:val="both"/>
        <w:rPr>
          <w:bCs w:val="0"/>
          <w:lang w:eastAsia="ar-SA"/>
        </w:rPr>
      </w:pPr>
    </w:p>
    <w:p w:rsidR="007350B2" w:rsidRPr="007350B2" w:rsidP="007350B2">
      <w:pPr>
        <w:numPr>
          <w:ilvl w:val="0"/>
          <w:numId w:val="46"/>
        </w:numPr>
        <w:rPr>
          <w:bCs w:val="0"/>
        </w:rPr>
      </w:pPr>
      <w:r w:rsidRPr="007350B2">
        <w:rPr>
          <w:bCs w:val="0"/>
        </w:rPr>
        <w:t>V čl. III,  bode  43  § 38a  ods. 2   sa  slová   „typu  vykonanej  úradom  ako   pobočkou Vyšehradského patentového inštitútu“ nahrádzajú slovami „typu, ktorú vykonal</w:t>
      </w:r>
      <w:r w:rsidRPr="007350B2">
        <w:rPr>
          <w:bCs w:val="0"/>
        </w:rPr>
        <w:t xml:space="preserve"> úrad ako pobočka Vyšehradského patentového inštitútu“. </w:t>
      </w:r>
    </w:p>
    <w:p w:rsidR="007350B2" w:rsidRPr="007350B2" w:rsidP="007350B2">
      <w:pPr>
        <w:ind w:left="360"/>
        <w:rPr>
          <w:bCs w:val="0"/>
        </w:rPr>
      </w:pPr>
    </w:p>
    <w:p w:rsidR="007350B2" w:rsidRPr="007350B2" w:rsidP="007350B2">
      <w:pPr>
        <w:ind w:left="3402"/>
        <w:contextualSpacing/>
        <w:jc w:val="both"/>
        <w:rPr>
          <w:bCs w:val="0"/>
          <w:i/>
          <w:lang w:eastAsia="en-US"/>
        </w:rPr>
      </w:pPr>
      <w:r w:rsidRPr="007350B2">
        <w:rPr>
          <w:bCs w:val="0"/>
          <w:lang w:eastAsia="en-US"/>
        </w:rPr>
        <w:t>Ide o legislatívno-technickú úpravu; ustanovenie sa upravuje v záujme jeho zrozumiteľnosti a jednoznačnosti</w:t>
      </w:r>
      <w:r w:rsidRPr="007350B2">
        <w:rPr>
          <w:bCs w:val="0"/>
          <w:i/>
          <w:lang w:eastAsia="en-US"/>
        </w:rPr>
        <w:t xml:space="preserve"> (obdobne ako napr. úprava § 41a ods. 2 v čl. I, bode 52).</w:t>
      </w:r>
    </w:p>
    <w:p w:rsidR="007350B2" w:rsidRPr="007350B2" w:rsidP="007350B2">
      <w:pPr>
        <w:ind w:left="3402"/>
        <w:contextualSpacing/>
        <w:jc w:val="both"/>
        <w:rPr>
          <w:bCs w:val="0"/>
          <w:i/>
          <w:lang w:eastAsia="en-US"/>
        </w:rPr>
      </w:pPr>
    </w:p>
    <w:p w:rsidR="007350B2" w:rsidRPr="007350B2" w:rsidP="007350B2">
      <w:pPr>
        <w:numPr>
          <w:ilvl w:val="0"/>
          <w:numId w:val="46"/>
        </w:numPr>
        <w:jc w:val="both"/>
        <w:rPr>
          <w:bCs w:val="0"/>
        </w:rPr>
      </w:pPr>
      <w:r w:rsidRPr="007350B2">
        <w:rPr>
          <w:bCs w:val="0"/>
        </w:rPr>
        <w:t>V čl. III, bode 44 § 40 ods. 1 sa  vety „Námietky musia obsahovať skutkové a právne odôvodnenie a zároveň musia byť predložené dôkazy alebo označené dôkazy, ktoré namietateľ predloží. Na doplnenie a rozšírenie námietok a na neoznačené dôkazy predložené po uplynutí tejto lehoty sa neprihliada.“ nahrádzajú vetami „Námietky musia obsahovať  právne a skutkové odôvodnenie. Zároveň s námietkami musí namietateľ predložiť dôkazy alebo označiť dôkazy, ktoré predloží. Po uplynutí  lehoty podľa prvej vety sa neprihliada</w:t>
      </w:r>
      <w:r w:rsidRPr="007350B2">
        <w:rPr>
          <w:bCs w:val="0"/>
        </w:rPr>
        <w:t xml:space="preserve"> na doplnenie a rozšírenie námietok, ani na dôkazy, ktoré neboli označené v námietkach.“.  </w:t>
      </w:r>
    </w:p>
    <w:p w:rsidR="007350B2" w:rsidP="007350B2">
      <w:pPr>
        <w:ind w:left="3402"/>
        <w:contextualSpacing/>
        <w:jc w:val="both"/>
        <w:rPr>
          <w:bCs w:val="0"/>
          <w:lang w:eastAsia="en-US"/>
        </w:rPr>
      </w:pPr>
    </w:p>
    <w:p w:rsidR="007350B2" w:rsidRPr="007350B2" w:rsidP="007350B2">
      <w:pPr>
        <w:ind w:left="3402"/>
        <w:contextualSpacing/>
        <w:jc w:val="both"/>
        <w:rPr>
          <w:bCs w:val="0"/>
          <w:i/>
          <w:lang w:eastAsia="en-US"/>
        </w:rPr>
      </w:pPr>
      <w:r w:rsidRPr="007350B2">
        <w:rPr>
          <w:bCs w:val="0"/>
          <w:lang w:eastAsia="en-US"/>
        </w:rPr>
        <w:t xml:space="preserve">Ide o legislatívno-technickú úpravu; ustanovenie sa upravuje v záujme jeho zrozumiteľnosti a  jednoznačnosti </w:t>
      </w:r>
      <w:r w:rsidRPr="007350B2">
        <w:rPr>
          <w:bCs w:val="0"/>
          <w:i/>
          <w:lang w:eastAsia="en-US"/>
        </w:rPr>
        <w:t>(obdobne ako úprava napr. § 47 ods. 1 v čl. I, bode 59).</w:t>
      </w:r>
    </w:p>
    <w:p w:rsidR="007350B2" w:rsidRPr="007350B2" w:rsidP="007350B2">
      <w:pPr>
        <w:ind w:left="3402"/>
        <w:contextualSpacing/>
        <w:jc w:val="both"/>
        <w:rPr>
          <w:bCs w:val="0"/>
          <w:i/>
          <w:lang w:eastAsia="en-US"/>
        </w:rPr>
      </w:pPr>
    </w:p>
    <w:p w:rsidR="007350B2" w:rsidRPr="007350B2" w:rsidP="007350B2">
      <w:pPr>
        <w:numPr>
          <w:ilvl w:val="0"/>
          <w:numId w:val="46"/>
        </w:numPr>
        <w:contextualSpacing/>
        <w:jc w:val="both"/>
        <w:rPr>
          <w:bCs w:val="0"/>
          <w:lang w:eastAsia="ar-SA"/>
        </w:rPr>
      </w:pPr>
      <w:r w:rsidRPr="007350B2">
        <w:rPr>
          <w:bCs w:val="0"/>
          <w:lang w:eastAsia="en-US"/>
        </w:rPr>
        <w:t>V čl. III, bode 53 § 45 ods. 1 sa prvá veta nahrádza textom, ktorý znie:</w:t>
      </w:r>
      <w:r w:rsidRPr="007350B2">
        <w:rPr>
          <w:bCs w:val="0"/>
          <w:lang w:eastAsia="ar-SA"/>
        </w:rPr>
        <w:t xml:space="preserve"> „Návrh na výmaz úžitkového vzoru musí obsahovať právne a skutkové odôvodnenie. Zároveň s návrhom na výmaz úžitkového vzoru musí navrhovateľ predložiť dôkazy alebo označiť dôkazy, ktoré predloží.“.</w:t>
      </w:r>
    </w:p>
    <w:p w:rsidR="007350B2" w:rsidRPr="007350B2" w:rsidP="007350B2">
      <w:pPr>
        <w:jc w:val="both"/>
        <w:rPr>
          <w:bCs w:val="0"/>
          <w:lang w:eastAsia="ar-SA"/>
        </w:rPr>
      </w:pPr>
    </w:p>
    <w:p w:rsidR="007350B2" w:rsidRPr="007350B2" w:rsidP="007350B2">
      <w:pPr>
        <w:ind w:left="3402"/>
        <w:contextualSpacing/>
        <w:jc w:val="both"/>
        <w:rPr>
          <w:bCs w:val="0"/>
          <w:i/>
          <w:lang w:eastAsia="en-US"/>
        </w:rPr>
      </w:pPr>
      <w:r w:rsidRPr="007350B2">
        <w:rPr>
          <w:bCs w:val="0"/>
          <w:lang w:eastAsia="en-US"/>
        </w:rPr>
        <w:t>Ide o legislatívno-technickú úpravu; ustanovenie sa upravuje v záujme jeho zrozumiteľnosti a jednoznačnosti</w:t>
      </w:r>
      <w:r w:rsidRPr="007350B2">
        <w:rPr>
          <w:bCs w:val="0"/>
          <w:lang w:eastAsia="ar-SA"/>
        </w:rPr>
        <w:t xml:space="preserve"> </w:t>
      </w:r>
      <w:r w:rsidRPr="007350B2">
        <w:rPr>
          <w:bCs w:val="0"/>
          <w:i/>
          <w:lang w:eastAsia="en-US"/>
        </w:rPr>
        <w:t>(obdobne ako úprava napr. § 40 ods. 1 v čl. III, bode 44).</w:t>
      </w:r>
    </w:p>
    <w:p w:rsidR="007350B2" w:rsidRPr="007350B2" w:rsidP="007350B2">
      <w:pPr>
        <w:ind w:left="3402"/>
        <w:contextualSpacing/>
        <w:jc w:val="both"/>
        <w:rPr>
          <w:bCs w:val="0"/>
          <w:i/>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III, bode 53 § 45 ods. 8 </w:t>
      </w:r>
      <w:r w:rsidRPr="007350B2">
        <w:rPr>
          <w:bCs w:val="0"/>
          <w:i/>
          <w:lang w:eastAsia="en-US"/>
        </w:rPr>
        <w:t>(druhá veta)</w:t>
      </w:r>
      <w:r w:rsidRPr="007350B2">
        <w:rPr>
          <w:bCs w:val="0"/>
          <w:lang w:eastAsia="en-US"/>
        </w:rPr>
        <w:t xml:space="preserve"> sa za slovo „inak“ vkladá slovo „úrad“.</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w:t>
      </w:r>
      <w:r w:rsidRPr="007350B2">
        <w:rPr>
          <w:bCs w:val="0"/>
          <w:i/>
          <w:lang w:eastAsia="en-US"/>
        </w:rPr>
        <w:t>(obdobne ako úprava napr. v § 47 ods. 8 v čl. I bode 59).</w:t>
      </w:r>
    </w:p>
    <w:p w:rsidR="007350B2" w:rsidRPr="007350B2" w:rsidP="007350B2">
      <w:pPr>
        <w:ind w:left="3402"/>
        <w:contextualSpacing/>
        <w:jc w:val="both"/>
        <w:rPr>
          <w:bCs w:val="0"/>
          <w:lang w:eastAsia="en-US"/>
        </w:rPr>
      </w:pPr>
    </w:p>
    <w:p w:rsidR="007350B2" w:rsidRPr="007350B2" w:rsidP="007350B2">
      <w:pPr>
        <w:widowControl w:val="0"/>
        <w:numPr>
          <w:ilvl w:val="0"/>
          <w:numId w:val="46"/>
        </w:numPr>
        <w:suppressAutoHyphens/>
        <w:contextualSpacing/>
        <w:jc w:val="both"/>
        <w:rPr>
          <w:bCs w:val="0"/>
          <w:lang w:eastAsia="ar-SA"/>
        </w:rPr>
      </w:pPr>
      <w:r w:rsidRPr="007350B2">
        <w:rPr>
          <w:bCs w:val="0"/>
          <w:lang w:eastAsia="ar-SA"/>
        </w:rPr>
        <w:t>V čl. III, bode 53 § 50 odseky 3 a 4 znejú:</w:t>
      </w:r>
    </w:p>
    <w:p w:rsidR="007350B2" w:rsidRPr="007350B2" w:rsidP="007350B2">
      <w:pPr>
        <w:widowControl w:val="0"/>
        <w:suppressAutoHyphens/>
        <w:autoSpaceDE w:val="0"/>
        <w:ind w:left="426"/>
        <w:jc w:val="both"/>
        <w:rPr>
          <w:bCs w:val="0"/>
          <w:lang w:eastAsia="ar-SA"/>
        </w:rPr>
      </w:pPr>
      <w:r w:rsidRPr="007350B2">
        <w:rPr>
          <w:bCs w:val="0"/>
          <w:lang w:eastAsia="ar-SA"/>
        </w:rPr>
        <w:t xml:space="preserve">„(3) Žiadosti podľa odseku 1 nemožno vyhovieť, ak ide o zmeškanie lehoty podľa                 § 41 ods. 1 a § 45 ods. 5 písm. b). </w:t>
      </w:r>
    </w:p>
    <w:p w:rsidR="007350B2" w:rsidRPr="007350B2" w:rsidP="007350B2">
      <w:pPr>
        <w:widowControl w:val="0"/>
        <w:suppressAutoHyphens/>
        <w:ind w:left="3969"/>
        <w:jc w:val="both"/>
        <w:rPr>
          <w:bCs w:val="0"/>
          <w:lang w:eastAsia="ar-SA"/>
        </w:rPr>
      </w:pPr>
    </w:p>
    <w:p w:rsidR="007350B2" w:rsidRPr="007350B2" w:rsidP="007350B2">
      <w:pPr>
        <w:widowControl w:val="0"/>
        <w:suppressAutoHyphens/>
        <w:autoSpaceDE w:val="0"/>
        <w:ind w:left="426"/>
        <w:jc w:val="both"/>
        <w:rPr>
          <w:bCs w:val="0"/>
          <w:lang w:eastAsia="ar-SA"/>
        </w:rPr>
      </w:pPr>
      <w:r w:rsidRPr="007350B2">
        <w:rPr>
          <w:bCs w:val="0"/>
          <w:lang w:eastAsia="ar-SA"/>
        </w:rPr>
        <w:t>(4) Žiadosti podľa odseku 2 nemožno vyhovieť, ak ide o zmeškanie lehoty podľa § 41 ods. 1 a 2 a § 45 ods. 2, 3 a 5.“.</w:t>
      </w:r>
    </w:p>
    <w:p w:rsidR="007350B2" w:rsidRPr="007350B2" w:rsidP="007350B2">
      <w:pPr>
        <w:widowControl w:val="0"/>
        <w:suppressAutoHyphens/>
        <w:jc w:val="both"/>
        <w:rPr>
          <w:bCs w:val="0"/>
          <w:lang w:eastAsia="ar-SA"/>
        </w:rPr>
      </w:pPr>
    </w:p>
    <w:p w:rsidR="007350B2" w:rsidRPr="007350B2" w:rsidP="007350B2">
      <w:pPr>
        <w:widowControl w:val="0"/>
        <w:suppressAutoHyphens/>
        <w:ind w:left="3402"/>
        <w:jc w:val="both"/>
        <w:rPr>
          <w:bCs w:val="0"/>
          <w:lang w:eastAsia="ar-SA"/>
        </w:rPr>
      </w:pPr>
      <w:r w:rsidRPr="007350B2">
        <w:rPr>
          <w:bCs w:val="0"/>
          <w:lang w:eastAsia="ar-SA"/>
        </w:rPr>
        <w:t xml:space="preserve">Ide o legislatívno-technickú úpravu;  ustanovenia sa upravujú gramaticky </w:t>
      </w:r>
      <w:r w:rsidRPr="007350B2">
        <w:rPr>
          <w:bCs w:val="0"/>
          <w:i/>
          <w:iCs/>
          <w:lang w:eastAsia="ar-SA"/>
        </w:rPr>
        <w:t>(slovosled)</w:t>
      </w:r>
      <w:r w:rsidRPr="007350B2">
        <w:rPr>
          <w:bCs w:val="0"/>
          <w:lang w:eastAsia="ar-SA"/>
        </w:rPr>
        <w:t xml:space="preserve"> a štylisticky </w:t>
      </w:r>
      <w:r w:rsidRPr="007350B2">
        <w:rPr>
          <w:bCs w:val="0"/>
          <w:i/>
          <w:iCs/>
          <w:lang w:eastAsia="ar-SA"/>
        </w:rPr>
        <w:t>(žiadosti sa zoraďujú podľa vnútorných odkazov žiadostí).</w:t>
      </w:r>
      <w:r w:rsidRPr="007350B2">
        <w:rPr>
          <w:bCs w:val="0"/>
          <w:lang w:eastAsia="ar-SA"/>
        </w:rPr>
        <w:t xml:space="preserve"> </w:t>
      </w:r>
    </w:p>
    <w:p w:rsidR="007350B2" w:rsidRPr="007350B2" w:rsidP="007350B2">
      <w:pPr>
        <w:ind w:left="3402"/>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III, bode 53 § 50 ods. 5 sa slová „podľa odsekov 1 alebo 2“ nahrádzajú slovami „podľa odseku 1 alebo odseku 2“ a slová „podľa odsekov 3 alebo 4“ sa nahrádzajú slovami „podľa odseku 3 alebo odseku 4“ a slová „k zisteným dôvodom, na základe ktorých má byť žiadosť zamietnutá“ sa nahrádzajú slovami „k zisteným skutočnostiam, ktoré odôvodňujú zamietnutie žiadosti“. </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upravuje s  ohľadom na gramatiku, legislatívne pravidlá tvorby zákonov a tiež úpravy </w:t>
      </w:r>
      <w:r w:rsidRPr="007350B2">
        <w:rPr>
          <w:bCs w:val="0"/>
          <w:i/>
          <w:lang w:eastAsia="en-US"/>
        </w:rPr>
        <w:t>(napr. § 44 ods. 5 v čl. II).</w:t>
      </w:r>
      <w:r w:rsidRPr="007350B2">
        <w:rPr>
          <w:bCs w:val="0"/>
          <w:lang w:eastAsia="en-US"/>
        </w:rPr>
        <w:t xml:space="preserve"> </w:t>
      </w:r>
    </w:p>
    <w:p w:rsidR="007350B2" w:rsidRPr="007350B2" w:rsidP="007350B2">
      <w:pPr>
        <w:ind w:left="360"/>
        <w:contextualSpacing/>
        <w:jc w:val="both"/>
        <w:rPr>
          <w:bCs w:val="0"/>
          <w:lang w:eastAsia="en-US"/>
        </w:rPr>
      </w:pPr>
      <w:r w:rsidRPr="007350B2">
        <w:rPr>
          <w:bCs w:val="0"/>
          <w:lang w:eastAsia="en-US"/>
        </w:rPr>
        <w:t xml:space="preserve">  </w:t>
      </w:r>
    </w:p>
    <w:p w:rsidR="007350B2" w:rsidRPr="007350B2" w:rsidP="007350B2">
      <w:pPr>
        <w:numPr>
          <w:ilvl w:val="0"/>
          <w:numId w:val="46"/>
        </w:numPr>
        <w:contextualSpacing/>
        <w:jc w:val="both"/>
        <w:rPr>
          <w:bCs w:val="0"/>
          <w:lang w:eastAsia="en-US"/>
        </w:rPr>
      </w:pPr>
      <w:r w:rsidRPr="007350B2">
        <w:rPr>
          <w:bCs w:val="0"/>
          <w:lang w:eastAsia="en-US"/>
        </w:rPr>
        <w:t>V čl. III, bode 53 § 50 ods. 7 sa za slová „podľa odseku 1“ vkladá čiarka.</w:t>
      </w:r>
    </w:p>
    <w:p w:rsidR="007350B2" w:rsidRPr="007350B2" w:rsidP="007350B2">
      <w:pPr>
        <w:ind w:left="3969"/>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upravuje gramaticky </w:t>
      </w:r>
      <w:r w:rsidRPr="007350B2">
        <w:rPr>
          <w:bCs w:val="0"/>
          <w:i/>
          <w:lang w:eastAsia="en-US"/>
        </w:rPr>
        <w:t>(odčlenenie vedľajšej vety)</w:t>
      </w:r>
      <w:r w:rsidRPr="007350B2">
        <w:rPr>
          <w:bCs w:val="0"/>
          <w:lang w:eastAsia="en-US"/>
        </w:rPr>
        <w:t xml:space="preserve">. </w:t>
      </w:r>
    </w:p>
    <w:p w:rsidR="007350B2" w:rsidRPr="007350B2" w:rsidP="007350B2">
      <w:pPr>
        <w:autoSpaceDE w:val="0"/>
        <w:autoSpaceDN w:val="0"/>
        <w:adjustRightInd w:val="0"/>
        <w:ind w:left="360"/>
        <w:jc w:val="both"/>
        <w:rPr>
          <w:bCs w:val="0"/>
          <w:color w:val="000000"/>
          <w:lang w:eastAsia="ar-SA"/>
        </w:rPr>
      </w:pPr>
    </w:p>
    <w:p w:rsidR="007350B2" w:rsidRPr="007350B2" w:rsidP="007350B2">
      <w:pPr>
        <w:numPr>
          <w:ilvl w:val="0"/>
          <w:numId w:val="46"/>
        </w:numPr>
        <w:autoSpaceDE w:val="0"/>
        <w:autoSpaceDN w:val="0"/>
        <w:adjustRightInd w:val="0"/>
        <w:jc w:val="both"/>
        <w:rPr>
          <w:bCs w:val="0"/>
          <w:color w:val="000000"/>
          <w:lang w:eastAsia="ar-SA"/>
        </w:rPr>
      </w:pPr>
      <w:r w:rsidRPr="007350B2">
        <w:rPr>
          <w:bCs w:val="0"/>
          <w:color w:val="000000"/>
          <w:lang w:eastAsia="en-US"/>
        </w:rPr>
        <w:t xml:space="preserve">V čl. III, bode 58 § 53 ods. 3 sa slová „ak je podanie rozkladu neprípustné“ nahrádzajú slovami „ak podanie rozkladu nie je prípustné“. </w:t>
      </w:r>
    </w:p>
    <w:p w:rsidR="007350B2" w:rsidRPr="007350B2" w:rsidP="007350B2">
      <w:pPr>
        <w:jc w:val="both"/>
        <w:rPr>
          <w:bCs w:val="0"/>
          <w:lang w:eastAsia="ar-SA"/>
        </w:rPr>
      </w:pPr>
    </w:p>
    <w:p w:rsidR="007350B2" w:rsidRPr="007350B2" w:rsidP="007350B2">
      <w:pPr>
        <w:ind w:left="3402"/>
        <w:jc w:val="both"/>
        <w:rPr>
          <w:bCs w:val="0"/>
          <w:i/>
          <w:lang w:eastAsia="en-US"/>
        </w:rPr>
      </w:pPr>
      <w:r w:rsidRPr="007350B2">
        <w:rPr>
          <w:bCs w:val="0"/>
          <w:lang w:eastAsia="en-US"/>
        </w:rPr>
        <w:t xml:space="preserve">Ide o legislatívno-technickú úpravu;  ustanovenie sa  štylisticky zjednocuje </w:t>
      </w:r>
      <w:r w:rsidRPr="007350B2">
        <w:rPr>
          <w:bCs w:val="0"/>
          <w:i/>
          <w:lang w:eastAsia="en-US"/>
        </w:rPr>
        <w:t>(napr. § 55 ods. 4 v čl. I bode 62).</w:t>
      </w:r>
    </w:p>
    <w:p w:rsidR="007350B2" w:rsidRPr="007350B2" w:rsidP="007350B2">
      <w:pPr>
        <w:ind w:left="3402"/>
        <w:jc w:val="both"/>
        <w:rPr>
          <w:bCs w:val="0"/>
          <w:i/>
          <w:lang w:eastAsia="ar-SA"/>
        </w:rPr>
      </w:pPr>
    </w:p>
    <w:p w:rsidR="007350B2" w:rsidRPr="007350B2" w:rsidP="007350B2">
      <w:pPr>
        <w:numPr>
          <w:ilvl w:val="0"/>
          <w:numId w:val="46"/>
        </w:numPr>
        <w:contextualSpacing/>
        <w:jc w:val="both"/>
        <w:rPr>
          <w:bCs w:val="0"/>
          <w:lang w:eastAsia="en-US"/>
        </w:rPr>
      </w:pPr>
      <w:r w:rsidRPr="007350B2">
        <w:rPr>
          <w:bCs w:val="0"/>
          <w:lang w:eastAsia="en-US"/>
        </w:rPr>
        <w:t xml:space="preserve">V čl. III, bode 61 sa v poznámke pod čiarou k odkazu 19  na konci pripájajú tieto slová „v platnom znení“.   </w:t>
      </w:r>
    </w:p>
    <w:p w:rsidR="007350B2" w:rsidRPr="007350B2" w:rsidP="007350B2">
      <w:pPr>
        <w:ind w:left="3402"/>
        <w:contextualSpacing/>
        <w:jc w:val="both"/>
        <w:rPr>
          <w:bCs w:val="0"/>
          <w:lang w:eastAsia="en-US"/>
        </w:rPr>
      </w:pPr>
      <w:r w:rsidRPr="007350B2">
        <w:rPr>
          <w:bCs w:val="0"/>
          <w:lang w:eastAsia="en-US"/>
        </w:rPr>
        <w:t>Ide o legislatívno-technickú pripomienku, ktorou sa precizuje citácia novelizovaného právneho aktu Európskej únie.</w:t>
      </w:r>
    </w:p>
    <w:p w:rsidR="007350B2" w:rsidRPr="007350B2" w:rsidP="007350B2">
      <w:pPr>
        <w:ind w:left="360"/>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IV, bode 4 § 7b ods. 6 sa za slová „Občianskeho zákonníka“ vkladajú slová „o podielovom spoluvlastníctve“.</w:t>
      </w:r>
    </w:p>
    <w:p w:rsidR="007350B2" w:rsidRPr="007350B2" w:rsidP="007350B2">
      <w:pPr>
        <w:ind w:left="3402"/>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úpravu;   ustanovenie sa spresňuje slovnou konkretizáciou ustanovení Občianskeho zákonníka.  </w:t>
      </w:r>
    </w:p>
    <w:p w:rsidR="007350B2" w:rsidP="007350B2">
      <w:pPr>
        <w:ind w:left="3969"/>
        <w:contextualSpacing/>
        <w:jc w:val="both"/>
        <w:rPr>
          <w:bCs w:val="0"/>
          <w:lang w:eastAsia="en-US"/>
        </w:rPr>
      </w:pPr>
    </w:p>
    <w:p w:rsidR="00411CC0" w:rsidP="007350B2">
      <w:pPr>
        <w:ind w:left="3969"/>
        <w:contextualSpacing/>
        <w:jc w:val="both"/>
        <w:rPr>
          <w:bCs w:val="0"/>
          <w:lang w:eastAsia="en-US"/>
        </w:rPr>
      </w:pPr>
    </w:p>
    <w:p w:rsidR="00411CC0" w:rsidP="007350B2">
      <w:pPr>
        <w:ind w:left="3969"/>
        <w:contextualSpacing/>
        <w:jc w:val="both"/>
        <w:rPr>
          <w:bCs w:val="0"/>
          <w:lang w:eastAsia="en-US"/>
        </w:rPr>
      </w:pPr>
    </w:p>
    <w:p w:rsidR="00411CC0" w:rsidRPr="007350B2" w:rsidP="007350B2">
      <w:pPr>
        <w:ind w:left="3969"/>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IV, bode 4 sa v poznámke pod čiarou k odkazu 10b slová „§ 136 až 142“ nahrádzajú slovami „§ 137 až 142“.</w:t>
      </w:r>
    </w:p>
    <w:p w:rsidR="007350B2" w:rsidRPr="007350B2" w:rsidP="007350B2">
      <w:pPr>
        <w:ind w:left="357"/>
        <w:contextualSpacing/>
        <w:jc w:val="both"/>
        <w:rPr>
          <w:bCs w:val="0"/>
          <w:lang w:eastAsia="en-US"/>
        </w:rPr>
      </w:pPr>
      <w:r w:rsidRPr="007350B2">
        <w:rPr>
          <w:bCs w:val="0"/>
          <w:lang w:eastAsia="en-US"/>
        </w:rPr>
        <w:t xml:space="preserve">   </w:t>
      </w:r>
    </w:p>
    <w:p w:rsidR="007350B2" w:rsidRPr="007350B2" w:rsidP="007350B2">
      <w:pPr>
        <w:ind w:left="3402"/>
        <w:jc w:val="both"/>
        <w:rPr>
          <w:bCs w:val="0"/>
          <w:lang w:eastAsia="en-US"/>
        </w:rPr>
      </w:pPr>
      <w:r w:rsidRPr="007350B2">
        <w:rPr>
          <w:bCs w:val="0"/>
          <w:lang w:eastAsia="en-US"/>
        </w:rPr>
        <w:t xml:space="preserve">Ide o legislatívno-technickú úpravu;  poznámka pod čiarou  sa spresňuje uvedením ustanovení týkajúcich sa   podielového spoluvlastníctva.  </w:t>
      </w:r>
    </w:p>
    <w:p w:rsidR="007350B2" w:rsidRPr="007350B2" w:rsidP="007350B2">
      <w:pPr>
        <w:ind w:left="3402"/>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 xml:space="preserve">V čl. IV, bode 31 sa v poznámke pod čiarou k odkazu 28b na konci pripájajú tieto slová „v platnom znení“.   </w:t>
      </w:r>
    </w:p>
    <w:p w:rsidR="007350B2" w:rsidRPr="007350B2" w:rsidP="007350B2">
      <w:pPr>
        <w:ind w:left="3402"/>
        <w:contextualSpacing/>
        <w:jc w:val="both"/>
        <w:rPr>
          <w:bCs w:val="0"/>
          <w:lang w:eastAsia="en-US"/>
        </w:rPr>
      </w:pPr>
      <w:r w:rsidRPr="007350B2">
        <w:rPr>
          <w:bCs w:val="0"/>
          <w:lang w:eastAsia="en-US"/>
        </w:rPr>
        <w:t>Ide o legislatívno-technickú pripomienku, ktorou sa precizuje citácia novelizovaného právneho aktu Európskej únie.</w:t>
      </w:r>
    </w:p>
    <w:p w:rsidR="007350B2" w:rsidRPr="007350B2" w:rsidP="007350B2">
      <w:pPr>
        <w:ind w:left="360"/>
        <w:contextualSpacing/>
        <w:jc w:val="both"/>
        <w:rPr>
          <w:bCs w:val="0"/>
          <w:lang w:eastAsia="en-US"/>
        </w:rPr>
      </w:pPr>
    </w:p>
    <w:p w:rsidR="007350B2" w:rsidRPr="007350B2" w:rsidP="007350B2">
      <w:pPr>
        <w:numPr>
          <w:ilvl w:val="0"/>
          <w:numId w:val="46"/>
        </w:numPr>
        <w:contextualSpacing/>
        <w:jc w:val="both"/>
        <w:rPr>
          <w:bCs w:val="0"/>
          <w:lang w:eastAsia="en-US"/>
        </w:rPr>
      </w:pPr>
      <w:r w:rsidRPr="007350B2">
        <w:rPr>
          <w:bCs w:val="0"/>
          <w:lang w:eastAsia="en-US"/>
        </w:rPr>
        <w:t>V čl. IV, bode 35 prílohe sa v treťom bode slová „336/1“ nahrádzajú slovami „336“.</w:t>
      </w:r>
    </w:p>
    <w:p w:rsidR="007350B2" w:rsidRPr="007350B2" w:rsidP="007350B2">
      <w:pPr>
        <w:ind w:left="360"/>
        <w:contextualSpacing/>
        <w:jc w:val="both"/>
        <w:rPr>
          <w:bCs w:val="0"/>
          <w:lang w:eastAsia="en-US"/>
        </w:rPr>
      </w:pPr>
    </w:p>
    <w:p w:rsidR="007350B2" w:rsidRPr="007350B2" w:rsidP="007350B2">
      <w:pPr>
        <w:ind w:left="3402"/>
        <w:contextualSpacing/>
        <w:jc w:val="both"/>
        <w:rPr>
          <w:bCs w:val="0"/>
          <w:lang w:eastAsia="en-US"/>
        </w:rPr>
      </w:pPr>
      <w:r w:rsidRPr="007350B2">
        <w:rPr>
          <w:bCs w:val="0"/>
          <w:lang w:eastAsia="en-US"/>
        </w:rPr>
        <w:t xml:space="preserve">Ide o legislatívno-technickú pripomienku, ktorou sa spresňuje odkaz na uverejnený právny akt </w:t>
      </w:r>
      <w:r w:rsidRPr="007350B2">
        <w:rPr>
          <w:bCs w:val="0"/>
          <w:i/>
          <w:lang w:eastAsia="en-US"/>
        </w:rPr>
        <w:t>(smernica)</w:t>
      </w:r>
      <w:r w:rsidRPr="007350B2">
        <w:rPr>
          <w:bCs w:val="0"/>
          <w:lang w:eastAsia="en-US"/>
        </w:rPr>
        <w:t xml:space="preserve"> v Úradnom vestníku Európskej únie.</w:t>
      </w:r>
    </w:p>
    <w:p w:rsidR="007350B2" w:rsidRPr="007350B2" w:rsidP="007350B2">
      <w:pPr>
        <w:ind w:left="360"/>
        <w:contextualSpacing/>
        <w:jc w:val="both"/>
        <w:rPr>
          <w:bCs w:val="0"/>
          <w:lang w:eastAsia="en-US"/>
        </w:rPr>
      </w:pPr>
    </w:p>
    <w:p w:rsidR="007350B2" w:rsidRPr="007350B2" w:rsidP="007350B2">
      <w:pPr>
        <w:numPr>
          <w:ilvl w:val="0"/>
          <w:numId w:val="46"/>
        </w:numPr>
        <w:jc w:val="both"/>
        <w:rPr>
          <w:bCs w:val="0"/>
        </w:rPr>
      </w:pPr>
      <w:r w:rsidRPr="007350B2">
        <w:rPr>
          <w:bCs w:val="0"/>
          <w:lang w:eastAsia="ar-SA"/>
        </w:rPr>
        <w:t>V čl. V, bode 2 Poznámkach sa v poznámke 1 slová „</w:t>
      </w:r>
      <w:r w:rsidRPr="007350B2">
        <w:rPr>
          <w:bCs w:val="0"/>
        </w:rPr>
        <w:t>typu vykonanej úradom ako pobočkou Vyšehradského patentového inštitútu“ nahrádzajú slovami „typu, ktorú vykonal</w:t>
      </w:r>
      <w:r w:rsidRPr="007350B2">
        <w:rPr>
          <w:bCs w:val="0"/>
        </w:rPr>
        <w:t xml:space="preserve"> úrad ako pobočka Vyšehradského patentového inštitútu“. </w:t>
      </w:r>
    </w:p>
    <w:p w:rsidR="007350B2" w:rsidRPr="007350B2" w:rsidP="007350B2">
      <w:pPr>
        <w:ind w:left="360"/>
        <w:rPr>
          <w:bCs w:val="0"/>
        </w:rPr>
      </w:pPr>
    </w:p>
    <w:p w:rsidR="007350B2" w:rsidRPr="007350B2" w:rsidP="007350B2">
      <w:pPr>
        <w:ind w:left="3402"/>
        <w:jc w:val="both"/>
        <w:rPr>
          <w:bCs w:val="0"/>
          <w:lang w:eastAsia="en-US"/>
        </w:rPr>
      </w:pPr>
      <w:r w:rsidRPr="007350B2">
        <w:rPr>
          <w:bCs w:val="0"/>
          <w:lang w:eastAsia="en-US"/>
        </w:rPr>
        <w:t xml:space="preserve">Ide o legislatívno-technickú úpravu; text poznámky sa zosúlaďuje s textom § 41a ods. 2 v čl. I, bode 52,  ktorý sa upravuje s ohľadom na jeho zrozumiteľnosť  a jednoznačnosť.  </w:t>
      </w:r>
    </w:p>
    <w:p w:rsidR="007350B2" w:rsidRPr="007350B2" w:rsidP="007350B2">
      <w:pPr>
        <w:jc w:val="both"/>
        <w:rPr>
          <w:bCs w:val="0"/>
          <w:lang w:eastAsia="ar-SA"/>
        </w:rPr>
      </w:pPr>
    </w:p>
    <w:p w:rsidR="007350B2" w:rsidRPr="008F51E4" w:rsidP="00D96ABB">
      <w:pPr>
        <w:jc w:val="both"/>
        <w:rPr>
          <w:bCs w:val="0"/>
        </w:rPr>
      </w:pPr>
    </w:p>
    <w:p w:rsidR="007D7D61"/>
    <w:p w:rsidR="00B80471" w:rsidP="000D14F9">
      <w:pPr>
        <w:rPr>
          <w:b/>
          <w:bCs w:val="0"/>
        </w:rPr>
      </w:pPr>
    </w:p>
    <w:sectPr w:rsidSect="004D397F">
      <w:footerReference w:type="even" r:id="rId5"/>
      <w:footerReference w:type="default" r:id="rId6"/>
      <w:pgSz w:w="11906" w:h="16838"/>
      <w:pgMar w:top="539" w:right="1106" w:bottom="426"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14BB3"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B3"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1CC0">
      <w:rPr>
        <w:rStyle w:val="PageNumber"/>
        <w:noProof/>
      </w:rPr>
      <w:t>11</w:t>
    </w:r>
    <w:r>
      <w:rPr>
        <w:rStyle w:val="PageNumber"/>
      </w:rPr>
      <w:fldChar w:fldCharType="end"/>
    </w:r>
  </w:p>
  <w:p w:rsidR="00D14BB3"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904"/>
    <w:multiLevelType w:val="hybridMultilevel"/>
    <w:tmpl w:val="70D4FDD2"/>
    <w:lvl w:ilvl="0">
      <w:start w:val="1"/>
      <w:numFmt w:val="decimal"/>
      <w:lvlText w:val="%1."/>
      <w:lvlJc w:val="left"/>
      <w:pPr>
        <w:ind w:left="36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5C2CA5"/>
    <w:multiLevelType w:val="hybridMultilevel"/>
    <w:tmpl w:val="4F724662"/>
    <w:lvl w:ilvl="0">
      <w:start w:val="1"/>
      <w:numFmt w:val="decimal"/>
      <w:lvlText w:val="%1."/>
      <w:lvlJc w:val="left"/>
      <w:pPr>
        <w:tabs>
          <w:tab w:val="num" w:pos="901"/>
        </w:tabs>
        <w:ind w:left="901" w:hanging="360"/>
      </w:pPr>
    </w:lvl>
    <w:lvl w:ilvl="1" w:tentative="1">
      <w:start w:val="1"/>
      <w:numFmt w:val="lowerLetter"/>
      <w:lvlText w:val="%2."/>
      <w:lvlJc w:val="left"/>
      <w:pPr>
        <w:tabs>
          <w:tab w:val="num" w:pos="1621"/>
        </w:tabs>
        <w:ind w:left="1621" w:hanging="360"/>
      </w:pPr>
    </w:lvl>
    <w:lvl w:ilvl="2" w:tentative="1">
      <w:start w:val="1"/>
      <w:numFmt w:val="lowerRoman"/>
      <w:lvlText w:val="%3."/>
      <w:lvlJc w:val="right"/>
      <w:pPr>
        <w:tabs>
          <w:tab w:val="num" w:pos="2341"/>
        </w:tabs>
        <w:ind w:left="2341" w:hanging="180"/>
      </w:pPr>
    </w:lvl>
    <w:lvl w:ilvl="3" w:tentative="1">
      <w:start w:val="1"/>
      <w:numFmt w:val="decimal"/>
      <w:lvlText w:val="%4."/>
      <w:lvlJc w:val="left"/>
      <w:pPr>
        <w:tabs>
          <w:tab w:val="num" w:pos="3061"/>
        </w:tabs>
        <w:ind w:left="3061" w:hanging="360"/>
      </w:pPr>
    </w:lvl>
    <w:lvl w:ilvl="4" w:tentative="1">
      <w:start w:val="1"/>
      <w:numFmt w:val="lowerLetter"/>
      <w:lvlText w:val="%5."/>
      <w:lvlJc w:val="left"/>
      <w:pPr>
        <w:tabs>
          <w:tab w:val="num" w:pos="3781"/>
        </w:tabs>
        <w:ind w:left="3781" w:hanging="360"/>
      </w:pPr>
    </w:lvl>
    <w:lvl w:ilvl="5" w:tentative="1">
      <w:start w:val="1"/>
      <w:numFmt w:val="lowerRoman"/>
      <w:lvlText w:val="%6."/>
      <w:lvlJc w:val="right"/>
      <w:pPr>
        <w:tabs>
          <w:tab w:val="num" w:pos="4501"/>
        </w:tabs>
        <w:ind w:left="4501" w:hanging="180"/>
      </w:pPr>
    </w:lvl>
    <w:lvl w:ilvl="6" w:tentative="1">
      <w:start w:val="1"/>
      <w:numFmt w:val="decimal"/>
      <w:lvlText w:val="%7."/>
      <w:lvlJc w:val="left"/>
      <w:pPr>
        <w:tabs>
          <w:tab w:val="num" w:pos="5221"/>
        </w:tabs>
        <w:ind w:left="5221" w:hanging="360"/>
      </w:pPr>
    </w:lvl>
    <w:lvl w:ilvl="7" w:tentative="1">
      <w:start w:val="1"/>
      <w:numFmt w:val="lowerLetter"/>
      <w:lvlText w:val="%8."/>
      <w:lvlJc w:val="left"/>
      <w:pPr>
        <w:tabs>
          <w:tab w:val="num" w:pos="5941"/>
        </w:tabs>
        <w:ind w:left="5941" w:hanging="360"/>
      </w:pPr>
    </w:lvl>
    <w:lvl w:ilvl="8" w:tentative="1">
      <w:start w:val="1"/>
      <w:numFmt w:val="lowerRoman"/>
      <w:lvlText w:val="%9."/>
      <w:lvlJc w:val="right"/>
      <w:pPr>
        <w:tabs>
          <w:tab w:val="num" w:pos="6661"/>
        </w:tabs>
        <w:ind w:left="6661" w:hanging="180"/>
      </w:pPr>
    </w:lvl>
  </w:abstractNum>
  <w:abstractNum w:abstractNumId="2">
    <w:nsid w:val="0ECF40AB"/>
    <w:multiLevelType w:val="hybridMultilevel"/>
    <w:tmpl w:val="D97877CC"/>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03C761A"/>
    <w:multiLevelType w:val="hybridMultilevel"/>
    <w:tmpl w:val="175443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411551"/>
    <w:multiLevelType w:val="hybridMultilevel"/>
    <w:tmpl w:val="F2EABDB4"/>
    <w:lvl w:ilvl="0">
      <w:start w:val="1"/>
      <w:numFmt w:val="decimal"/>
      <w:lvlText w:val="%1."/>
      <w:lvlJc w:val="left"/>
      <w:pPr>
        <w:ind w:left="360" w:hanging="360"/>
      </w:pPr>
      <w:rPr>
        <w:rFonts w:ascii="Times New Roman" w:hAnsi="Times New Roman" w:cs="Times New Roman" w:hint="default"/>
        <w:b/>
        <w:sz w:val="24"/>
        <w:szCs w:val="24"/>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4605616"/>
    <w:multiLevelType w:val="hybridMultilevel"/>
    <w:tmpl w:val="2324A4CE"/>
    <w:lvl w:ilvl="0">
      <w:start w:val="1"/>
      <w:numFmt w:val="decimal"/>
      <w:lvlText w:val="%1."/>
      <w:lvlJc w:val="left"/>
      <w:pPr>
        <w:tabs>
          <w:tab w:val="num" w:pos="578"/>
        </w:tabs>
        <w:ind w:left="578" w:hanging="360"/>
      </w:pPr>
      <w:rPr>
        <w:b/>
      </w:rPr>
    </w:lvl>
    <w:lvl w:ilvl="1" w:tentative="1">
      <w:start w:val="1"/>
      <w:numFmt w:val="lowerLetter"/>
      <w:lvlText w:val="%2."/>
      <w:lvlJc w:val="left"/>
      <w:pPr>
        <w:tabs>
          <w:tab w:val="num" w:pos="1298"/>
        </w:tabs>
        <w:ind w:left="1298" w:hanging="360"/>
      </w:pPr>
    </w:lvl>
    <w:lvl w:ilvl="2" w:tentative="1">
      <w:start w:val="1"/>
      <w:numFmt w:val="lowerRoman"/>
      <w:lvlText w:val="%3."/>
      <w:lvlJc w:val="right"/>
      <w:pPr>
        <w:tabs>
          <w:tab w:val="num" w:pos="2018"/>
        </w:tabs>
        <w:ind w:left="2018" w:hanging="180"/>
      </w:pPr>
    </w:lvl>
    <w:lvl w:ilvl="3" w:tentative="1">
      <w:start w:val="1"/>
      <w:numFmt w:val="decimal"/>
      <w:lvlText w:val="%4."/>
      <w:lvlJc w:val="left"/>
      <w:pPr>
        <w:tabs>
          <w:tab w:val="num" w:pos="2738"/>
        </w:tabs>
        <w:ind w:left="2738" w:hanging="360"/>
      </w:pPr>
    </w:lvl>
    <w:lvl w:ilvl="4" w:tentative="1">
      <w:start w:val="1"/>
      <w:numFmt w:val="lowerLetter"/>
      <w:lvlText w:val="%5."/>
      <w:lvlJc w:val="left"/>
      <w:pPr>
        <w:tabs>
          <w:tab w:val="num" w:pos="3458"/>
        </w:tabs>
        <w:ind w:left="3458" w:hanging="360"/>
      </w:pPr>
    </w:lvl>
    <w:lvl w:ilvl="5" w:tentative="1">
      <w:start w:val="1"/>
      <w:numFmt w:val="lowerRoman"/>
      <w:lvlText w:val="%6."/>
      <w:lvlJc w:val="right"/>
      <w:pPr>
        <w:tabs>
          <w:tab w:val="num" w:pos="4178"/>
        </w:tabs>
        <w:ind w:left="4178" w:hanging="180"/>
      </w:pPr>
    </w:lvl>
    <w:lvl w:ilvl="6" w:tentative="1">
      <w:start w:val="1"/>
      <w:numFmt w:val="decimal"/>
      <w:lvlText w:val="%7."/>
      <w:lvlJc w:val="left"/>
      <w:pPr>
        <w:tabs>
          <w:tab w:val="num" w:pos="4898"/>
        </w:tabs>
        <w:ind w:left="4898" w:hanging="360"/>
      </w:pPr>
    </w:lvl>
    <w:lvl w:ilvl="7" w:tentative="1">
      <w:start w:val="1"/>
      <w:numFmt w:val="lowerLetter"/>
      <w:lvlText w:val="%8."/>
      <w:lvlJc w:val="left"/>
      <w:pPr>
        <w:tabs>
          <w:tab w:val="num" w:pos="5618"/>
        </w:tabs>
        <w:ind w:left="5618" w:hanging="360"/>
      </w:pPr>
    </w:lvl>
    <w:lvl w:ilvl="8" w:tentative="1">
      <w:start w:val="1"/>
      <w:numFmt w:val="lowerRoman"/>
      <w:lvlText w:val="%9."/>
      <w:lvlJc w:val="right"/>
      <w:pPr>
        <w:tabs>
          <w:tab w:val="num" w:pos="6338"/>
        </w:tabs>
        <w:ind w:left="6338" w:hanging="180"/>
      </w:pPr>
    </w:lvl>
  </w:abstractNum>
  <w:abstractNum w:abstractNumId="6">
    <w:nsid w:val="14D0302C"/>
    <w:multiLevelType w:val="hybridMultilevel"/>
    <w:tmpl w:val="0DA4BFAE"/>
    <w:lvl w:ilvl="0">
      <w:start w:val="1"/>
      <w:numFmt w:val="decimal"/>
      <w:lvlText w:val="%1."/>
      <w:lvlJc w:val="left"/>
      <w:pPr>
        <w:tabs>
          <w:tab w:val="num" w:pos="720"/>
        </w:tabs>
        <w:ind w:left="72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8B57DB7"/>
    <w:multiLevelType w:val="hybridMultilevel"/>
    <w:tmpl w:val="73B685D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19120CC3"/>
    <w:multiLevelType w:val="hybridMultilevel"/>
    <w:tmpl w:val="06289B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211376"/>
    <w:multiLevelType w:val="hybridMultilevel"/>
    <w:tmpl w:val="B908D9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B75142B"/>
    <w:multiLevelType w:val="hybridMultilevel"/>
    <w:tmpl w:val="615EBEE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00D40E4"/>
    <w:multiLevelType w:val="hybridMultilevel"/>
    <w:tmpl w:val="1BDAF7EE"/>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3576973"/>
    <w:multiLevelType w:val="hybridMultilevel"/>
    <w:tmpl w:val="0F58E2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4440F99"/>
    <w:multiLevelType w:val="hybridMultilevel"/>
    <w:tmpl w:val="C4161004"/>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5711CD7"/>
    <w:multiLevelType w:val="hybridMultilevel"/>
    <w:tmpl w:val="A0684100"/>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5EE436A"/>
    <w:multiLevelType w:val="hybridMultilevel"/>
    <w:tmpl w:val="69F661D4"/>
    <w:lvl w:ilvl="0">
      <w:start w:val="1"/>
      <w:numFmt w:val="upperLetter"/>
      <w:lvlText w:val="%1."/>
      <w:lvlJc w:val="left"/>
      <w:pPr>
        <w:tabs>
          <w:tab w:val="num" w:pos="360"/>
        </w:tabs>
        <w:ind w:left="360" w:hanging="360"/>
      </w:pPr>
    </w:lvl>
    <w:lvl w:ilvl="1">
      <w:start w:val="1"/>
      <w:numFmt w:val="decimal"/>
      <w:lvlText w:val="%2."/>
      <w:lvlJc w:val="left"/>
      <w:pPr>
        <w:tabs>
          <w:tab w:val="num" w:pos="-690"/>
        </w:tabs>
        <w:ind w:left="-690" w:hanging="360"/>
      </w:pPr>
    </w:lvl>
    <w:lvl w:ilvl="2">
      <w:start w:val="1"/>
      <w:numFmt w:val="decimal"/>
      <w:lvlText w:val="%3."/>
      <w:lvlJc w:val="left"/>
      <w:pPr>
        <w:tabs>
          <w:tab w:val="num" w:pos="30"/>
        </w:tabs>
        <w:ind w:left="30" w:hanging="360"/>
      </w:pPr>
    </w:lvl>
    <w:lvl w:ilvl="3">
      <w:start w:val="1"/>
      <w:numFmt w:val="decimal"/>
      <w:lvlText w:val="%4."/>
      <w:lvlJc w:val="left"/>
      <w:pPr>
        <w:tabs>
          <w:tab w:val="num" w:pos="750"/>
        </w:tabs>
        <w:ind w:left="750" w:hanging="360"/>
      </w:pPr>
    </w:lvl>
    <w:lvl w:ilvl="4">
      <w:start w:val="1"/>
      <w:numFmt w:val="decimal"/>
      <w:lvlText w:val="%5."/>
      <w:lvlJc w:val="left"/>
      <w:pPr>
        <w:tabs>
          <w:tab w:val="num" w:pos="1470"/>
        </w:tabs>
        <w:ind w:left="147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910"/>
        </w:tabs>
        <w:ind w:left="2910" w:hanging="360"/>
      </w:pPr>
    </w:lvl>
    <w:lvl w:ilvl="7">
      <w:start w:val="1"/>
      <w:numFmt w:val="decimal"/>
      <w:lvlText w:val="%8."/>
      <w:lvlJc w:val="left"/>
      <w:pPr>
        <w:tabs>
          <w:tab w:val="num" w:pos="3630"/>
        </w:tabs>
        <w:ind w:left="3630" w:hanging="360"/>
      </w:pPr>
    </w:lvl>
    <w:lvl w:ilvl="8">
      <w:start w:val="1"/>
      <w:numFmt w:val="decimal"/>
      <w:lvlText w:val="%9."/>
      <w:lvlJc w:val="left"/>
      <w:pPr>
        <w:tabs>
          <w:tab w:val="num" w:pos="4350"/>
        </w:tabs>
        <w:ind w:left="4350" w:hanging="360"/>
      </w:pPr>
    </w:lvl>
  </w:abstractNum>
  <w:abstractNum w:abstractNumId="16">
    <w:nsid w:val="28B019FA"/>
    <w:multiLevelType w:val="hybridMultilevel"/>
    <w:tmpl w:val="CCAC74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D91230"/>
    <w:multiLevelType w:val="hybridMultilevel"/>
    <w:tmpl w:val="738656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9F70901"/>
    <w:multiLevelType w:val="hybridMultilevel"/>
    <w:tmpl w:val="E0CEF6CC"/>
    <w:lvl w:ilvl="0">
      <w:start w:val="1"/>
      <w:numFmt w:val="decimal"/>
      <w:lvlText w:val="%1."/>
      <w:lvlJc w:val="left"/>
      <w:pPr>
        <w:ind w:left="360" w:hanging="360"/>
      </w:pPr>
      <w:rPr>
        <w:rFonts w:cs="Times New Roman"/>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3D1A5120"/>
    <w:multiLevelType w:val="hybridMultilevel"/>
    <w:tmpl w:val="87BA6B12"/>
    <w:lvl w:ilvl="0">
      <w:start w:val="1"/>
      <w:numFmt w:val="decimal"/>
      <w:lvlText w:val="%1."/>
      <w:lvlJc w:val="left"/>
      <w:pPr>
        <w:tabs>
          <w:tab w:val="num" w:pos="6598"/>
        </w:tabs>
        <w:ind w:left="1531" w:hanging="737"/>
      </w:pPr>
      <w:rPr>
        <w:rFonts w:hint="default"/>
        <w:b w:val="0"/>
      </w:rPr>
    </w:lvl>
    <w:lvl w:ilvl="1" w:tentative="1">
      <w:start w:val="1"/>
      <w:numFmt w:val="lowerLetter"/>
      <w:lvlText w:val="%2."/>
      <w:lvlJc w:val="left"/>
      <w:pPr>
        <w:tabs>
          <w:tab w:val="num" w:pos="7318"/>
        </w:tabs>
        <w:ind w:left="7318" w:hanging="360"/>
      </w:pPr>
    </w:lvl>
    <w:lvl w:ilvl="2" w:tentative="1">
      <w:start w:val="1"/>
      <w:numFmt w:val="lowerRoman"/>
      <w:lvlText w:val="%3."/>
      <w:lvlJc w:val="right"/>
      <w:pPr>
        <w:tabs>
          <w:tab w:val="num" w:pos="8038"/>
        </w:tabs>
        <w:ind w:left="8038" w:hanging="180"/>
      </w:pPr>
    </w:lvl>
    <w:lvl w:ilvl="3" w:tentative="1">
      <w:start w:val="1"/>
      <w:numFmt w:val="decimal"/>
      <w:lvlText w:val="%4."/>
      <w:lvlJc w:val="left"/>
      <w:pPr>
        <w:tabs>
          <w:tab w:val="num" w:pos="8758"/>
        </w:tabs>
        <w:ind w:left="8758" w:hanging="360"/>
      </w:pPr>
    </w:lvl>
    <w:lvl w:ilvl="4" w:tentative="1">
      <w:start w:val="1"/>
      <w:numFmt w:val="lowerLetter"/>
      <w:lvlText w:val="%5."/>
      <w:lvlJc w:val="left"/>
      <w:pPr>
        <w:tabs>
          <w:tab w:val="num" w:pos="9478"/>
        </w:tabs>
        <w:ind w:left="9478" w:hanging="360"/>
      </w:pPr>
    </w:lvl>
    <w:lvl w:ilvl="5" w:tentative="1">
      <w:start w:val="1"/>
      <w:numFmt w:val="lowerRoman"/>
      <w:lvlText w:val="%6."/>
      <w:lvlJc w:val="right"/>
      <w:pPr>
        <w:tabs>
          <w:tab w:val="num" w:pos="10198"/>
        </w:tabs>
        <w:ind w:left="10198" w:hanging="180"/>
      </w:pPr>
    </w:lvl>
    <w:lvl w:ilvl="6" w:tentative="1">
      <w:start w:val="1"/>
      <w:numFmt w:val="decimal"/>
      <w:lvlText w:val="%7."/>
      <w:lvlJc w:val="left"/>
      <w:pPr>
        <w:tabs>
          <w:tab w:val="num" w:pos="10918"/>
        </w:tabs>
        <w:ind w:left="10918" w:hanging="360"/>
      </w:pPr>
    </w:lvl>
    <w:lvl w:ilvl="7" w:tentative="1">
      <w:start w:val="1"/>
      <w:numFmt w:val="lowerLetter"/>
      <w:lvlText w:val="%8."/>
      <w:lvlJc w:val="left"/>
      <w:pPr>
        <w:tabs>
          <w:tab w:val="num" w:pos="11638"/>
        </w:tabs>
        <w:ind w:left="11638" w:hanging="360"/>
      </w:pPr>
    </w:lvl>
    <w:lvl w:ilvl="8" w:tentative="1">
      <w:start w:val="1"/>
      <w:numFmt w:val="lowerRoman"/>
      <w:lvlText w:val="%9."/>
      <w:lvlJc w:val="right"/>
      <w:pPr>
        <w:tabs>
          <w:tab w:val="num" w:pos="12358"/>
        </w:tabs>
        <w:ind w:left="12358" w:hanging="180"/>
      </w:pPr>
    </w:lvl>
  </w:abstractNum>
  <w:abstractNum w:abstractNumId="20">
    <w:nsid w:val="3ED94F03"/>
    <w:multiLevelType w:val="hybridMultilevel"/>
    <w:tmpl w:val="BFEEA1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4AB056F"/>
    <w:multiLevelType w:val="hybridMultilevel"/>
    <w:tmpl w:val="FB5EC890"/>
    <w:lvl w:ilvl="0">
      <w:start w:val="1"/>
      <w:numFmt w:val="decimal"/>
      <w:lvlText w:val="%1."/>
      <w:lvlJc w:val="left"/>
      <w:pPr>
        <w:ind w:left="720" w:hanging="360"/>
      </w:pPr>
      <w:rPr>
        <w:rFonts w:cs="Arial"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A0F5534"/>
    <w:multiLevelType w:val="hybridMultilevel"/>
    <w:tmpl w:val="B4188C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7C0216"/>
    <w:multiLevelType w:val="hybridMultilevel"/>
    <w:tmpl w:val="740E9D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6997125"/>
    <w:multiLevelType w:val="hybridMultilevel"/>
    <w:tmpl w:val="DB2014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B0F1C8D"/>
    <w:multiLevelType w:val="hybridMultilevel"/>
    <w:tmpl w:val="3814A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B9363AC"/>
    <w:multiLevelType w:val="hybridMultilevel"/>
    <w:tmpl w:val="2CDE8C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nsid w:val="5B9D68EE"/>
    <w:multiLevelType w:val="hybridMultilevel"/>
    <w:tmpl w:val="ED92BBD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C7713A6"/>
    <w:multiLevelType w:val="hybridMultilevel"/>
    <w:tmpl w:val="A43C2CB2"/>
    <w:lvl w:ilvl="0">
      <w:start w:val="1"/>
      <w:numFmt w:val="decimal"/>
      <w:lvlText w:val="%1."/>
      <w:lvlJc w:val="left"/>
      <w:pPr>
        <w:ind w:left="36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8811BC"/>
    <w:multiLevelType w:val="hybridMultilevel"/>
    <w:tmpl w:val="F62479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F7A1703"/>
    <w:multiLevelType w:val="hybridMultilevel"/>
    <w:tmpl w:val="5F1E7E0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1">
    <w:nsid w:val="627A224D"/>
    <w:multiLevelType w:val="hybridMultilevel"/>
    <w:tmpl w:val="B39E32A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4234EC3"/>
    <w:multiLevelType w:val="hybridMultilevel"/>
    <w:tmpl w:val="A1D294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69C87000"/>
    <w:multiLevelType w:val="hybridMultilevel"/>
    <w:tmpl w:val="02908A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A325C22"/>
    <w:multiLevelType w:val="hybridMultilevel"/>
    <w:tmpl w:val="00369918"/>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AB856F7"/>
    <w:multiLevelType w:val="hybridMultilevel"/>
    <w:tmpl w:val="F530B9A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C1D7011"/>
    <w:multiLevelType w:val="hybridMultilevel"/>
    <w:tmpl w:val="DFDEEA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84B2C6F"/>
    <w:multiLevelType w:val="hybridMultilevel"/>
    <w:tmpl w:val="CB703D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9FA4B42"/>
    <w:multiLevelType w:val="hybridMultilevel"/>
    <w:tmpl w:val="FD5ECA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AF00D57"/>
    <w:multiLevelType w:val="hybridMultilevel"/>
    <w:tmpl w:val="3CC813EC"/>
    <w:lvl w:ilvl="0">
      <w:start w:val="1"/>
      <w:numFmt w:val="lowerLetter"/>
      <w:lvlText w:val="%1)"/>
      <w:lvlJc w:val="left"/>
      <w:pPr>
        <w:tabs>
          <w:tab w:val="num" w:pos="363"/>
        </w:tabs>
        <w:ind w:left="363" w:hanging="227"/>
      </w:pPr>
      <w:rPr>
        <w:rFonts w:ascii="Arial Narrow" w:hAnsi="Arial Narrow"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70"/>
        </w:tabs>
        <w:ind w:left="227" w:firstLine="113"/>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B7502A0"/>
    <w:multiLevelType w:val="hybridMultilevel"/>
    <w:tmpl w:val="E8AA571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CBA33DD"/>
    <w:multiLevelType w:val="hybridMultilevel"/>
    <w:tmpl w:val="8BCC9B2E"/>
    <w:lvl w:ilvl="0">
      <w:start w:val="1"/>
      <w:numFmt w:val="decimal"/>
      <w:lvlText w:val="%1."/>
      <w:lvlJc w:val="left"/>
      <w:pPr>
        <w:tabs>
          <w:tab w:val="num" w:pos="567"/>
        </w:tabs>
        <w:ind w:left="567" w:hanging="340"/>
      </w:pPr>
      <w:rPr>
        <w:rFonts w:hint="default"/>
        <w:b w:val="0"/>
      </w:rPr>
    </w:lvl>
    <w:lvl w:ilvl="1">
      <w:start w:val="1"/>
      <w:numFmt w:val="decimal"/>
      <w:lvlText w:val="%2."/>
      <w:lvlJc w:val="left"/>
      <w:pPr>
        <w:tabs>
          <w:tab w:val="num" w:pos="2160"/>
        </w:tabs>
        <w:ind w:left="2160" w:hanging="360"/>
      </w:pPr>
      <w:rPr>
        <w:rFonts w:hint="default"/>
        <w:b w:val="0"/>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3">
    <w:nsid w:val="7D0211D3"/>
    <w:multiLevelType w:val="hybridMultilevel"/>
    <w:tmpl w:val="13E6D1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E4D23E1"/>
    <w:multiLevelType w:val="hybridMultilevel"/>
    <w:tmpl w:val="CA803CB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
  </w:num>
  <w:num w:numId="4">
    <w:abstractNumId w:val="7"/>
  </w:num>
  <w:num w:numId="5">
    <w:abstractNumId w:val="33"/>
  </w:num>
  <w:num w:numId="6">
    <w:abstractNumId w:val="9"/>
  </w:num>
  <w:num w:numId="7">
    <w:abstractNumId w:val="20"/>
  </w:num>
  <w:num w:numId="8">
    <w:abstractNumId w:val="38"/>
  </w:num>
  <w:num w:numId="9">
    <w:abstractNumId w:val="39"/>
  </w:num>
  <w:num w:numId="10">
    <w:abstractNumId w:val="2"/>
  </w:num>
  <w:num w:numId="11">
    <w:abstractNumId w:val="24"/>
  </w:num>
  <w:num w:numId="12">
    <w:abstractNumId w:val="11"/>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41"/>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9"/>
  </w:num>
  <w:num w:numId="19">
    <w:abstractNumId w:val="13"/>
  </w:num>
  <w:num w:numId="20">
    <w:abstractNumId w:val="32"/>
  </w:num>
  <w:num w:numId="21">
    <w:abstractNumId w:val="10"/>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27"/>
  </w:num>
  <w:num w:numId="25">
    <w:abstractNumId w:val="42"/>
  </w:num>
  <w:num w:numId="26">
    <w:abstractNumId w:val="26"/>
  </w:num>
  <w:num w:numId="27">
    <w:abstractNumId w:val="23"/>
  </w:num>
  <w:num w:numId="28">
    <w:abstractNumId w:val="12"/>
  </w:num>
  <w:num w:numId="29">
    <w:abstractNumId w:val="5"/>
  </w:num>
  <w:num w:numId="30">
    <w:abstractNumId w:val="37"/>
  </w:num>
  <w:num w:numId="31">
    <w:abstractNumId w:val="18"/>
  </w:num>
  <w:num w:numId="32">
    <w:abstractNumId w:val="25"/>
  </w:num>
  <w:num w:numId="33">
    <w:abstractNumId w:val="19"/>
  </w:num>
  <w:num w:numId="34">
    <w:abstractNumId w:val="16"/>
  </w:num>
  <w:num w:numId="35">
    <w:abstractNumId w:val="21"/>
  </w:num>
  <w:num w:numId="36">
    <w:abstractNumId w:val="8"/>
  </w:num>
  <w:num w:numId="37">
    <w:abstractNumId w:val="22"/>
  </w:num>
  <w:num w:numId="38">
    <w:abstractNumId w:val="0"/>
  </w:num>
  <w:num w:numId="39">
    <w:abstractNumId w:val="30"/>
  </w:num>
  <w:num w:numId="40">
    <w:abstractNumId w:val="28"/>
  </w:num>
  <w:num w:numId="41">
    <w:abstractNumId w:val="36"/>
  </w:num>
  <w:num w:numId="42">
    <w:abstractNumId w:val="34"/>
  </w:num>
  <w:num w:numId="43">
    <w:abstractNumId w:val="3"/>
  </w:num>
  <w:num w:numId="44">
    <w:abstractNumId w:val="44"/>
  </w:num>
  <w:num w:numId="45">
    <w:abstractNumId w:val="14"/>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6EF"/>
    <w:rsid w:val="00006DD7"/>
    <w:rsid w:val="0000743B"/>
    <w:rsid w:val="000107AE"/>
    <w:rsid w:val="000139BA"/>
    <w:rsid w:val="00015125"/>
    <w:rsid w:val="000165A9"/>
    <w:rsid w:val="00016EEA"/>
    <w:rsid w:val="000226F4"/>
    <w:rsid w:val="00026345"/>
    <w:rsid w:val="0002666C"/>
    <w:rsid w:val="0004001B"/>
    <w:rsid w:val="00040044"/>
    <w:rsid w:val="00041192"/>
    <w:rsid w:val="000434DA"/>
    <w:rsid w:val="00045E54"/>
    <w:rsid w:val="00050225"/>
    <w:rsid w:val="0005173D"/>
    <w:rsid w:val="0005235B"/>
    <w:rsid w:val="00053FB9"/>
    <w:rsid w:val="00066275"/>
    <w:rsid w:val="00067F0B"/>
    <w:rsid w:val="00071C62"/>
    <w:rsid w:val="000741D0"/>
    <w:rsid w:val="0007451E"/>
    <w:rsid w:val="000826D8"/>
    <w:rsid w:val="0008289A"/>
    <w:rsid w:val="00084653"/>
    <w:rsid w:val="00085A9B"/>
    <w:rsid w:val="00092341"/>
    <w:rsid w:val="00092B30"/>
    <w:rsid w:val="000A0E23"/>
    <w:rsid w:val="000A44A0"/>
    <w:rsid w:val="000A7E84"/>
    <w:rsid w:val="000B19F4"/>
    <w:rsid w:val="000B4AAD"/>
    <w:rsid w:val="000D0046"/>
    <w:rsid w:val="000D14F9"/>
    <w:rsid w:val="000D4078"/>
    <w:rsid w:val="000E176D"/>
    <w:rsid w:val="000E2CAC"/>
    <w:rsid w:val="000E4253"/>
    <w:rsid w:val="000E5323"/>
    <w:rsid w:val="000E5C35"/>
    <w:rsid w:val="000F1967"/>
    <w:rsid w:val="00104F2D"/>
    <w:rsid w:val="0010647C"/>
    <w:rsid w:val="001117D7"/>
    <w:rsid w:val="001139A4"/>
    <w:rsid w:val="00113E0D"/>
    <w:rsid w:val="0011524C"/>
    <w:rsid w:val="001170EA"/>
    <w:rsid w:val="00117627"/>
    <w:rsid w:val="001212D5"/>
    <w:rsid w:val="00127866"/>
    <w:rsid w:val="00143F10"/>
    <w:rsid w:val="00152B22"/>
    <w:rsid w:val="00153E1E"/>
    <w:rsid w:val="001545C9"/>
    <w:rsid w:val="001559B7"/>
    <w:rsid w:val="00155FEF"/>
    <w:rsid w:val="00160A16"/>
    <w:rsid w:val="001626EB"/>
    <w:rsid w:val="0016756E"/>
    <w:rsid w:val="001734EE"/>
    <w:rsid w:val="00173FBE"/>
    <w:rsid w:val="00174B3C"/>
    <w:rsid w:val="00183676"/>
    <w:rsid w:val="00184104"/>
    <w:rsid w:val="00184784"/>
    <w:rsid w:val="001852E1"/>
    <w:rsid w:val="00192864"/>
    <w:rsid w:val="001957AD"/>
    <w:rsid w:val="001A602E"/>
    <w:rsid w:val="001B1E93"/>
    <w:rsid w:val="001B41F7"/>
    <w:rsid w:val="001C51E2"/>
    <w:rsid w:val="001C5BF3"/>
    <w:rsid w:val="001C6390"/>
    <w:rsid w:val="001D1076"/>
    <w:rsid w:val="001D3CC5"/>
    <w:rsid w:val="001D5926"/>
    <w:rsid w:val="001D6BE4"/>
    <w:rsid w:val="001E6E4A"/>
    <w:rsid w:val="001E6F56"/>
    <w:rsid w:val="001F1392"/>
    <w:rsid w:val="001F1FB7"/>
    <w:rsid w:val="002009C6"/>
    <w:rsid w:val="002012D0"/>
    <w:rsid w:val="00205C7B"/>
    <w:rsid w:val="0020683C"/>
    <w:rsid w:val="00210542"/>
    <w:rsid w:val="00213659"/>
    <w:rsid w:val="00214BD9"/>
    <w:rsid w:val="00232F32"/>
    <w:rsid w:val="00233821"/>
    <w:rsid w:val="002461A5"/>
    <w:rsid w:val="00254F23"/>
    <w:rsid w:val="00255E78"/>
    <w:rsid w:val="002629D4"/>
    <w:rsid w:val="00272FA8"/>
    <w:rsid w:val="002743DB"/>
    <w:rsid w:val="00276AD6"/>
    <w:rsid w:val="00284126"/>
    <w:rsid w:val="0028499B"/>
    <w:rsid w:val="00294FAE"/>
    <w:rsid w:val="002A59BC"/>
    <w:rsid w:val="002A6335"/>
    <w:rsid w:val="002A7220"/>
    <w:rsid w:val="002B337A"/>
    <w:rsid w:val="002B6101"/>
    <w:rsid w:val="002C62FF"/>
    <w:rsid w:val="002D072D"/>
    <w:rsid w:val="002D1085"/>
    <w:rsid w:val="002D29EA"/>
    <w:rsid w:val="002E072A"/>
    <w:rsid w:val="002E46AB"/>
    <w:rsid w:val="002E7F6B"/>
    <w:rsid w:val="002F3ED4"/>
    <w:rsid w:val="002F5CD9"/>
    <w:rsid w:val="00301227"/>
    <w:rsid w:val="00302EB6"/>
    <w:rsid w:val="0030491B"/>
    <w:rsid w:val="00321A20"/>
    <w:rsid w:val="00325E49"/>
    <w:rsid w:val="00327018"/>
    <w:rsid w:val="0032711D"/>
    <w:rsid w:val="00334FEC"/>
    <w:rsid w:val="003371B9"/>
    <w:rsid w:val="00342FD3"/>
    <w:rsid w:val="00347242"/>
    <w:rsid w:val="00352292"/>
    <w:rsid w:val="00356336"/>
    <w:rsid w:val="00361210"/>
    <w:rsid w:val="003676F8"/>
    <w:rsid w:val="00370DA7"/>
    <w:rsid w:val="00371F1B"/>
    <w:rsid w:val="00373CBB"/>
    <w:rsid w:val="0038060C"/>
    <w:rsid w:val="00380A1C"/>
    <w:rsid w:val="003832D7"/>
    <w:rsid w:val="003916AC"/>
    <w:rsid w:val="00397CB2"/>
    <w:rsid w:val="003A4FC0"/>
    <w:rsid w:val="003B1B33"/>
    <w:rsid w:val="003B39B6"/>
    <w:rsid w:val="003C2355"/>
    <w:rsid w:val="003C4B32"/>
    <w:rsid w:val="003C4D07"/>
    <w:rsid w:val="003D441A"/>
    <w:rsid w:val="003E4817"/>
    <w:rsid w:val="003E5C21"/>
    <w:rsid w:val="003E60B4"/>
    <w:rsid w:val="003F56E7"/>
    <w:rsid w:val="00401691"/>
    <w:rsid w:val="00411CC0"/>
    <w:rsid w:val="00415698"/>
    <w:rsid w:val="00417F75"/>
    <w:rsid w:val="004231C1"/>
    <w:rsid w:val="004265B4"/>
    <w:rsid w:val="0043269C"/>
    <w:rsid w:val="00435793"/>
    <w:rsid w:val="00450C55"/>
    <w:rsid w:val="0046108E"/>
    <w:rsid w:val="004612FB"/>
    <w:rsid w:val="0047332F"/>
    <w:rsid w:val="004770E8"/>
    <w:rsid w:val="00491556"/>
    <w:rsid w:val="004925DB"/>
    <w:rsid w:val="00493DCA"/>
    <w:rsid w:val="004A12F3"/>
    <w:rsid w:val="004A3E40"/>
    <w:rsid w:val="004A5A62"/>
    <w:rsid w:val="004A665B"/>
    <w:rsid w:val="004B7312"/>
    <w:rsid w:val="004B77A8"/>
    <w:rsid w:val="004D03C0"/>
    <w:rsid w:val="004D397F"/>
    <w:rsid w:val="004D71D6"/>
    <w:rsid w:val="004E263D"/>
    <w:rsid w:val="004E2763"/>
    <w:rsid w:val="004E6C03"/>
    <w:rsid w:val="004F0838"/>
    <w:rsid w:val="004F2B3E"/>
    <w:rsid w:val="004F45C8"/>
    <w:rsid w:val="00500C97"/>
    <w:rsid w:val="0050102D"/>
    <w:rsid w:val="00504177"/>
    <w:rsid w:val="0052115B"/>
    <w:rsid w:val="00522678"/>
    <w:rsid w:val="00526216"/>
    <w:rsid w:val="0053362C"/>
    <w:rsid w:val="005375F3"/>
    <w:rsid w:val="00541849"/>
    <w:rsid w:val="00552BE1"/>
    <w:rsid w:val="0056697B"/>
    <w:rsid w:val="0056788D"/>
    <w:rsid w:val="0057223B"/>
    <w:rsid w:val="005757C8"/>
    <w:rsid w:val="00576DE1"/>
    <w:rsid w:val="0058523A"/>
    <w:rsid w:val="005860D4"/>
    <w:rsid w:val="00587F18"/>
    <w:rsid w:val="00590FB8"/>
    <w:rsid w:val="005919F9"/>
    <w:rsid w:val="00594981"/>
    <w:rsid w:val="00595842"/>
    <w:rsid w:val="00595B3A"/>
    <w:rsid w:val="005A403B"/>
    <w:rsid w:val="005A7352"/>
    <w:rsid w:val="005B36AB"/>
    <w:rsid w:val="005D03BE"/>
    <w:rsid w:val="005D04B9"/>
    <w:rsid w:val="005D04CE"/>
    <w:rsid w:val="005D1F0B"/>
    <w:rsid w:val="005D2E69"/>
    <w:rsid w:val="005D322A"/>
    <w:rsid w:val="005D368F"/>
    <w:rsid w:val="005D6283"/>
    <w:rsid w:val="005D62EB"/>
    <w:rsid w:val="005D6500"/>
    <w:rsid w:val="005E0E12"/>
    <w:rsid w:val="005E26FF"/>
    <w:rsid w:val="005E27AA"/>
    <w:rsid w:val="005E3D70"/>
    <w:rsid w:val="005E63ED"/>
    <w:rsid w:val="005F2A14"/>
    <w:rsid w:val="00602FF8"/>
    <w:rsid w:val="006107BB"/>
    <w:rsid w:val="00611469"/>
    <w:rsid w:val="00622525"/>
    <w:rsid w:val="00624B50"/>
    <w:rsid w:val="00624DDC"/>
    <w:rsid w:val="006328B3"/>
    <w:rsid w:val="00632B62"/>
    <w:rsid w:val="0063561B"/>
    <w:rsid w:val="0063617C"/>
    <w:rsid w:val="0063749C"/>
    <w:rsid w:val="00642D4E"/>
    <w:rsid w:val="006437A1"/>
    <w:rsid w:val="006443CB"/>
    <w:rsid w:val="00652CCE"/>
    <w:rsid w:val="0065582E"/>
    <w:rsid w:val="00665A38"/>
    <w:rsid w:val="0066682E"/>
    <w:rsid w:val="00670BE9"/>
    <w:rsid w:val="006732DF"/>
    <w:rsid w:val="006975DE"/>
    <w:rsid w:val="006A3283"/>
    <w:rsid w:val="006A3C85"/>
    <w:rsid w:val="006A6D97"/>
    <w:rsid w:val="006A749F"/>
    <w:rsid w:val="006C1365"/>
    <w:rsid w:val="006C19B0"/>
    <w:rsid w:val="006D23E3"/>
    <w:rsid w:val="006D6B84"/>
    <w:rsid w:val="006E5A71"/>
    <w:rsid w:val="006F4192"/>
    <w:rsid w:val="007012B6"/>
    <w:rsid w:val="007119E1"/>
    <w:rsid w:val="00714E4A"/>
    <w:rsid w:val="00716246"/>
    <w:rsid w:val="00716C63"/>
    <w:rsid w:val="00716D1C"/>
    <w:rsid w:val="00716FBB"/>
    <w:rsid w:val="00723D47"/>
    <w:rsid w:val="0072664E"/>
    <w:rsid w:val="00731798"/>
    <w:rsid w:val="007350B2"/>
    <w:rsid w:val="00740E97"/>
    <w:rsid w:val="007451AB"/>
    <w:rsid w:val="0074684C"/>
    <w:rsid w:val="00750DA6"/>
    <w:rsid w:val="00753D13"/>
    <w:rsid w:val="00754367"/>
    <w:rsid w:val="00766B24"/>
    <w:rsid w:val="00766EB1"/>
    <w:rsid w:val="00770355"/>
    <w:rsid w:val="00771DBB"/>
    <w:rsid w:val="00776A60"/>
    <w:rsid w:val="00777CFA"/>
    <w:rsid w:val="007865EF"/>
    <w:rsid w:val="00787F13"/>
    <w:rsid w:val="00791016"/>
    <w:rsid w:val="007965EB"/>
    <w:rsid w:val="007974F4"/>
    <w:rsid w:val="007A7227"/>
    <w:rsid w:val="007A7FC3"/>
    <w:rsid w:val="007B40ED"/>
    <w:rsid w:val="007C3A2E"/>
    <w:rsid w:val="007C6EC6"/>
    <w:rsid w:val="007D3639"/>
    <w:rsid w:val="007D7D61"/>
    <w:rsid w:val="007E168E"/>
    <w:rsid w:val="0081158D"/>
    <w:rsid w:val="00824DAD"/>
    <w:rsid w:val="00830899"/>
    <w:rsid w:val="00841E0B"/>
    <w:rsid w:val="00841EA3"/>
    <w:rsid w:val="00843911"/>
    <w:rsid w:val="008458BA"/>
    <w:rsid w:val="0085189B"/>
    <w:rsid w:val="008524BB"/>
    <w:rsid w:val="008720CA"/>
    <w:rsid w:val="00875CE7"/>
    <w:rsid w:val="008769DE"/>
    <w:rsid w:val="00880343"/>
    <w:rsid w:val="00881478"/>
    <w:rsid w:val="00883651"/>
    <w:rsid w:val="0089148D"/>
    <w:rsid w:val="008956C4"/>
    <w:rsid w:val="008A2AEF"/>
    <w:rsid w:val="008A65D4"/>
    <w:rsid w:val="008B2507"/>
    <w:rsid w:val="008C2619"/>
    <w:rsid w:val="008C606C"/>
    <w:rsid w:val="008D037B"/>
    <w:rsid w:val="008E0724"/>
    <w:rsid w:val="008E46E2"/>
    <w:rsid w:val="008E4744"/>
    <w:rsid w:val="008E52C8"/>
    <w:rsid w:val="008F04DB"/>
    <w:rsid w:val="008F1D4B"/>
    <w:rsid w:val="008F35D7"/>
    <w:rsid w:val="008F51E4"/>
    <w:rsid w:val="009014AF"/>
    <w:rsid w:val="00901501"/>
    <w:rsid w:val="00902EC3"/>
    <w:rsid w:val="00914F38"/>
    <w:rsid w:val="009171A7"/>
    <w:rsid w:val="00927388"/>
    <w:rsid w:val="00942B86"/>
    <w:rsid w:val="009434CE"/>
    <w:rsid w:val="00945E30"/>
    <w:rsid w:val="009534E4"/>
    <w:rsid w:val="009632BB"/>
    <w:rsid w:val="009673E9"/>
    <w:rsid w:val="00972CAE"/>
    <w:rsid w:val="00977639"/>
    <w:rsid w:val="00985280"/>
    <w:rsid w:val="00990B21"/>
    <w:rsid w:val="00993B10"/>
    <w:rsid w:val="009940AF"/>
    <w:rsid w:val="00996EF0"/>
    <w:rsid w:val="009A0038"/>
    <w:rsid w:val="009A5069"/>
    <w:rsid w:val="009B1A9B"/>
    <w:rsid w:val="009B629D"/>
    <w:rsid w:val="009C5634"/>
    <w:rsid w:val="009C6829"/>
    <w:rsid w:val="009D0655"/>
    <w:rsid w:val="009D25C5"/>
    <w:rsid w:val="009D3928"/>
    <w:rsid w:val="009E4434"/>
    <w:rsid w:val="009E58D6"/>
    <w:rsid w:val="009E6FD9"/>
    <w:rsid w:val="009F0117"/>
    <w:rsid w:val="00A13BFD"/>
    <w:rsid w:val="00A22570"/>
    <w:rsid w:val="00A26DE4"/>
    <w:rsid w:val="00A42717"/>
    <w:rsid w:val="00A44797"/>
    <w:rsid w:val="00A45E0F"/>
    <w:rsid w:val="00A46F21"/>
    <w:rsid w:val="00A64B15"/>
    <w:rsid w:val="00A73ECD"/>
    <w:rsid w:val="00A76F2A"/>
    <w:rsid w:val="00A80718"/>
    <w:rsid w:val="00A8165F"/>
    <w:rsid w:val="00A8705A"/>
    <w:rsid w:val="00A903B6"/>
    <w:rsid w:val="00A90912"/>
    <w:rsid w:val="00A93054"/>
    <w:rsid w:val="00AC22E2"/>
    <w:rsid w:val="00AC2960"/>
    <w:rsid w:val="00AC65F9"/>
    <w:rsid w:val="00AC7EC3"/>
    <w:rsid w:val="00AD0864"/>
    <w:rsid w:val="00AE3087"/>
    <w:rsid w:val="00AE69DF"/>
    <w:rsid w:val="00AF0917"/>
    <w:rsid w:val="00AF0B50"/>
    <w:rsid w:val="00AF7145"/>
    <w:rsid w:val="00B07F36"/>
    <w:rsid w:val="00B16CED"/>
    <w:rsid w:val="00B17563"/>
    <w:rsid w:val="00B44942"/>
    <w:rsid w:val="00B55EBB"/>
    <w:rsid w:val="00B614DE"/>
    <w:rsid w:val="00B64787"/>
    <w:rsid w:val="00B71E6A"/>
    <w:rsid w:val="00B73982"/>
    <w:rsid w:val="00B774DD"/>
    <w:rsid w:val="00B80471"/>
    <w:rsid w:val="00B804D8"/>
    <w:rsid w:val="00B83537"/>
    <w:rsid w:val="00B956AC"/>
    <w:rsid w:val="00B95CCC"/>
    <w:rsid w:val="00B97CFB"/>
    <w:rsid w:val="00BA1E88"/>
    <w:rsid w:val="00BB1415"/>
    <w:rsid w:val="00BB1607"/>
    <w:rsid w:val="00BB19BA"/>
    <w:rsid w:val="00BB34B0"/>
    <w:rsid w:val="00BB42C8"/>
    <w:rsid w:val="00BB438D"/>
    <w:rsid w:val="00BB4DB1"/>
    <w:rsid w:val="00BB5C38"/>
    <w:rsid w:val="00BC2BF3"/>
    <w:rsid w:val="00BC3578"/>
    <w:rsid w:val="00BD1191"/>
    <w:rsid w:val="00BD172A"/>
    <w:rsid w:val="00BD37D8"/>
    <w:rsid w:val="00BD7172"/>
    <w:rsid w:val="00BE5478"/>
    <w:rsid w:val="00BE788B"/>
    <w:rsid w:val="00BF1695"/>
    <w:rsid w:val="00C0580A"/>
    <w:rsid w:val="00C059CD"/>
    <w:rsid w:val="00C221C2"/>
    <w:rsid w:val="00C2409D"/>
    <w:rsid w:val="00C34FB0"/>
    <w:rsid w:val="00C37D3C"/>
    <w:rsid w:val="00C40208"/>
    <w:rsid w:val="00C511AD"/>
    <w:rsid w:val="00C56FB3"/>
    <w:rsid w:val="00C609C6"/>
    <w:rsid w:val="00C637C7"/>
    <w:rsid w:val="00C72FBD"/>
    <w:rsid w:val="00C739C2"/>
    <w:rsid w:val="00C74C86"/>
    <w:rsid w:val="00C81129"/>
    <w:rsid w:val="00C85101"/>
    <w:rsid w:val="00C87B3F"/>
    <w:rsid w:val="00C91164"/>
    <w:rsid w:val="00C93F38"/>
    <w:rsid w:val="00CA02CA"/>
    <w:rsid w:val="00CA0E04"/>
    <w:rsid w:val="00CA4BC6"/>
    <w:rsid w:val="00CA7FA7"/>
    <w:rsid w:val="00CB45BF"/>
    <w:rsid w:val="00CB5AF6"/>
    <w:rsid w:val="00CB60CD"/>
    <w:rsid w:val="00CD05F3"/>
    <w:rsid w:val="00CD3386"/>
    <w:rsid w:val="00CD5189"/>
    <w:rsid w:val="00CD689C"/>
    <w:rsid w:val="00CE23DD"/>
    <w:rsid w:val="00CE5FA3"/>
    <w:rsid w:val="00CF0260"/>
    <w:rsid w:val="00CF752D"/>
    <w:rsid w:val="00CF7721"/>
    <w:rsid w:val="00D066CB"/>
    <w:rsid w:val="00D14BB3"/>
    <w:rsid w:val="00D14EA4"/>
    <w:rsid w:val="00D24006"/>
    <w:rsid w:val="00D3491C"/>
    <w:rsid w:val="00D43E19"/>
    <w:rsid w:val="00D468CB"/>
    <w:rsid w:val="00D47606"/>
    <w:rsid w:val="00D51BBC"/>
    <w:rsid w:val="00D53213"/>
    <w:rsid w:val="00D5389F"/>
    <w:rsid w:val="00D56CFD"/>
    <w:rsid w:val="00D60D33"/>
    <w:rsid w:val="00D64717"/>
    <w:rsid w:val="00D72A92"/>
    <w:rsid w:val="00D72E6C"/>
    <w:rsid w:val="00D77944"/>
    <w:rsid w:val="00D840FC"/>
    <w:rsid w:val="00D93A8F"/>
    <w:rsid w:val="00D96ABB"/>
    <w:rsid w:val="00DA4A4E"/>
    <w:rsid w:val="00DB14FA"/>
    <w:rsid w:val="00DB15FF"/>
    <w:rsid w:val="00DC342A"/>
    <w:rsid w:val="00DD0454"/>
    <w:rsid w:val="00DD2F44"/>
    <w:rsid w:val="00DD72DC"/>
    <w:rsid w:val="00DE311B"/>
    <w:rsid w:val="00DF00E6"/>
    <w:rsid w:val="00E028CB"/>
    <w:rsid w:val="00E077EC"/>
    <w:rsid w:val="00E13467"/>
    <w:rsid w:val="00E165F4"/>
    <w:rsid w:val="00E20A99"/>
    <w:rsid w:val="00E24E2F"/>
    <w:rsid w:val="00E27648"/>
    <w:rsid w:val="00E27E58"/>
    <w:rsid w:val="00E3668B"/>
    <w:rsid w:val="00E36F3D"/>
    <w:rsid w:val="00E4207A"/>
    <w:rsid w:val="00E45D1F"/>
    <w:rsid w:val="00E54D4F"/>
    <w:rsid w:val="00E564B4"/>
    <w:rsid w:val="00E56CEF"/>
    <w:rsid w:val="00E61311"/>
    <w:rsid w:val="00E70960"/>
    <w:rsid w:val="00E81999"/>
    <w:rsid w:val="00E8666A"/>
    <w:rsid w:val="00E906AB"/>
    <w:rsid w:val="00E92427"/>
    <w:rsid w:val="00E95866"/>
    <w:rsid w:val="00E97E3F"/>
    <w:rsid w:val="00EA2888"/>
    <w:rsid w:val="00EA6751"/>
    <w:rsid w:val="00EA7E4D"/>
    <w:rsid w:val="00EC5F3F"/>
    <w:rsid w:val="00ED3C5E"/>
    <w:rsid w:val="00EE616F"/>
    <w:rsid w:val="00EE6ACA"/>
    <w:rsid w:val="00EF60D1"/>
    <w:rsid w:val="00F00247"/>
    <w:rsid w:val="00F03B10"/>
    <w:rsid w:val="00F05D83"/>
    <w:rsid w:val="00F14525"/>
    <w:rsid w:val="00F15963"/>
    <w:rsid w:val="00F31640"/>
    <w:rsid w:val="00F328DE"/>
    <w:rsid w:val="00F33022"/>
    <w:rsid w:val="00F362CE"/>
    <w:rsid w:val="00F6286E"/>
    <w:rsid w:val="00F709C1"/>
    <w:rsid w:val="00F7162F"/>
    <w:rsid w:val="00F7316C"/>
    <w:rsid w:val="00F7461A"/>
    <w:rsid w:val="00F80E71"/>
    <w:rsid w:val="00F87FF3"/>
    <w:rsid w:val="00F92F1D"/>
    <w:rsid w:val="00F966EF"/>
    <w:rsid w:val="00FB71C8"/>
    <w:rsid w:val="00FE5514"/>
    <w:rsid w:val="00FF4581"/>
    <w:rsid w:val="00FF7D31"/>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bCs/>
      <w:sz w:val="24"/>
      <w:szCs w:val="24"/>
      <w:lang w:val="sk-SK" w:eastAsia="sk-SK" w:bidi="ar-SA"/>
    </w:rPr>
  </w:style>
  <w:style w:type="paragraph" w:styleId="Heading1">
    <w:name w:val="heading 1"/>
    <w:basedOn w:val="Normal"/>
    <w:next w:val="Normal"/>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link w:val="Zarkazkladnhotextu3Char"/>
    <w:pPr>
      <w:ind w:left="1065"/>
      <w:jc w:val="both"/>
    </w:pPr>
    <w:rPr>
      <w:bCs w:val="0"/>
      <w:szCs w:val="20"/>
      <w:lang w:val="cs-CZ" w:eastAsia="x-none"/>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uiPriority w:val="99"/>
    <w:qFormat/>
    <w:rsid w:val="00092341"/>
    <w:rPr>
      <w:i/>
      <w:iCs/>
    </w:rPr>
  </w:style>
  <w:style w:type="paragraph" w:styleId="ListParagraph">
    <w:name w:val="List Paragraph"/>
    <w:basedOn w:val="Normal"/>
    <w:uiPriority w:val="34"/>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0">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 w:type="character" w:customStyle="1" w:styleId="Textzstupnhosymbolu1">
    <w:name w:val="Text zástupného symbolu1"/>
    <w:uiPriority w:val="99"/>
    <w:semiHidden/>
    <w:rsid w:val="00380A1C"/>
    <w:rPr>
      <w:rFonts w:ascii="Times New Roman" w:hAnsi="Times New Roman" w:cs="Times New Roman"/>
      <w:color w:val="808080"/>
    </w:rPr>
  </w:style>
  <w:style w:type="character" w:customStyle="1" w:styleId="Zarkazkladnhotextu3Char">
    <w:name w:val="Zarážka základného textu 3 Char"/>
    <w:link w:val="BodyTextIndent3"/>
    <w:rsid w:val="005919F9"/>
    <w:rPr>
      <w:sz w:val="24"/>
      <w:lang w:val="cs-CZ"/>
    </w:rPr>
  </w:style>
  <w:style w:type="paragraph" w:customStyle="1" w:styleId="Farebnzoznamzvraznenie11">
    <w:name w:val="Farebný zoznam – zvýraznenie 11"/>
    <w:basedOn w:val="Normal"/>
    <w:uiPriority w:val="34"/>
    <w:qFormat/>
    <w:rsid w:val="002B337A"/>
    <w:pPr>
      <w:spacing w:after="200" w:line="276" w:lineRule="auto"/>
      <w:ind w:left="720"/>
      <w:contextualSpacing/>
    </w:pPr>
    <w:rPr>
      <w:rFonts w:ascii="Calibri" w:hAnsi="Calibri"/>
      <w:bCs w:val="0"/>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87360-4D68-4CA3-99B0-BB92E3903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3517</Words>
  <Characters>20053</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Bruteničová, Barbora, Ing.</cp:lastModifiedBy>
  <cp:revision>47</cp:revision>
  <cp:lastPrinted>2016-10-04T11:58:00Z</cp:lastPrinted>
  <dcterms:created xsi:type="dcterms:W3CDTF">2013-06-14T07:14:00Z</dcterms:created>
  <dcterms:modified xsi:type="dcterms:W3CDTF">2017-09-04T11:47:00Z</dcterms:modified>
</cp:coreProperties>
</file>