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08FB" w:rsidRPr="00C0323B" w:rsidP="00DA01F2">
      <w:pPr>
        <w:bidi w:val="0"/>
        <w:spacing w:after="0" w:line="240" w:lineRule="auto"/>
        <w:jc w:val="center"/>
        <w:rPr>
          <w:rFonts w:ascii="Times New Roman" w:hAnsi="Times New Roman" w:cs="Times New Roman"/>
          <w:b/>
          <w:sz w:val="24"/>
          <w:szCs w:val="24"/>
        </w:rPr>
      </w:pPr>
      <w:r w:rsidRPr="00C0323B">
        <w:rPr>
          <w:rFonts w:ascii="Times New Roman" w:hAnsi="Times New Roman" w:cs="Times New Roman"/>
          <w:b/>
          <w:sz w:val="24"/>
          <w:szCs w:val="24"/>
        </w:rPr>
        <w:t>Dôvodová správa</w:t>
      </w:r>
    </w:p>
    <w:p w:rsidR="00E008FB" w:rsidRPr="00C0323B" w:rsidP="00DA01F2">
      <w:pPr>
        <w:bidi w:val="0"/>
        <w:spacing w:after="0" w:line="240" w:lineRule="auto"/>
        <w:outlineLvl w:val="0"/>
        <w:rPr>
          <w:rFonts w:ascii="Times New Roman" w:hAnsi="Times New Roman" w:cs="Times New Roman"/>
          <w:b/>
          <w:bCs/>
          <w:sz w:val="24"/>
          <w:szCs w:val="24"/>
          <w:u w:val="single"/>
        </w:rPr>
      </w:pPr>
    </w:p>
    <w:p w:rsidR="00E008FB" w:rsidRPr="00C0323B" w:rsidP="00DA01F2">
      <w:pPr>
        <w:bidi w:val="0"/>
        <w:spacing w:after="0" w:line="240" w:lineRule="auto"/>
        <w:outlineLvl w:val="0"/>
        <w:rPr>
          <w:rFonts w:ascii="Times New Roman" w:hAnsi="Times New Roman" w:cs="Times New Roman"/>
          <w:b/>
          <w:bCs/>
          <w:sz w:val="24"/>
          <w:szCs w:val="24"/>
          <w:u w:val="single"/>
        </w:rPr>
      </w:pPr>
      <w:r w:rsidRPr="00C0323B">
        <w:rPr>
          <w:rFonts w:ascii="Times New Roman" w:hAnsi="Times New Roman" w:cs="Times New Roman"/>
          <w:b/>
          <w:bCs/>
          <w:sz w:val="24"/>
          <w:szCs w:val="24"/>
          <w:u w:val="single"/>
        </w:rPr>
        <w:t xml:space="preserve">Všeobecná časť  </w:t>
      </w:r>
    </w:p>
    <w:p w:rsidR="00BE0AA4" w:rsidP="005E2690">
      <w:pPr>
        <w:bidi w:val="0"/>
        <w:spacing w:after="0" w:line="240" w:lineRule="auto"/>
        <w:jc w:val="both"/>
        <w:rPr>
          <w:rFonts w:ascii="Times New Roman" w:hAnsi="Times New Roman" w:cs="Times New Roman"/>
          <w:sz w:val="24"/>
          <w:szCs w:val="24"/>
        </w:rPr>
      </w:pPr>
    </w:p>
    <w:p w:rsidR="005E2690" w:rsidP="005E2690">
      <w:pPr>
        <w:bidi w:val="0"/>
        <w:spacing w:after="0" w:line="240" w:lineRule="auto"/>
        <w:jc w:val="both"/>
        <w:rPr>
          <w:rFonts w:ascii="Times New Roman" w:hAnsi="Times New Roman" w:cs="Times New Roman"/>
          <w:sz w:val="24"/>
          <w:szCs w:val="24"/>
        </w:rPr>
      </w:pPr>
      <w:r w:rsidR="00943CD1">
        <w:rPr>
          <w:rFonts w:ascii="Times New Roman" w:hAnsi="Times New Roman" w:cs="Times New Roman"/>
          <w:sz w:val="24"/>
          <w:szCs w:val="24"/>
        </w:rPr>
        <w:t xml:space="preserve">Vládny návrh zákona, </w:t>
      </w:r>
      <w:r w:rsidR="00BE0AA4">
        <w:rPr>
          <w:rFonts w:ascii="Times New Roman" w:hAnsi="Times New Roman" w:cs="Times New Roman"/>
          <w:sz w:val="24"/>
          <w:szCs w:val="24"/>
        </w:rPr>
        <w:t xml:space="preserve">ktorým sa mení </w:t>
      </w:r>
      <w:r w:rsidRPr="005E2690">
        <w:rPr>
          <w:rFonts w:ascii="Times New Roman" w:hAnsi="Times New Roman" w:cs="Times New Roman"/>
          <w:sz w:val="24"/>
          <w:szCs w:val="24"/>
        </w:rPr>
        <w:t>a dopĺňa zákon č. 595/2003 Z. z. o dani z príjmov v znení neskorších predpisov</w:t>
      </w:r>
      <w:r w:rsidR="00881789">
        <w:rPr>
          <w:rFonts w:ascii="Times New Roman" w:hAnsi="Times New Roman" w:cs="Times New Roman"/>
          <w:sz w:val="24"/>
          <w:szCs w:val="24"/>
        </w:rPr>
        <w:t xml:space="preserve"> </w:t>
      </w:r>
      <w:r w:rsidRPr="00997C4D" w:rsidR="00962D75">
        <w:rPr>
          <w:rFonts w:ascii="Times New Roman" w:hAnsi="Times New Roman" w:cs="Times New Roman"/>
          <w:bCs/>
          <w:sz w:val="24"/>
          <w:szCs w:val="24"/>
        </w:rPr>
        <w:t>a ktorým sa mení zákon č. 563/2009 Z.</w:t>
      </w:r>
      <w:r w:rsidR="00506DDC">
        <w:rPr>
          <w:rFonts w:ascii="Times New Roman" w:hAnsi="Times New Roman" w:cs="Times New Roman"/>
          <w:bCs/>
          <w:sz w:val="24"/>
          <w:szCs w:val="24"/>
        </w:rPr>
        <w:t xml:space="preserve"> </w:t>
      </w:r>
      <w:r w:rsidRPr="00997C4D" w:rsidR="00962D75">
        <w:rPr>
          <w:rFonts w:ascii="Times New Roman" w:hAnsi="Times New Roman" w:cs="Times New Roman"/>
          <w:bCs/>
          <w:sz w:val="24"/>
          <w:szCs w:val="24"/>
        </w:rPr>
        <w:t xml:space="preserve">z. o správe daní (daňový poriadok) </w:t>
      </w:r>
      <w:r w:rsidR="00053509">
        <w:rPr>
          <w:rFonts w:ascii="Times New Roman" w:hAnsi="Times New Roman" w:cs="Times New Roman"/>
          <w:bCs/>
          <w:sz w:val="24"/>
          <w:szCs w:val="24"/>
        </w:rPr>
        <w:t xml:space="preserve">a o zmene a doplnení niektorých zákonov </w:t>
      </w:r>
      <w:r w:rsidRPr="00997C4D" w:rsidR="00962D75">
        <w:rPr>
          <w:rFonts w:ascii="Times New Roman" w:hAnsi="Times New Roman" w:cs="Times New Roman"/>
          <w:bCs/>
          <w:sz w:val="24"/>
          <w:szCs w:val="24"/>
        </w:rPr>
        <w:t>v znení neskorších predpisov</w:t>
      </w:r>
      <w:r w:rsidR="00943CD1">
        <w:rPr>
          <w:rFonts w:ascii="Times New Roman" w:hAnsi="Times New Roman" w:cs="Times New Roman"/>
          <w:bCs/>
          <w:sz w:val="24"/>
          <w:szCs w:val="24"/>
        </w:rPr>
        <w:t xml:space="preserve"> je vypracovaný</w:t>
      </w:r>
      <w:r w:rsidRPr="00A47553" w:rsidR="00BE0AA4">
        <w:rPr>
          <w:rFonts w:ascii="Times New Roman" w:hAnsi="Times New Roman" w:cs="Times New Roman"/>
          <w:color w:val="FF0000"/>
          <w:sz w:val="24"/>
          <w:szCs w:val="24"/>
        </w:rPr>
        <w:t xml:space="preserve"> </w:t>
      </w:r>
      <w:r w:rsidR="00BE0AA4">
        <w:rPr>
          <w:rFonts w:ascii="Times New Roman" w:hAnsi="Times New Roman" w:cs="Times New Roman"/>
          <w:sz w:val="24"/>
          <w:szCs w:val="24"/>
        </w:rPr>
        <w:t>na základe úloh vyplývajúcich z Programového vyhlásenia vlády SR a</w:t>
      </w:r>
      <w:r w:rsidRPr="005E2690">
        <w:rPr>
          <w:rFonts w:ascii="Times New Roman" w:hAnsi="Times New Roman" w:cs="Times New Roman"/>
          <w:sz w:val="24"/>
          <w:szCs w:val="24"/>
        </w:rPr>
        <w:t xml:space="preserve"> Plánu legislatívnych úloh vlády Slovenskej republiky na rok 201</w:t>
      </w:r>
      <w:r w:rsidR="00961ABF">
        <w:rPr>
          <w:rFonts w:ascii="Times New Roman" w:hAnsi="Times New Roman" w:cs="Times New Roman"/>
          <w:sz w:val="24"/>
          <w:szCs w:val="24"/>
        </w:rPr>
        <w:t>7.</w:t>
      </w:r>
      <w:r w:rsidRPr="005E2690">
        <w:rPr>
          <w:rFonts w:ascii="Times New Roman" w:hAnsi="Times New Roman" w:cs="Times New Roman"/>
          <w:sz w:val="24"/>
          <w:szCs w:val="24"/>
        </w:rPr>
        <w:t xml:space="preserve"> </w:t>
      </w:r>
    </w:p>
    <w:p w:rsidR="005E2690" w:rsidRPr="005E2690" w:rsidP="005E2690">
      <w:pPr>
        <w:bidi w:val="0"/>
        <w:spacing w:after="0" w:line="240" w:lineRule="auto"/>
        <w:jc w:val="both"/>
        <w:rPr>
          <w:rFonts w:ascii="Times New Roman" w:hAnsi="Times New Roman" w:cs="Times New Roman"/>
          <w:sz w:val="24"/>
          <w:szCs w:val="24"/>
        </w:rPr>
      </w:pPr>
    </w:p>
    <w:p w:rsidR="00BE0AA4" w:rsidRPr="00BE0AA4" w:rsidP="00BE0AA4">
      <w:pPr>
        <w:bidi w:val="0"/>
        <w:spacing w:after="0" w:line="240" w:lineRule="auto"/>
        <w:jc w:val="both"/>
        <w:rPr>
          <w:rFonts w:ascii="Times New Roman" w:hAnsi="Times New Roman" w:cs="Times New Roman"/>
          <w:sz w:val="24"/>
          <w:szCs w:val="24"/>
        </w:rPr>
      </w:pPr>
      <w:r w:rsidRPr="00BE0AA4">
        <w:rPr>
          <w:rFonts w:ascii="Times New Roman" w:hAnsi="Times New Roman" w:cs="Times New Roman"/>
          <w:sz w:val="24"/>
          <w:szCs w:val="24"/>
        </w:rPr>
        <w:t xml:space="preserve">Zákon o dani z príjmov </w:t>
      </w:r>
      <w:r>
        <w:rPr>
          <w:rFonts w:ascii="Times New Roman" w:hAnsi="Times New Roman" w:cs="Times New Roman"/>
          <w:sz w:val="24"/>
          <w:szCs w:val="24"/>
        </w:rPr>
        <w:t xml:space="preserve">už </w:t>
      </w:r>
      <w:r w:rsidRPr="00BE0AA4">
        <w:rPr>
          <w:rFonts w:ascii="Times New Roman" w:hAnsi="Times New Roman" w:cs="Times New Roman"/>
          <w:sz w:val="24"/>
          <w:szCs w:val="24"/>
        </w:rPr>
        <w:t>v súčasnosti obsahuje</w:t>
      </w:r>
      <w:r>
        <w:rPr>
          <w:rFonts w:ascii="Times New Roman" w:hAnsi="Times New Roman" w:cs="Times New Roman"/>
          <w:sz w:val="24"/>
          <w:szCs w:val="24"/>
        </w:rPr>
        <w:t xml:space="preserve"> určité</w:t>
      </w:r>
      <w:r w:rsidRPr="00BE0AA4">
        <w:rPr>
          <w:rFonts w:ascii="Times New Roman" w:hAnsi="Times New Roman" w:cs="Times New Roman"/>
          <w:sz w:val="24"/>
          <w:szCs w:val="24"/>
        </w:rPr>
        <w:t xml:space="preserve"> opatrenia na ochranu proti daňovým podvodom.</w:t>
      </w:r>
      <w:r>
        <w:rPr>
          <w:rFonts w:ascii="Times New Roman" w:hAnsi="Times New Roman" w:cs="Times New Roman"/>
          <w:sz w:val="24"/>
          <w:szCs w:val="24"/>
        </w:rPr>
        <w:t xml:space="preserve"> Predmetom návrhu zákona je s</w:t>
      </w:r>
      <w:r w:rsidRPr="00BE0AA4">
        <w:rPr>
          <w:rFonts w:ascii="Times New Roman" w:hAnsi="Times New Roman" w:cs="Times New Roman"/>
          <w:sz w:val="24"/>
          <w:szCs w:val="24"/>
        </w:rPr>
        <w:t xml:space="preserve">tanovenie </w:t>
      </w:r>
      <w:r>
        <w:rPr>
          <w:rFonts w:ascii="Times New Roman" w:hAnsi="Times New Roman" w:cs="Times New Roman"/>
          <w:sz w:val="24"/>
          <w:szCs w:val="24"/>
        </w:rPr>
        <w:t xml:space="preserve">ďalších </w:t>
      </w:r>
      <w:r w:rsidRPr="00BE0AA4">
        <w:rPr>
          <w:rFonts w:ascii="Times New Roman" w:hAnsi="Times New Roman" w:cs="Times New Roman"/>
          <w:sz w:val="24"/>
          <w:szCs w:val="24"/>
        </w:rPr>
        <w:t>pravidiel s cieľom posilnenia úrovne ochrany proti agresívnemu daňovému plánovaniu a pravidiel proti narúšaniu základu dane a presunu ziskov mimo územia SR</w:t>
      </w:r>
      <w:r>
        <w:rPr>
          <w:rFonts w:ascii="Times New Roman" w:hAnsi="Times New Roman" w:cs="Times New Roman"/>
          <w:sz w:val="24"/>
          <w:szCs w:val="24"/>
        </w:rPr>
        <w:t xml:space="preserve">. </w:t>
      </w:r>
      <w:r w:rsidR="00711EF3">
        <w:rPr>
          <w:rFonts w:ascii="Times New Roman" w:hAnsi="Times New Roman" w:cs="Times New Roman"/>
          <w:sz w:val="24"/>
          <w:szCs w:val="24"/>
        </w:rPr>
        <w:t>Navrhované opatrenia vyplývajú</w:t>
      </w:r>
      <w:r w:rsidRPr="00BE0AA4">
        <w:rPr>
          <w:rFonts w:ascii="Times New Roman" w:hAnsi="Times New Roman" w:cs="Times New Roman"/>
          <w:sz w:val="24"/>
          <w:szCs w:val="24"/>
        </w:rPr>
        <w:t xml:space="preserve"> z povinnosti zapracovania Smernice Rady (EÚ) 2016/1164, ktorou sa ustanovujú pravidlá proti praktikám vyhýbania sa daňovým povinnostiam, ktoré majú priamy vplyv na fungovanie vnútorného trhu. </w:t>
      </w:r>
    </w:p>
    <w:p w:rsidR="00BE0AA4" w:rsidP="00DA01F2">
      <w:pPr>
        <w:bidi w:val="0"/>
        <w:spacing w:after="0" w:line="240" w:lineRule="auto"/>
        <w:jc w:val="both"/>
        <w:rPr>
          <w:rFonts w:ascii="Times New Roman" w:hAnsi="Times New Roman" w:cs="Times New Roman"/>
          <w:sz w:val="24"/>
          <w:szCs w:val="24"/>
        </w:rPr>
      </w:pPr>
    </w:p>
    <w:p w:rsidR="00711EF3" w:rsidP="00711EF3">
      <w:pPr>
        <w:bidi w:val="0"/>
        <w:spacing w:after="0" w:line="240" w:lineRule="auto"/>
        <w:jc w:val="both"/>
        <w:rPr>
          <w:rFonts w:ascii="Times New Roman" w:hAnsi="Times New Roman" w:cs="Times New Roman"/>
          <w:sz w:val="24"/>
          <w:szCs w:val="24"/>
        </w:rPr>
      </w:pPr>
      <w:r w:rsidRPr="00711EF3" w:rsidR="00BE0AA4">
        <w:rPr>
          <w:rFonts w:ascii="Times New Roman" w:hAnsi="Times New Roman" w:cs="Times New Roman"/>
          <w:sz w:val="24"/>
          <w:szCs w:val="24"/>
        </w:rPr>
        <w:t xml:space="preserve">V súlade s Programovým vyhlásením vlády SR sa </w:t>
      </w:r>
      <w:r>
        <w:rPr>
          <w:rFonts w:ascii="Times New Roman" w:hAnsi="Times New Roman" w:cs="Times New Roman"/>
          <w:sz w:val="24"/>
          <w:szCs w:val="24"/>
        </w:rPr>
        <w:t>návrh</w:t>
      </w:r>
      <w:r w:rsidRPr="00711EF3" w:rsidR="00BE0AA4">
        <w:rPr>
          <w:rFonts w:ascii="Times New Roman" w:hAnsi="Times New Roman" w:cs="Times New Roman"/>
          <w:sz w:val="24"/>
          <w:szCs w:val="24"/>
        </w:rPr>
        <w:t xml:space="preserve"> zákona zameria aj na zatraktívnenie podmienok podnikania v oblasti domáceho kúpeľníctva a turizmu a to prostredníctvom zavedenia stimulov pre rozvoj tohto sektora. </w:t>
      </w:r>
    </w:p>
    <w:p w:rsidR="00711EF3" w:rsidP="00711EF3">
      <w:pPr>
        <w:bidi w:val="0"/>
        <w:spacing w:after="0" w:line="240" w:lineRule="auto"/>
        <w:jc w:val="both"/>
        <w:rPr>
          <w:rFonts w:ascii="Times New Roman" w:hAnsi="Times New Roman" w:cs="Times New Roman"/>
          <w:sz w:val="24"/>
          <w:szCs w:val="24"/>
        </w:rPr>
      </w:pPr>
    </w:p>
    <w:p w:rsidR="007F2E44" w:rsidRPr="008F30E3" w:rsidP="007F2E44">
      <w:pPr>
        <w:bidi w:val="0"/>
        <w:spacing w:after="0" w:line="240" w:lineRule="auto"/>
        <w:jc w:val="both"/>
        <w:rPr>
          <w:rFonts w:ascii="Times New Roman" w:hAnsi="Times New Roman" w:cs="Times New Roman"/>
          <w:sz w:val="24"/>
          <w:szCs w:val="24"/>
        </w:rPr>
      </w:pPr>
      <w:r w:rsidRPr="008F30E3">
        <w:rPr>
          <w:rFonts w:ascii="Times New Roman" w:hAnsi="Times New Roman" w:cs="Times New Roman"/>
          <w:sz w:val="24"/>
          <w:szCs w:val="24"/>
        </w:rPr>
        <w:t>Predkladaným návrhom zákona sa na základe poznatkov z aplikačnej praxe upravujú</w:t>
      </w:r>
      <w:r>
        <w:rPr>
          <w:rFonts w:ascii="Times New Roman" w:hAnsi="Times New Roman" w:cs="Times New Roman"/>
          <w:sz w:val="24"/>
          <w:szCs w:val="24"/>
        </w:rPr>
        <w:t xml:space="preserve"> a spresňujú z dôvodu zvýšenia právnej istoty daňovníkov</w:t>
      </w:r>
      <w:r w:rsidRPr="008F30E3">
        <w:rPr>
          <w:rFonts w:ascii="Times New Roman" w:hAnsi="Times New Roman" w:cs="Times New Roman"/>
          <w:sz w:val="24"/>
          <w:szCs w:val="24"/>
        </w:rPr>
        <w:t xml:space="preserve"> niektoré ustanovenia </w:t>
      </w:r>
      <w:r>
        <w:rPr>
          <w:rFonts w:ascii="Times New Roman" w:hAnsi="Times New Roman" w:cs="Times New Roman"/>
          <w:sz w:val="24"/>
          <w:szCs w:val="24"/>
        </w:rPr>
        <w:t>zákona o dani z príjmov</w:t>
      </w:r>
      <w:r w:rsidRPr="008F30E3">
        <w:rPr>
          <w:rFonts w:ascii="Times New Roman" w:hAnsi="Times New Roman" w:cs="Times New Roman"/>
          <w:sz w:val="24"/>
          <w:szCs w:val="24"/>
        </w:rPr>
        <w:t xml:space="preserve">. </w:t>
      </w:r>
    </w:p>
    <w:p w:rsidR="007F2E44" w:rsidP="00711EF3">
      <w:pPr>
        <w:bidi w:val="0"/>
        <w:spacing w:after="0" w:line="240" w:lineRule="auto"/>
        <w:jc w:val="both"/>
        <w:rPr>
          <w:rFonts w:ascii="Times New Roman" w:hAnsi="Times New Roman" w:cs="Times New Roman"/>
          <w:sz w:val="24"/>
          <w:szCs w:val="24"/>
        </w:rPr>
      </w:pPr>
    </w:p>
    <w:p w:rsidR="00854854" w:rsidRPr="00854854" w:rsidP="00854854">
      <w:pPr>
        <w:bidi w:val="0"/>
        <w:spacing w:after="0" w:line="240" w:lineRule="auto"/>
        <w:jc w:val="both"/>
        <w:rPr>
          <w:rFonts w:ascii="Times New Roman" w:hAnsi="Times New Roman" w:cs="Times New Roman"/>
          <w:sz w:val="24"/>
          <w:szCs w:val="24"/>
        </w:rPr>
      </w:pPr>
      <w:r w:rsidRPr="00854854" w:rsidR="00881789">
        <w:rPr>
          <w:rFonts w:ascii="Times New Roman" w:hAnsi="Times New Roman" w:cs="Times New Roman"/>
          <w:sz w:val="24"/>
          <w:szCs w:val="24"/>
        </w:rPr>
        <w:t xml:space="preserve">V čl. II sa </w:t>
      </w:r>
      <w:r w:rsidR="00881789">
        <w:rPr>
          <w:rFonts w:ascii="Times New Roman" w:hAnsi="Times New Roman" w:cs="Times New Roman"/>
          <w:sz w:val="24"/>
          <w:szCs w:val="24"/>
        </w:rPr>
        <w:t xml:space="preserve">mení zákon o správe daní </w:t>
      </w:r>
      <w:r>
        <w:rPr>
          <w:rFonts w:ascii="Times New Roman" w:hAnsi="Times New Roman" w:cs="Times New Roman"/>
          <w:sz w:val="24"/>
          <w:szCs w:val="24"/>
        </w:rPr>
        <w:t xml:space="preserve">(daňový poriadok). Zmena </w:t>
      </w:r>
      <w:r w:rsidRPr="00854854">
        <w:rPr>
          <w:rFonts w:ascii="Times New Roman" w:hAnsi="Times New Roman" w:cs="Times New Roman"/>
          <w:sz w:val="24"/>
          <w:szCs w:val="24"/>
        </w:rPr>
        <w:t xml:space="preserve">daňového poriadku je vyvolaná zavedením novej formy oslobodenia pre komerčné využívanie nehmotných aktív zákonom o dani z príjmov, </w:t>
      </w:r>
      <w:r>
        <w:rPr>
          <w:rFonts w:ascii="Times New Roman" w:hAnsi="Times New Roman" w:cs="Times New Roman"/>
          <w:sz w:val="24"/>
          <w:szCs w:val="24"/>
        </w:rPr>
        <w:t>pričom</w:t>
      </w:r>
      <w:r w:rsidRPr="00854854">
        <w:rPr>
          <w:rFonts w:ascii="Times New Roman" w:hAnsi="Times New Roman" w:cs="Times New Roman"/>
          <w:sz w:val="24"/>
          <w:szCs w:val="24"/>
        </w:rPr>
        <w:t xml:space="preserve"> sa Finančnému riaditeľstvu SR ukladá povinnosť zverejňovania zoznamu daňovníkov, ktorí si uplatňujú oslobodenie tohto druhu. </w:t>
      </w:r>
    </w:p>
    <w:p w:rsidR="00881789" w:rsidP="00881789">
      <w:pPr>
        <w:bidi w:val="0"/>
        <w:spacing w:after="0" w:line="240" w:lineRule="auto"/>
        <w:jc w:val="both"/>
        <w:rPr>
          <w:rFonts w:ascii="Times New Roman" w:hAnsi="Times New Roman" w:cs="Times New Roman"/>
          <w:sz w:val="24"/>
          <w:szCs w:val="24"/>
        </w:rPr>
      </w:pPr>
    </w:p>
    <w:p w:rsidR="00907C81" w:rsidRPr="00506DDC" w:rsidP="00907C81">
      <w:pPr>
        <w:bidi w:val="0"/>
        <w:spacing w:after="0" w:line="240" w:lineRule="auto"/>
        <w:jc w:val="both"/>
        <w:rPr>
          <w:rFonts w:ascii="Times New Roman" w:hAnsi="Times New Roman" w:cs="Times New Roman"/>
          <w:sz w:val="24"/>
          <w:szCs w:val="24"/>
        </w:rPr>
      </w:pPr>
      <w:r w:rsidRPr="00FD0777">
        <w:rPr>
          <w:rFonts w:ascii="Times New Roman" w:hAnsi="Times New Roman" w:cs="Times New Roman"/>
          <w:sz w:val="24"/>
          <w:szCs w:val="24"/>
        </w:rPr>
        <w:t xml:space="preserve">Návrh zákona </w:t>
      </w:r>
      <w:r>
        <w:rPr>
          <w:rFonts w:ascii="Times New Roman" w:hAnsi="Times New Roman" w:cs="Times New Roman"/>
          <w:sz w:val="24"/>
          <w:szCs w:val="24"/>
        </w:rPr>
        <w:t xml:space="preserve">ako celok </w:t>
      </w:r>
      <w:r w:rsidRPr="00FD0777">
        <w:rPr>
          <w:rFonts w:ascii="Times New Roman" w:hAnsi="Times New Roman" w:cs="Times New Roman"/>
          <w:sz w:val="24"/>
          <w:szCs w:val="24"/>
        </w:rPr>
        <w:t xml:space="preserve">má </w:t>
      </w:r>
      <w:r w:rsidRPr="00506DDC">
        <w:rPr>
          <w:rFonts w:ascii="Times New Roman" w:hAnsi="Times New Roman" w:cs="Times New Roman"/>
          <w:sz w:val="24"/>
          <w:szCs w:val="24"/>
        </w:rPr>
        <w:t>pozitívny aj negatívny vplyv na rozpočet verejnej správy a na podnikateľské prostredie, pozitívny sociálny vplyv a nemá vplyv na životné prostredie, na služby verejnej správy pre občana a na informatizáciu spoločnosti. Návrh zákona predpokladá negatívny vplyv na rozpočty obcí a vyšších územných celkov.</w:t>
      </w:r>
    </w:p>
    <w:p w:rsidR="004F1881" w:rsidRPr="00506DDC" w:rsidP="00DA01F2">
      <w:pPr>
        <w:bidi w:val="0"/>
        <w:spacing w:after="0" w:line="240" w:lineRule="auto"/>
        <w:jc w:val="both"/>
        <w:rPr>
          <w:rFonts w:ascii="Times New Roman" w:hAnsi="Times New Roman" w:cs="Times New Roman"/>
          <w:sz w:val="24"/>
          <w:szCs w:val="24"/>
        </w:rPr>
      </w:pPr>
    </w:p>
    <w:p w:rsidR="00E008FB" w:rsidP="00DA01F2">
      <w:pPr>
        <w:bidi w:val="0"/>
        <w:spacing w:after="0" w:line="240" w:lineRule="auto"/>
        <w:jc w:val="both"/>
        <w:rPr>
          <w:rFonts w:ascii="Times New Roman" w:hAnsi="Times New Roman" w:cs="Times New Roman"/>
          <w:sz w:val="24"/>
          <w:szCs w:val="24"/>
        </w:rPr>
      </w:pPr>
      <w:r w:rsidRPr="00C0323B">
        <w:rPr>
          <w:rFonts w:ascii="Times New Roman" w:hAnsi="Times New Roman" w:cs="Times New Roman"/>
          <w:sz w:val="24"/>
          <w:szCs w:val="24"/>
        </w:rPr>
        <w:t xml:space="preserve">Návrh zákona je v súlade s Ústavou Slovenskej republiky, </w:t>
      </w:r>
      <w:r w:rsidR="00761D6F">
        <w:rPr>
          <w:rFonts w:ascii="Times New Roman" w:hAnsi="Times New Roman" w:cs="Times New Roman"/>
          <w:sz w:val="24"/>
          <w:szCs w:val="24"/>
        </w:rPr>
        <w:t xml:space="preserve">ústavnými zákonmi a inými právnymi predpismi, s nálezmi Ústavného súdu Slovenskej republiky, </w:t>
      </w:r>
      <w:r w:rsidRPr="00C0323B">
        <w:rPr>
          <w:rFonts w:ascii="Times New Roman" w:hAnsi="Times New Roman" w:cs="Times New Roman"/>
          <w:sz w:val="24"/>
          <w:szCs w:val="24"/>
        </w:rPr>
        <w:t>medzinárodnými</w:t>
      </w:r>
      <w:r w:rsidR="00761D6F">
        <w:rPr>
          <w:rFonts w:ascii="Times New Roman" w:hAnsi="Times New Roman" w:cs="Times New Roman"/>
          <w:sz w:val="24"/>
          <w:szCs w:val="24"/>
        </w:rPr>
        <w:t xml:space="preserve"> zmluvami a</w:t>
      </w:r>
      <w:r w:rsidRPr="00C0323B">
        <w:rPr>
          <w:rFonts w:ascii="Times New Roman" w:hAnsi="Times New Roman" w:cs="Times New Roman"/>
          <w:sz w:val="24"/>
          <w:szCs w:val="24"/>
        </w:rPr>
        <w:t xml:space="preserve"> dokumentmi, ktorými je Slovenská republika viazaná</w:t>
      </w:r>
      <w:r w:rsidR="00761D6F">
        <w:rPr>
          <w:rFonts w:ascii="Times New Roman" w:hAnsi="Times New Roman" w:cs="Times New Roman"/>
          <w:sz w:val="24"/>
          <w:szCs w:val="24"/>
        </w:rPr>
        <w:t>, ako aj v súlade s právom</w:t>
      </w:r>
      <w:r w:rsidRPr="00C0323B">
        <w:rPr>
          <w:rFonts w:ascii="Times New Roman" w:hAnsi="Times New Roman" w:cs="Times New Roman"/>
          <w:sz w:val="24"/>
          <w:szCs w:val="24"/>
        </w:rPr>
        <w:t xml:space="preserve"> Európskej únie. </w:t>
      </w:r>
    </w:p>
    <w:p w:rsidR="00761D6F" w:rsidP="00DA01F2">
      <w:pPr>
        <w:bidi w:val="0"/>
        <w:spacing w:after="0" w:line="240" w:lineRule="auto"/>
        <w:jc w:val="both"/>
        <w:rPr>
          <w:rFonts w:ascii="Times New Roman" w:hAnsi="Times New Roman" w:cs="Times New Roman"/>
          <w:sz w:val="24"/>
          <w:szCs w:val="24"/>
        </w:rPr>
      </w:pPr>
    </w:p>
    <w:p w:rsidR="00053AFA" w:rsidP="00053AFA">
      <w:pPr>
        <w:bidi w:val="0"/>
        <w:spacing w:after="0" w:line="240" w:lineRule="auto"/>
        <w:jc w:val="both"/>
        <w:rPr>
          <w:rFonts w:ascii="Times New Roman" w:hAnsi="Times New Roman" w:cs="Times New Roman"/>
          <w:sz w:val="24"/>
          <w:szCs w:val="24"/>
        </w:rPr>
      </w:pPr>
      <w:r w:rsidRPr="00FD0777" w:rsidR="00470D8D">
        <w:rPr>
          <w:rFonts w:ascii="Times New Roman" w:hAnsi="Times New Roman" w:cs="Times New Roman"/>
          <w:sz w:val="24"/>
          <w:szCs w:val="24"/>
        </w:rPr>
        <w:t xml:space="preserve">Účinnosť zákona sa navrhuje </w:t>
      </w:r>
      <w:r w:rsidRPr="00A82D40">
        <w:rPr>
          <w:rFonts w:ascii="Times New Roman" w:hAnsi="Times New Roman" w:cs="Times New Roman"/>
          <w:sz w:val="24"/>
          <w:szCs w:val="24"/>
        </w:rPr>
        <w:t xml:space="preserve">1. januára 2018 okrem čl. I bodu </w:t>
      </w:r>
      <w:r>
        <w:rPr>
          <w:rFonts w:ascii="Times New Roman" w:hAnsi="Times New Roman" w:cs="Times New Roman"/>
          <w:sz w:val="24"/>
          <w:szCs w:val="24"/>
        </w:rPr>
        <w:t>4</w:t>
      </w:r>
      <w:r w:rsidR="005552DC">
        <w:rPr>
          <w:rFonts w:ascii="Times New Roman" w:hAnsi="Times New Roman" w:cs="Times New Roman"/>
          <w:sz w:val="24"/>
          <w:szCs w:val="24"/>
        </w:rPr>
        <w:t>4</w:t>
      </w:r>
      <w:r>
        <w:rPr>
          <w:rFonts w:ascii="Times New Roman" w:hAnsi="Times New Roman" w:cs="Times New Roman"/>
          <w:sz w:val="24"/>
          <w:szCs w:val="24"/>
        </w:rPr>
        <w:t xml:space="preserve"> § 17h</w:t>
      </w:r>
      <w:r w:rsidRPr="00AC4812">
        <w:rPr>
          <w:rFonts w:ascii="Times New Roman" w:hAnsi="Times New Roman" w:cs="Times New Roman"/>
          <w:sz w:val="24"/>
          <w:szCs w:val="24"/>
        </w:rPr>
        <w:t xml:space="preserve"> a bodu </w:t>
      </w:r>
      <w:r w:rsidR="005C3E80">
        <w:rPr>
          <w:rFonts w:ascii="Times New Roman" w:hAnsi="Times New Roman" w:cs="Times New Roman"/>
          <w:sz w:val="24"/>
          <w:szCs w:val="24"/>
        </w:rPr>
        <w:t>1</w:t>
      </w:r>
      <w:r w:rsidR="00A85909">
        <w:rPr>
          <w:rFonts w:ascii="Times New Roman" w:hAnsi="Times New Roman" w:cs="Times New Roman"/>
          <w:sz w:val="24"/>
          <w:szCs w:val="24"/>
        </w:rPr>
        <w:t>3</w:t>
      </w:r>
      <w:r w:rsidR="00510C05">
        <w:rPr>
          <w:rFonts w:ascii="Times New Roman" w:hAnsi="Times New Roman" w:cs="Times New Roman"/>
          <w:sz w:val="24"/>
          <w:szCs w:val="24"/>
        </w:rPr>
        <w:t>1</w:t>
      </w:r>
      <w:r w:rsidRPr="00AC4812">
        <w:rPr>
          <w:rFonts w:ascii="Times New Roman" w:hAnsi="Times New Roman" w:cs="Times New Roman"/>
          <w:sz w:val="24"/>
          <w:szCs w:val="24"/>
        </w:rPr>
        <w:t xml:space="preserve"> § 52zm</w:t>
      </w:r>
      <w:r w:rsidRPr="00A82D40">
        <w:rPr>
          <w:rFonts w:ascii="Times New Roman" w:hAnsi="Times New Roman" w:cs="Times New Roman"/>
          <w:sz w:val="24"/>
          <w:szCs w:val="24"/>
        </w:rPr>
        <w:t xml:space="preserve">, ktoré nadobúdajú účinnosť 1. januára 2019. </w:t>
      </w: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P="00053AFA">
      <w:pPr>
        <w:bidi w:val="0"/>
        <w:spacing w:after="0" w:line="240" w:lineRule="auto"/>
        <w:jc w:val="both"/>
        <w:rPr>
          <w:rFonts w:ascii="Times New Roman" w:hAnsi="Times New Roman" w:cs="Times New Roman"/>
          <w:sz w:val="24"/>
          <w:szCs w:val="24"/>
        </w:rPr>
      </w:pPr>
    </w:p>
    <w:p w:rsidR="00134639" w:rsidRPr="00A15FD4" w:rsidP="00134639">
      <w:pPr>
        <w:bidi w:val="0"/>
        <w:jc w:val="center"/>
        <w:rPr>
          <w:rFonts w:ascii="Arial Narrow" w:hAnsi="Arial Narrow"/>
          <w:b/>
          <w:bCs/>
        </w:rPr>
      </w:pPr>
      <w:r w:rsidRPr="00A15FD4">
        <w:rPr>
          <w:rFonts w:ascii="Arial Narrow" w:hAnsi="Arial Narrow"/>
          <w:b/>
          <w:bCs/>
        </w:rPr>
        <w:t>Doložka vybraných vplyvov</w:t>
      </w: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pStyle w:val="ListParagraph"/>
              <w:bidi w:val="0"/>
              <w:ind w:left="142"/>
              <w:rPr>
                <w:rFonts w:ascii="Times New Roman" w:hAnsi="Times New Roman"/>
                <w:b/>
              </w:rPr>
            </w:pPr>
            <w:r w:rsidRPr="00134639">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 xml:space="preserve">Návrh zákona, ktorým sa mení a dopĺňa zákon č. 595/2003 Z. z. o dani z príjmov v znení neskorších predpisov </w:t>
            </w:r>
            <w:r w:rsidRPr="00134639">
              <w:rPr>
                <w:rFonts w:ascii="Times New Roman" w:hAnsi="Times New Roman" w:cs="Times New Roman"/>
                <w:bCs/>
                <w:sz w:val="24"/>
                <w:szCs w:val="24"/>
              </w:rPr>
              <w:t>a  ktorým sa mení zákon č. 563/2009 Z.</w:t>
            </w:r>
            <w:r>
              <w:rPr>
                <w:rFonts w:ascii="Times New Roman" w:hAnsi="Times New Roman" w:cs="Times New Roman"/>
                <w:bCs/>
                <w:sz w:val="24"/>
                <w:szCs w:val="24"/>
              </w:rPr>
              <w:t xml:space="preserve"> </w:t>
            </w:r>
            <w:r w:rsidRPr="00134639">
              <w:rPr>
                <w:rFonts w:ascii="Times New Roman" w:hAnsi="Times New Roman" w:cs="Times New Roman"/>
                <w:bCs/>
                <w:sz w:val="24"/>
                <w:szCs w:val="24"/>
              </w:rPr>
              <w:t>z. o správe daní (daňový poriadok) a o zmene a doplnení niektorých zákonov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pStyle w:val="ListParagraph"/>
              <w:bidi w:val="0"/>
              <w:ind w:left="142"/>
              <w:rPr>
                <w:rFonts w:ascii="Times New Roman" w:hAnsi="Times New Roman"/>
                <w:b/>
              </w:rPr>
            </w:pPr>
            <w:r w:rsidRPr="00134639">
              <w:rPr>
                <w:rFonts w:ascii="Times New Roman" w:hAnsi="Times New Roman"/>
                <w:b/>
              </w:rPr>
              <w:t>Predkladateľ (a spolupredkladateľ)</w:t>
            </w:r>
          </w:p>
        </w:tc>
      </w:tr>
      <w:tr>
        <w:tblPrEx>
          <w:tblW w:w="9180" w:type="dxa"/>
          <w:tblLayout w:type="fixed"/>
          <w:tblLook w:val="04A0"/>
        </w:tblPrEx>
        <w:trPr>
          <w:trHeight w:val="35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sz w:val="24"/>
                <w:szCs w:val="24"/>
              </w:rPr>
            </w:pPr>
          </w:p>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Ministerstvo financií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134639" w:rsidRPr="00134639" w:rsidP="002E4361">
            <w:pPr>
              <w:pStyle w:val="ListParagraph"/>
              <w:bidi w:val="0"/>
              <w:ind w:left="142"/>
              <w:rPr>
                <w:rFonts w:ascii="Times New Roman" w:hAnsi="Times New Roman"/>
                <w:b/>
              </w:rPr>
            </w:pPr>
            <w:r w:rsidRPr="00134639">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sz w:val="24"/>
                <w:szCs w:val="24"/>
              </w:rPr>
            </w:pP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sz w:val="24"/>
                <w:szCs w:val="24"/>
              </w:rPr>
              <w:t>☒</w:t>
            </w:r>
          </w:p>
        </w:tc>
        <w:tc>
          <w:tcPr>
            <w:tcW w:w="4263"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ind w:left="175" w:hanging="175"/>
              <w:rPr>
                <w:rFonts w:ascii="Times New Roman" w:hAnsi="Times New Roman" w:cs="Times New Roman"/>
                <w:sz w:val="24"/>
                <w:szCs w:val="24"/>
              </w:rPr>
            </w:pPr>
            <w:r w:rsidRPr="00134639">
              <w:rPr>
                <w:rFonts w:ascii="Times New Roman" w:hAnsi="Times New Roman" w:cs="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i/>
                <w:sz w:val="24"/>
                <w:szCs w:val="24"/>
              </w:rPr>
            </w:pPr>
            <w:r w:rsidRPr="00134639">
              <w:rPr>
                <w:rFonts w:ascii="Times New Roman" w:hAnsi="Times New Roman" w:cs="Times New Roman"/>
                <w:i/>
                <w:sz w:val="24"/>
                <w:szCs w:val="24"/>
              </w:rPr>
              <w:t>V prípade transpozície uveďte zoznam transponovaných predpisov:</w:t>
            </w:r>
          </w:p>
          <w:p w:rsidR="00134639" w:rsidRPr="00134639" w:rsidP="002E4361">
            <w:pPr>
              <w:bidi w:val="0"/>
              <w:spacing w:after="0" w:line="240" w:lineRule="auto"/>
              <w:rPr>
                <w:rFonts w:ascii="Times New Roman" w:hAnsi="Times New Roman" w:cs="Times New Roman"/>
                <w:i/>
                <w:sz w:val="24"/>
                <w:szCs w:val="24"/>
              </w:rPr>
            </w:pPr>
          </w:p>
          <w:p w:rsid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Smernica Rady (EÚ) 2016/1164 z 12. júla 2016, ktorou sa stanovujú pravidlá proti praktikám vyhýbania sa daňovým povinnostiam, ktoré majú priamy vplyv na fungovanie vnútorného trhu</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 xml:space="preserve"> </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pStyle w:val="ListParagraph"/>
              <w:bidi w:val="0"/>
              <w:ind w:left="142"/>
              <w:rPr>
                <w:rFonts w:ascii="Times New Roman" w:hAnsi="Times New Roman"/>
                <w:b/>
              </w:rPr>
            </w:pPr>
            <w:r w:rsidRPr="00134639">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134639" w:rsidRPr="00134639" w:rsidP="002E4361">
            <w:pPr>
              <w:bidi w:val="0"/>
              <w:spacing w:after="0" w:line="240" w:lineRule="auto"/>
              <w:rPr>
                <w:rFonts w:ascii="Times New Roman" w:hAnsi="Times New Roman" w:cs="Times New Roman"/>
                <w:i/>
                <w:sz w:val="24"/>
                <w:szCs w:val="24"/>
              </w:rPr>
            </w:pPr>
            <w:r w:rsidRPr="00134639">
              <w:rPr>
                <w:rFonts w:ascii="Times New Roman" w:hAnsi="Times New Roman" w:cs="Times New Roman"/>
                <w:i/>
                <w:sz w:val="24"/>
                <w:szCs w:val="24"/>
              </w:rPr>
              <w:t>24. 5. 2017 – 6. 6.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pStyle w:val="ListParagraph"/>
              <w:bidi w:val="0"/>
              <w:ind w:left="142"/>
              <w:rPr>
                <w:rFonts w:ascii="Times New Roman" w:hAnsi="Times New Roman"/>
                <w:b/>
              </w:rPr>
            </w:pPr>
            <w:r w:rsidRPr="00134639">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134639" w:rsidRPr="00134639" w:rsidP="002E4361">
            <w:pPr>
              <w:bidi w:val="0"/>
              <w:spacing w:after="0" w:line="240" w:lineRule="auto"/>
              <w:rPr>
                <w:rFonts w:ascii="Times New Roman" w:hAnsi="Times New Roman" w:cs="Times New Roman"/>
                <w:i/>
                <w:sz w:val="24"/>
                <w:szCs w:val="24"/>
              </w:rPr>
            </w:pPr>
            <w:r w:rsidRPr="00134639">
              <w:rPr>
                <w:rFonts w:ascii="Times New Roman" w:hAnsi="Times New Roman" w:cs="Times New Roman"/>
                <w:i/>
                <w:sz w:val="24"/>
                <w:szCs w:val="24"/>
              </w:rPr>
              <w:t>20. 6. 2017 – 11. 7.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2E4361">
            <w:pPr>
              <w:pStyle w:val="ListParagraph"/>
              <w:bidi w:val="0"/>
              <w:ind w:left="142"/>
              <w:rPr>
                <w:rFonts w:ascii="Times New Roman" w:hAnsi="Times New Roman"/>
                <w:b/>
              </w:rPr>
            </w:pPr>
            <w:r w:rsidRPr="00134639">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134639" w:rsidRPr="00134639" w:rsidP="002E4361">
            <w:pPr>
              <w:bidi w:val="0"/>
              <w:spacing w:after="0" w:line="240" w:lineRule="auto"/>
              <w:rPr>
                <w:rFonts w:ascii="Times New Roman" w:hAnsi="Times New Roman" w:cs="Times New Roman"/>
                <w:i/>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P="002E4361">
            <w:pPr>
              <w:bidi w:val="0"/>
              <w:spacing w:after="0" w:line="240" w:lineRule="auto"/>
              <w:ind w:right="85"/>
              <w:jc w:val="both"/>
              <w:rPr>
                <w:rFonts w:ascii="Times New Roman" w:hAnsi="Times New Roman" w:cs="Times New Roman"/>
                <w:sz w:val="24"/>
                <w:szCs w:val="24"/>
              </w:rPr>
            </w:pPr>
            <w:r w:rsidRPr="00134639">
              <w:rPr>
                <w:rFonts w:ascii="Times New Roman" w:hAnsi="Times New Roman" w:cs="Times New Roman"/>
                <w:sz w:val="24"/>
                <w:szCs w:val="24"/>
              </w:rPr>
              <w:t>Plnenie záväzku vlády Slovenskej republiky z Programového vyhlásenia vlády Slovenskej republiky na roky 2016 až 2020, časti cestovný ruch a povinnosť transpozície Smernice Rady, ktorou sa stanovujú pravidlá proti praktikám vyhýbania sa daňovým povinnostiam, ktoré majú priamy vplyv na fungovanie vnútorného trhu</w:t>
            </w:r>
          </w:p>
          <w:p w:rsidR="00134639" w:rsidRPr="00134639" w:rsidP="002E4361">
            <w:pPr>
              <w:bidi w:val="0"/>
              <w:spacing w:after="0" w:line="240" w:lineRule="auto"/>
              <w:ind w:right="85"/>
              <w:jc w:val="both"/>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134639" w:rsidP="002E4361">
            <w:pPr>
              <w:bidi w:val="0"/>
              <w:spacing w:after="0" w:line="240" w:lineRule="auto"/>
              <w:ind w:right="85"/>
              <w:jc w:val="both"/>
              <w:rPr>
                <w:rFonts w:ascii="Times New Roman" w:hAnsi="Times New Roman" w:cs="Times New Roman"/>
                <w:sz w:val="24"/>
                <w:szCs w:val="24"/>
              </w:rPr>
            </w:pPr>
            <w:r w:rsidRPr="00134639">
              <w:rPr>
                <w:rFonts w:ascii="Times New Roman" w:hAnsi="Times New Roman" w:cs="Times New Roman"/>
                <w:sz w:val="24"/>
                <w:szCs w:val="24"/>
              </w:rPr>
              <w:t xml:space="preserve">Návrhom zákona sa reaguje na potrebu rozvoja kúpeľníctva, zvyšovanie jeho konkurencieschopnosti s prihliadnutím na tvorbu pracovných príležitostí ako aj na potrebu aproximácie Smernice Rady 2016/1164, ktorou sa stanovujú pravidlá proti praktikám vyhýbania sa daňovým povinnostiam, ktoré majú priamy vplyv na fungovanie vnútorného trhu. </w:t>
            </w:r>
          </w:p>
          <w:p w:rsidR="00134639" w:rsidRPr="00134639" w:rsidP="002E4361">
            <w:pPr>
              <w:bidi w:val="0"/>
              <w:spacing w:after="0" w:line="240" w:lineRule="auto"/>
              <w:ind w:right="85"/>
              <w:jc w:val="both"/>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Navrhovaná právna úprava sa dotkne právnických osôb, na ktoré sa budú vzťahovať pravidlá zdanenia pri odchode a pravidlá pre kontrolované zahraničné spoločnosti, právnické osoby poberajúce príjmy z vybraných druhov nehmotných aktív, právnických osôb poskytujúcich kúpeľnú starostlivosť, fyzických osôb – prijímateľov úverov na bývanie pre mladých, všetky fyzické osoby uplatňujúce si úľavu na kúpeľnú starostlivosť</w:t>
            </w:r>
          </w:p>
          <w:p w:rsidR="00134639" w:rsidRPr="00134639" w:rsidP="002E4361">
            <w:pPr>
              <w:bidi w:val="0"/>
              <w:spacing w:after="0" w:line="240" w:lineRule="auto"/>
              <w:jc w:val="both"/>
              <w:rPr>
                <w:rFonts w:ascii="Times New Roman" w:hAnsi="Times New Roman" w:cs="Times New Roman"/>
                <w:i/>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Alternatívne riešenia</w:t>
            </w:r>
          </w:p>
        </w:tc>
      </w:tr>
      <w:tr>
        <w:tblPrEx>
          <w:tblW w:w="9180" w:type="dxa"/>
          <w:tblLayout w:type="fixed"/>
          <w:tblLook w:val="04A0"/>
        </w:tblPrEx>
        <w:trPr>
          <w:trHeight w:val="39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Alternatívne riešenia nie sú predkladané.</w:t>
            </w:r>
          </w:p>
          <w:p w:rsidR="00134639" w:rsidRPr="00134639" w:rsidP="002E4361">
            <w:pPr>
              <w:bidi w:val="0"/>
              <w:spacing w:after="0" w:line="240" w:lineRule="auto"/>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i/>
                <w:sz w:val="24"/>
                <w:szCs w:val="24"/>
              </w:rPr>
            </w:pPr>
            <w:r w:rsidRPr="00134639">
              <w:rPr>
                <w:rFonts w:ascii="Times New Roman" w:hAnsi="Times New Roman" w:cs="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sz w:val="24"/>
                <w:szCs w:val="24"/>
              </w:rPr>
              <w:t>☐</w:t>
            </w:r>
            <w:r w:rsidRPr="00134639">
              <w:rPr>
                <w:rFonts w:ascii="Times New Roman" w:hAnsi="Times New Roman" w:cs="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sz w:val="24"/>
                <w:szCs w:val="24"/>
              </w:rPr>
              <w:t>☒</w:t>
            </w:r>
            <w:r w:rsidRPr="00134639">
              <w:rPr>
                <w:rFonts w:ascii="Times New Roman" w:hAnsi="Times New Roman" w:cs="Times New Roman"/>
                <w:sz w:val="24"/>
                <w:szCs w:val="24"/>
              </w:rPr>
              <w:t xml:space="preserve">  Nie</w:t>
            </w:r>
          </w:p>
        </w:tc>
      </w:tr>
      <w:tr>
        <w:tblPrEx>
          <w:tblW w:w="9180" w:type="dxa"/>
          <w:tblLayout w:type="fixed"/>
          <w:tblLook w:val="04A0"/>
        </w:tblPrEx>
        <w:trPr>
          <w:trHeight w:val="136"/>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134639" w:rsidP="002E4361">
            <w:pPr>
              <w:bidi w:val="0"/>
              <w:spacing w:after="0" w:line="240" w:lineRule="auto"/>
              <w:rPr>
                <w:rFonts w:ascii="Times New Roman" w:hAnsi="Times New Roman" w:cs="Times New Roman"/>
                <w:sz w:val="24"/>
                <w:szCs w:val="24"/>
              </w:rPr>
            </w:pPr>
          </w:p>
          <w:p w:rsidR="00134639" w:rsidRPr="00134639" w:rsidP="002E4361">
            <w:pPr>
              <w:bidi w:val="0"/>
              <w:spacing w:after="0" w:line="240" w:lineRule="auto"/>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Transpozícia Rady (EÚ) 2016/1164 z 12. júla 2016, ktorou sa stanovujú pravidlá proti praktikám vyhýbania sa daňovým povinnostiam, ktoré majú priamy vplyv na fungovanie vnútorného trhu.</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Pri transpozícií jednotlivých článkov boli zapracované všetky povinnosti vyplývajúce zo smernice.</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Pri transpozícii čl. 4 - pravidlo o limitovaní úrokov bola využitá možnosť z čl. 11 ods. 4, kde si Slovenská republika zvolila možnosť zachovania existujúcich národných štandardov - existujúce ustanovenie § 21a - Pravidlo nízkej kapitalizácie.</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Pri implementácii jednotlivých článkov smernice je dodržaná podmienka uplatňovania u daňovníkov dane z príjmov právnických osôb. Pri čiastočnej úprave hybridných nesúladov z čl. 9 bolo toto pravidlo zapracované pre všetkých daňovníkov, ktorí zisťujú základ dane podľa § 17 ods. 1, t.j. aj na fyzické osoby; pravidlo sa však vzťahuje iba na situácie, ktoré vznikajú medzi závislými osobami (fyzickými ako aj právnickými osobami) a jeho účelom je zamedziť daňovým únikom.</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 xml:space="preserve">Pri implementácii čl. 5 - Zdanenie pri odchode boli výnimky ustanovené smernicou zapracované a dobrovoľné ustanovenia vzaté do úvahy. Slovenská republika pri implementácii čl. 5 ods. 3 využila možnosť požadovať úrok a záruku za podmienok ustanovených v smernici, čím sa proces splatenia dane pri odchode priblížil súčasnému režimu platenia dane v splátkach, ktorý umožňuje Daňový poriadok. </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Pri implementácii čl. 7 ods.  2 si Slovenská republika zvolila možnosť zahrnutia príjmov kontrolovanej zahraničnej spoločnosti do základu dane založený na transakčnom prístupe - možnosť písm. b), t.j. podliehať dani z príjmov právnických osôb budú iba skutočne umelo odklonené príjmy do kontrolovanej zahraničnej spoločnosti. Vzhľadom na to, že Slovenská republika si zvolila práve túto možnosť -  zdaňovať iba skutočne umelo odklonené príjmy (na rozdiel od kategorizovaného prístupu), za účelom zamedzenia daňovým únikom, nepovažovala za vhodné uplatniť výnimku určenú v smernici v čl. 7 ods. 4, ktorá umožňuje z tohto pravidla vylúčiť zahraničné spoločnosti alebo stále prevádzkarne, ak dosiahnu smernicou ustanovenú výšku účtovného zisku.</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Podľa č. 11 smernice majú zákony potrebné na dosiahnutie súladu s touto smernicou nadobudnúť účinnosť od 1. januára 2019 s výnimkou čl. 5, ktorého implementované ustanovenia sa uplatňujú od 1.1.2020.</w:t>
            </w:r>
          </w:p>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 xml:space="preserve">Zákon č. 595/2003 Z. z. o dani z príjmov nadobúda účinnosť od 1.1.2018 okrem § 17h, ktorým sa implementuje čl. 7 a 8 smernice, ktorý nadobúda účinnosť od 1.1.2019. </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i/>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left="-107" w:right="-108"/>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34"/>
              <w:rPr>
                <w:rFonts w:ascii="Times New Roman" w:hAnsi="Times New Roman" w:cs="Times New Roman"/>
                <w:b/>
                <w:sz w:val="24"/>
                <w:szCs w:val="24"/>
              </w:rPr>
            </w:pPr>
            <w:r w:rsidRPr="00134639">
              <w:rPr>
                <w:rFonts w:ascii="Times New Roman" w:hAnsi="Times New Roman" w:cs="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left="-107" w:right="-108"/>
              <w:jc w:val="center"/>
              <w:rPr>
                <w:rFonts w:ascii="Times New Roman" w:hAnsi="Times New Roman" w:cs="Times New Roman"/>
                <w:sz w:val="24"/>
                <w:szCs w:val="24"/>
              </w:rPr>
            </w:pPr>
            <w:r w:rsidRPr="00134639">
              <w:rPr>
                <w:rFonts w:ascii="Segoe UI Symbol" w:eastAsia="MS Mincho"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34"/>
              <w:rPr>
                <w:rFonts w:ascii="Times New Roman" w:hAnsi="Times New Roman" w:cs="Times New Roman"/>
                <w:sz w:val="24"/>
                <w:szCs w:val="24"/>
              </w:rPr>
            </w:pPr>
            <w:r w:rsidRPr="00134639">
              <w:rPr>
                <w:rFonts w:ascii="Times New Roman" w:hAnsi="Times New Roman" w:cs="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right="-108"/>
              <w:rPr>
                <w:rFonts w:ascii="Times New Roman" w:hAnsi="Times New Roman" w:cs="Times New Roman"/>
                <w:b/>
                <w:sz w:val="24"/>
                <w:szCs w:val="24"/>
              </w:rPr>
            </w:pPr>
            <w:r w:rsidRPr="00134639">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54"/>
              <w:rPr>
                <w:rFonts w:ascii="Times New Roman" w:hAnsi="Times New Roman" w:cs="Times New Roman"/>
                <w:b/>
                <w:sz w:val="24"/>
                <w:szCs w:val="24"/>
              </w:rPr>
            </w:pPr>
            <w:r w:rsidRPr="00134639">
              <w:rPr>
                <w:rFonts w:ascii="Times New Roman" w:hAnsi="Times New Roman" w:cs="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right="-108"/>
              <w:rPr>
                <w:rFonts w:ascii="Times New Roman" w:hAnsi="Times New Roman" w:cs="Times New Roman"/>
                <w:sz w:val="24"/>
                <w:szCs w:val="24"/>
              </w:rPr>
            </w:pPr>
            <w:r w:rsidRPr="00134639">
              <w:rPr>
                <w:rFonts w:ascii="Times New Roman" w:hAnsi="Times New Roman" w:cs="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sz w:val="24"/>
                <w:szCs w:val="24"/>
              </w:rPr>
            </w:pPr>
            <w:r w:rsidRPr="00134639">
              <w:rPr>
                <w:rFonts w:ascii="Times New Roman" w:hAnsi="Times New Roman" w:cs="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sz w:val="24"/>
                <w:szCs w:val="24"/>
              </w:rPr>
            </w:pPr>
            <w:r w:rsidRPr="00134639">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54"/>
              <w:rPr>
                <w:rFonts w:ascii="Times New Roman" w:hAnsi="Times New Roman" w:cs="Times New Roman"/>
                <w:sz w:val="24"/>
                <w:szCs w:val="24"/>
              </w:rPr>
            </w:pPr>
            <w:r w:rsidRPr="00134639">
              <w:rPr>
                <w:rFonts w:ascii="Times New Roman" w:hAnsi="Times New Roman" w:cs="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right="-108"/>
              <w:rPr>
                <w:rFonts w:ascii="Times New Roman" w:hAnsi="Times New Roman" w:cs="Times New Roman"/>
                <w:b/>
                <w:sz w:val="24"/>
                <w:szCs w:val="24"/>
              </w:rPr>
            </w:pPr>
            <w:r w:rsidRPr="00134639">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54"/>
              <w:rPr>
                <w:rFonts w:ascii="Times New Roman" w:hAnsi="Times New Roman" w:cs="Times New Roman"/>
                <w:b/>
                <w:sz w:val="24"/>
                <w:szCs w:val="24"/>
              </w:rPr>
            </w:pPr>
            <w:r w:rsidRPr="00134639">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right="-108"/>
              <w:rPr>
                <w:rFonts w:ascii="Times New Roman" w:hAnsi="Times New Roman" w:cs="Times New Roman"/>
                <w:b/>
                <w:sz w:val="24"/>
                <w:szCs w:val="24"/>
              </w:rPr>
            </w:pPr>
            <w:r w:rsidRPr="00134639">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54"/>
              <w:rPr>
                <w:rFonts w:ascii="Times New Roman" w:hAnsi="Times New Roman" w:cs="Times New Roman"/>
                <w:b/>
                <w:sz w:val="24"/>
                <w:szCs w:val="24"/>
              </w:rPr>
            </w:pPr>
            <w:r w:rsidRPr="00134639">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ind w:right="-108"/>
              <w:rPr>
                <w:rFonts w:ascii="Times New Roman" w:hAnsi="Times New Roman" w:cs="Times New Roman"/>
                <w:b/>
                <w:sz w:val="24"/>
                <w:szCs w:val="24"/>
              </w:rPr>
            </w:pPr>
            <w:r w:rsidRPr="00134639">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134639" w:rsidRPr="00134639" w:rsidP="002E4361">
            <w:pPr>
              <w:bidi w:val="0"/>
              <w:spacing w:after="0" w:line="240" w:lineRule="auto"/>
              <w:jc w:val="center"/>
              <w:rPr>
                <w:rFonts w:ascii="Times New Roman" w:hAnsi="Times New Roman" w:cs="Times New Roman"/>
                <w:b/>
                <w:sz w:val="24"/>
                <w:szCs w:val="24"/>
              </w:rPr>
            </w:pPr>
            <w:r w:rsidRPr="00134639">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134639" w:rsidRPr="00134639" w:rsidP="002E4361">
            <w:pPr>
              <w:bidi w:val="0"/>
              <w:spacing w:after="0" w:line="240" w:lineRule="auto"/>
              <w:ind w:left="54"/>
              <w:rPr>
                <w:rFonts w:ascii="Times New Roman" w:hAnsi="Times New Roman" w:cs="Times New Roman"/>
                <w:b/>
                <w:sz w:val="24"/>
                <w:szCs w:val="24"/>
              </w:rPr>
            </w:pPr>
            <w:r w:rsidRPr="00134639">
              <w:rPr>
                <w:rFonts w:ascii="Times New Roman" w:hAnsi="Times New Roman" w:cs="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134639" w:rsidRPr="005A7FD7" w:rsidP="002E4361">
            <w:pPr>
              <w:bidi w:val="0"/>
              <w:rPr>
                <w:rFonts w:ascii="Arial Narrow" w:hAnsi="Arial Narrow"/>
                <w:b/>
              </w:rPr>
            </w:pPr>
            <w:r w:rsidRPr="005A7FD7">
              <w:rPr>
                <w:rFonts w:ascii="Arial Narrow" w:hAnsi="Arial Narrow"/>
                <w:b/>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134639" w:rsidRPr="005A7FD7" w:rsidP="002E4361">
            <w:pPr>
              <w:bidi w:val="0"/>
              <w:jc w:val="center"/>
              <w:rPr>
                <w:rFonts w:ascii="Arial Narrow" w:eastAsia="MS Mincho" w:hAnsi="Arial Narrow"/>
                <w:b/>
              </w:rPr>
            </w:pPr>
          </w:p>
        </w:tc>
        <w:tc>
          <w:tcPr>
            <w:tcW w:w="1281" w:type="dxa"/>
            <w:tcBorders>
              <w:top w:val="single" w:sz="4" w:space="0" w:color="auto"/>
              <w:left w:val="nil"/>
              <w:bottom w:val="nil"/>
              <w:right w:val="nil"/>
            </w:tcBorders>
            <w:textDirection w:val="lrTb"/>
            <w:vAlign w:val="top"/>
          </w:tcPr>
          <w:p w:rsidR="00134639" w:rsidRPr="005A7FD7" w:rsidP="002E4361">
            <w:pPr>
              <w:bidi w:val="0"/>
              <w:ind w:right="-108"/>
              <w:rPr>
                <w:rFonts w:ascii="Arial Narrow" w:hAnsi="Arial Narrow"/>
                <w:b/>
              </w:rPr>
            </w:pPr>
          </w:p>
        </w:tc>
        <w:tc>
          <w:tcPr>
            <w:tcW w:w="569" w:type="dxa"/>
            <w:tcBorders>
              <w:top w:val="single" w:sz="4" w:space="0" w:color="auto"/>
              <w:left w:val="nil"/>
              <w:bottom w:val="nil"/>
              <w:right w:val="nil"/>
            </w:tcBorders>
            <w:textDirection w:val="lrTb"/>
            <w:vAlign w:val="top"/>
          </w:tcPr>
          <w:p w:rsidR="00134639" w:rsidRPr="005A7FD7" w:rsidP="002E4361">
            <w:pPr>
              <w:bidi w:val="0"/>
              <w:jc w:val="center"/>
              <w:rPr>
                <w:rFonts w:ascii="Arial Narrow" w:eastAsia="MS Mincho" w:hAnsi="Arial Narrow"/>
                <w:b/>
              </w:rPr>
            </w:pPr>
          </w:p>
        </w:tc>
        <w:tc>
          <w:tcPr>
            <w:tcW w:w="1133" w:type="dxa"/>
            <w:tcBorders>
              <w:top w:val="single" w:sz="4" w:space="0" w:color="auto"/>
              <w:left w:val="nil"/>
              <w:bottom w:val="nil"/>
              <w:right w:val="nil"/>
            </w:tcBorders>
            <w:textDirection w:val="lrTb"/>
            <w:vAlign w:val="top"/>
          </w:tcPr>
          <w:p w:rsidR="00134639" w:rsidRPr="005A7FD7" w:rsidP="002E4361">
            <w:pPr>
              <w:bidi w:val="0"/>
              <w:rPr>
                <w:rFonts w:ascii="Arial Narrow" w:hAnsi="Arial Narrow"/>
                <w:b/>
              </w:rPr>
            </w:pPr>
          </w:p>
        </w:tc>
        <w:tc>
          <w:tcPr>
            <w:tcW w:w="547" w:type="dxa"/>
            <w:tcBorders>
              <w:top w:val="single" w:sz="4" w:space="0" w:color="auto"/>
              <w:left w:val="nil"/>
              <w:bottom w:val="nil"/>
              <w:right w:val="nil"/>
            </w:tcBorders>
            <w:textDirection w:val="lrTb"/>
            <w:vAlign w:val="top"/>
          </w:tcPr>
          <w:p w:rsidR="00134639" w:rsidRPr="005A7FD7" w:rsidP="002E4361">
            <w:pPr>
              <w:bidi w:val="0"/>
              <w:jc w:val="center"/>
              <w:rPr>
                <w:rFonts w:ascii="Arial Narrow" w:eastAsia="MS Mincho" w:hAnsi="Arial Narrow"/>
                <w:b/>
              </w:rPr>
            </w:pPr>
          </w:p>
        </w:tc>
        <w:tc>
          <w:tcPr>
            <w:tcW w:w="1297" w:type="dxa"/>
            <w:tcBorders>
              <w:top w:val="single" w:sz="4" w:space="0" w:color="auto"/>
              <w:left w:val="nil"/>
              <w:bottom w:val="nil"/>
              <w:right w:val="single" w:sz="4" w:space="0" w:color="auto"/>
            </w:tcBorders>
            <w:textDirection w:val="lrTb"/>
            <w:vAlign w:val="top"/>
          </w:tcPr>
          <w:p w:rsidR="00134639" w:rsidRPr="005A7FD7" w:rsidP="002E4361">
            <w:pPr>
              <w:bidi w:val="0"/>
              <w:ind w:left="54"/>
              <w:rPr>
                <w:rFonts w:ascii="Arial Narrow" w:hAnsi="Arial Narrow"/>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34639" w:rsidRPr="005A7FD7" w:rsidP="002E4361">
            <w:pPr>
              <w:bidi w:val="0"/>
              <w:ind w:left="196" w:hanging="196"/>
              <w:rPr>
                <w:rFonts w:ascii="Arial Narrow" w:hAnsi="Arial Narrow"/>
                <w:b/>
              </w:rPr>
            </w:pPr>
            <w:r w:rsidRPr="005A7FD7">
              <w:rPr>
                <w:rFonts w:ascii="Arial Narrow" w:hAnsi="Arial Narrow"/>
                <w:b/>
              </w:rPr>
              <w:t xml:space="preserve">    vplyvy služieb verejnej správy na občana</w:t>
            </w:r>
          </w:p>
        </w:tc>
        <w:tc>
          <w:tcPr>
            <w:tcW w:w="541" w:type="dxa"/>
            <w:tcBorders>
              <w:top w:val="nil"/>
              <w:left w:val="single" w:sz="4" w:space="0" w:color="auto"/>
              <w:bottom w:val="nil"/>
              <w:right w:val="nil"/>
            </w:tcBorders>
            <w:textDirection w:val="lrTb"/>
            <w:vAlign w:val="top"/>
          </w:tcPr>
          <w:p w:rsidR="00134639" w:rsidRPr="005A7FD7" w:rsidP="002E4361">
            <w:pPr>
              <w:bidi w:val="0"/>
              <w:jc w:val="center"/>
              <w:rPr>
                <w:rFonts w:ascii="Arial Narrow" w:eastAsia="MS Mincho" w:hAnsi="Arial Narrow" w:cs="MS Mincho"/>
                <w:b/>
              </w:rPr>
            </w:pPr>
            <w:r w:rsidRPr="005A7FD7">
              <w:rPr>
                <w:rFonts w:ascii="Segoe UI Symbol" w:eastAsia="MS Mincho" w:hAnsi="Segoe UI Symbol" w:cs="Segoe UI Symbol" w:hint="default"/>
              </w:rPr>
              <w:t>☐</w:t>
            </w:r>
          </w:p>
        </w:tc>
        <w:tc>
          <w:tcPr>
            <w:tcW w:w="1281" w:type="dxa"/>
            <w:tcBorders>
              <w:top w:val="nil"/>
              <w:left w:val="nil"/>
              <w:bottom w:val="nil"/>
              <w:right w:val="nil"/>
            </w:tcBorders>
            <w:textDirection w:val="lrTb"/>
            <w:vAlign w:val="top"/>
          </w:tcPr>
          <w:p w:rsidR="00134639" w:rsidRPr="005A7FD7" w:rsidP="002E4361">
            <w:pPr>
              <w:bidi w:val="0"/>
              <w:ind w:right="-108"/>
              <w:rPr>
                <w:rFonts w:ascii="Arial Narrow" w:hAnsi="Arial Narrow"/>
                <w:b/>
              </w:rPr>
            </w:pPr>
            <w:r w:rsidRPr="005A7FD7">
              <w:rPr>
                <w:rFonts w:ascii="Arial Narrow" w:hAnsi="Arial Narrow"/>
                <w:b/>
              </w:rPr>
              <w:t>Pozitívne</w:t>
            </w:r>
          </w:p>
        </w:tc>
        <w:tc>
          <w:tcPr>
            <w:tcW w:w="569" w:type="dxa"/>
            <w:tcBorders>
              <w:top w:val="nil"/>
              <w:left w:val="nil"/>
              <w:bottom w:val="nil"/>
              <w:right w:val="nil"/>
            </w:tcBorders>
            <w:textDirection w:val="lrTb"/>
            <w:vAlign w:val="top"/>
          </w:tcPr>
          <w:p w:rsidR="00134639" w:rsidRPr="005A7FD7" w:rsidP="002E4361">
            <w:pPr>
              <w:bidi w:val="0"/>
              <w:jc w:val="center"/>
              <w:rPr>
                <w:rFonts w:ascii="Arial Narrow" w:eastAsia="MS Mincho" w:hAnsi="Arial Narrow" w:cs="MS Mincho"/>
                <w:b/>
              </w:rPr>
            </w:pPr>
            <w:r w:rsidRPr="005A7FD7">
              <w:rPr>
                <w:rFonts w:ascii="Segoe UI Symbol" w:eastAsia="MS Gothic" w:hAnsi="Segoe UI Symbol" w:cs="Segoe UI Symbol" w:hint="default"/>
                <w:b/>
              </w:rPr>
              <w:t>☒</w:t>
            </w:r>
          </w:p>
        </w:tc>
        <w:tc>
          <w:tcPr>
            <w:tcW w:w="1133" w:type="dxa"/>
            <w:tcBorders>
              <w:top w:val="nil"/>
              <w:left w:val="nil"/>
              <w:bottom w:val="nil"/>
              <w:right w:val="nil"/>
            </w:tcBorders>
            <w:textDirection w:val="lrTb"/>
            <w:vAlign w:val="top"/>
          </w:tcPr>
          <w:p w:rsidR="00134639" w:rsidRPr="005A7FD7" w:rsidP="002E4361">
            <w:pPr>
              <w:bidi w:val="0"/>
              <w:rPr>
                <w:rFonts w:ascii="Arial Narrow" w:hAnsi="Arial Narrow"/>
                <w:b/>
              </w:rPr>
            </w:pPr>
            <w:r w:rsidRPr="005A7FD7">
              <w:rPr>
                <w:rFonts w:ascii="Arial Narrow" w:hAnsi="Arial Narrow"/>
                <w:b/>
              </w:rPr>
              <w:t>Žiadne</w:t>
            </w:r>
          </w:p>
        </w:tc>
        <w:tc>
          <w:tcPr>
            <w:tcW w:w="547" w:type="dxa"/>
            <w:tcBorders>
              <w:top w:val="nil"/>
              <w:left w:val="nil"/>
              <w:bottom w:val="nil"/>
              <w:right w:val="nil"/>
            </w:tcBorders>
            <w:textDirection w:val="lrTb"/>
            <w:vAlign w:val="top"/>
          </w:tcPr>
          <w:p w:rsidR="00134639" w:rsidRPr="005A7FD7" w:rsidP="002E4361">
            <w:pPr>
              <w:bidi w:val="0"/>
              <w:jc w:val="center"/>
              <w:rPr>
                <w:rFonts w:ascii="Arial Narrow" w:eastAsia="MS Mincho" w:hAnsi="Arial Narrow" w:cs="MS Mincho"/>
                <w:b/>
              </w:rPr>
            </w:pPr>
            <w:r w:rsidRPr="005A7FD7">
              <w:rPr>
                <w:rFonts w:ascii="Segoe UI Symbol" w:eastAsia="MS Mincho" w:hAnsi="Segoe UI Symbol" w:cs="Segoe UI Symbol" w:hint="default"/>
              </w:rPr>
              <w:t>☐</w:t>
            </w:r>
          </w:p>
        </w:tc>
        <w:tc>
          <w:tcPr>
            <w:tcW w:w="1297" w:type="dxa"/>
            <w:tcBorders>
              <w:top w:val="nil"/>
              <w:left w:val="nil"/>
              <w:bottom w:val="nil"/>
              <w:right w:val="single" w:sz="4" w:space="0" w:color="auto"/>
            </w:tcBorders>
            <w:textDirection w:val="lrTb"/>
            <w:vAlign w:val="top"/>
          </w:tcPr>
          <w:p w:rsidR="00134639" w:rsidRPr="005A7FD7" w:rsidP="002E4361">
            <w:pPr>
              <w:bidi w:val="0"/>
              <w:ind w:left="54"/>
              <w:rPr>
                <w:rFonts w:ascii="Arial Narrow" w:hAnsi="Arial Narrow"/>
                <w:b/>
              </w:rPr>
            </w:pPr>
            <w:r w:rsidRPr="005A7FD7">
              <w:rPr>
                <w:rFonts w:ascii="Arial Narrow" w:hAnsi="Arial Narrow"/>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34639" w:rsidRPr="005A7FD7" w:rsidP="002E4361">
            <w:pPr>
              <w:bidi w:val="0"/>
              <w:ind w:left="168" w:hanging="168"/>
              <w:rPr>
                <w:rFonts w:ascii="Arial Narrow" w:hAnsi="Arial Narrow"/>
                <w:b/>
              </w:rPr>
            </w:pPr>
            <w:r w:rsidRPr="005A7FD7">
              <w:rPr>
                <w:rFonts w:ascii="Arial Narrow" w:hAnsi="Arial Narrow"/>
                <w:b/>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134639" w:rsidRPr="005A7FD7" w:rsidP="002E4361">
            <w:pPr>
              <w:bidi w:val="0"/>
              <w:jc w:val="center"/>
              <w:rPr>
                <w:rFonts w:ascii="Arial Narrow" w:eastAsia="MS Mincho" w:hAnsi="Arial Narrow"/>
                <w:b/>
              </w:rPr>
            </w:pPr>
            <w:r w:rsidRPr="005A7FD7">
              <w:rPr>
                <w:rFonts w:ascii="Segoe UI Symbol" w:eastAsia="MS Mincho" w:hAnsi="Segoe UI Symbol" w:cs="Segoe UI Symbol" w:hint="default"/>
              </w:rPr>
              <w:t>☐</w:t>
            </w:r>
          </w:p>
        </w:tc>
        <w:tc>
          <w:tcPr>
            <w:tcW w:w="1281" w:type="dxa"/>
            <w:tcBorders>
              <w:top w:val="nil"/>
              <w:left w:val="nil"/>
              <w:bottom w:val="single" w:sz="4" w:space="0" w:color="auto"/>
              <w:right w:val="nil"/>
            </w:tcBorders>
            <w:textDirection w:val="lrTb"/>
            <w:vAlign w:val="top"/>
          </w:tcPr>
          <w:p w:rsidR="00134639" w:rsidRPr="005A7FD7" w:rsidP="002E4361">
            <w:pPr>
              <w:bidi w:val="0"/>
              <w:ind w:right="-108"/>
              <w:rPr>
                <w:rFonts w:ascii="Arial Narrow" w:hAnsi="Arial Narrow"/>
                <w:b/>
              </w:rPr>
            </w:pPr>
            <w:r w:rsidRPr="005A7FD7">
              <w:rPr>
                <w:rFonts w:ascii="Arial Narrow" w:hAnsi="Arial Narrow"/>
                <w:b/>
              </w:rPr>
              <w:t>Pozitívne</w:t>
            </w:r>
          </w:p>
        </w:tc>
        <w:tc>
          <w:tcPr>
            <w:tcW w:w="569" w:type="dxa"/>
            <w:tcBorders>
              <w:top w:val="nil"/>
              <w:left w:val="nil"/>
              <w:bottom w:val="single" w:sz="4" w:space="0" w:color="auto"/>
              <w:right w:val="nil"/>
            </w:tcBorders>
            <w:textDirection w:val="lrTb"/>
            <w:vAlign w:val="top"/>
          </w:tcPr>
          <w:p w:rsidR="00134639" w:rsidRPr="005A7FD7" w:rsidP="002E4361">
            <w:pPr>
              <w:bidi w:val="0"/>
              <w:jc w:val="center"/>
              <w:rPr>
                <w:rFonts w:ascii="Arial Narrow" w:eastAsia="MS Mincho" w:hAnsi="Arial Narrow"/>
                <w:b/>
              </w:rPr>
            </w:pPr>
            <w:r w:rsidRPr="005A7FD7">
              <w:rPr>
                <w:rFonts w:ascii="Segoe UI Symbol" w:eastAsia="MS Gothic" w:hAnsi="Segoe UI Symbol" w:cs="Segoe UI Symbol" w:hint="default"/>
                <w:b/>
              </w:rPr>
              <w:t>☒</w:t>
            </w:r>
          </w:p>
        </w:tc>
        <w:tc>
          <w:tcPr>
            <w:tcW w:w="1133" w:type="dxa"/>
            <w:tcBorders>
              <w:top w:val="nil"/>
              <w:left w:val="nil"/>
              <w:bottom w:val="single" w:sz="4" w:space="0" w:color="auto"/>
              <w:right w:val="nil"/>
            </w:tcBorders>
            <w:textDirection w:val="lrTb"/>
            <w:vAlign w:val="top"/>
          </w:tcPr>
          <w:p w:rsidR="00134639" w:rsidRPr="005A7FD7" w:rsidP="002E4361">
            <w:pPr>
              <w:bidi w:val="0"/>
              <w:rPr>
                <w:rFonts w:ascii="Arial Narrow" w:hAnsi="Arial Narrow"/>
                <w:b/>
              </w:rPr>
            </w:pPr>
            <w:r w:rsidRPr="005A7FD7">
              <w:rPr>
                <w:rFonts w:ascii="Arial Narrow" w:hAnsi="Arial Narrow"/>
                <w:b/>
              </w:rPr>
              <w:t>Žiadne</w:t>
            </w:r>
          </w:p>
        </w:tc>
        <w:tc>
          <w:tcPr>
            <w:tcW w:w="547" w:type="dxa"/>
            <w:tcBorders>
              <w:top w:val="nil"/>
              <w:left w:val="nil"/>
              <w:bottom w:val="single" w:sz="4" w:space="0" w:color="auto"/>
              <w:right w:val="nil"/>
            </w:tcBorders>
            <w:textDirection w:val="lrTb"/>
            <w:vAlign w:val="top"/>
          </w:tcPr>
          <w:p w:rsidR="00134639" w:rsidRPr="005A7FD7" w:rsidP="002E4361">
            <w:pPr>
              <w:bidi w:val="0"/>
              <w:jc w:val="center"/>
              <w:rPr>
                <w:rFonts w:ascii="Arial Narrow" w:eastAsia="MS Mincho" w:hAnsi="Arial Narrow"/>
                <w:b/>
              </w:rPr>
            </w:pPr>
            <w:r w:rsidRPr="005A7FD7">
              <w:rPr>
                <w:rFonts w:ascii="Segoe UI Symbol" w:eastAsia="MS Mincho" w:hAnsi="Segoe UI Symbol" w:cs="Segoe UI Symbol" w:hint="default"/>
              </w:rPr>
              <w:t>☐</w:t>
            </w:r>
          </w:p>
        </w:tc>
        <w:tc>
          <w:tcPr>
            <w:tcW w:w="1297" w:type="dxa"/>
            <w:tcBorders>
              <w:top w:val="nil"/>
              <w:left w:val="nil"/>
              <w:bottom w:val="single" w:sz="4" w:space="0" w:color="auto"/>
              <w:right w:val="single" w:sz="4" w:space="0" w:color="auto"/>
            </w:tcBorders>
            <w:textDirection w:val="lrTb"/>
            <w:vAlign w:val="top"/>
          </w:tcPr>
          <w:p w:rsidR="00134639" w:rsidRPr="005A7FD7" w:rsidP="002E4361">
            <w:pPr>
              <w:bidi w:val="0"/>
              <w:ind w:left="54"/>
              <w:rPr>
                <w:rFonts w:ascii="Arial Narrow" w:hAnsi="Arial Narrow"/>
                <w:b/>
              </w:rPr>
            </w:pPr>
            <w:r w:rsidRPr="005A7FD7">
              <w:rPr>
                <w:rFonts w:ascii="Arial Narrow" w:hAnsi="Arial Narrow"/>
                <w:b/>
              </w:rPr>
              <w:t>Negatívne</w:t>
            </w:r>
          </w:p>
        </w:tc>
      </w:tr>
    </w:tbl>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134639" w:rsidRPr="00134639" w:rsidP="002E4361">
            <w:pPr>
              <w:bidi w:val="0"/>
              <w:spacing w:after="0" w:line="240" w:lineRule="auto"/>
              <w:ind w:right="85"/>
              <w:jc w:val="both"/>
              <w:rPr>
                <w:rFonts w:ascii="Times New Roman" w:hAnsi="Times New Roman" w:cs="Times New Roman"/>
                <w:sz w:val="24"/>
                <w:szCs w:val="24"/>
              </w:rPr>
            </w:pPr>
            <w:r w:rsidRPr="00134639">
              <w:rPr>
                <w:rFonts w:ascii="Times New Roman" w:hAnsi="Times New Roman" w:cs="Times New Roman"/>
                <w:sz w:val="24"/>
                <w:szCs w:val="24"/>
              </w:rPr>
              <w:t xml:space="preserve">Zavedením daňového zvýhodnenia na zaplatené úroky pri úveroch na bývanie sa nepredpokladá žiadny sociálny vplyv, nakoľko dochádza iba k nahradeniu doteraz platného systému podpory hypotekárnych úverov pre mladých z dôvodu adresnejšieho spôsobu podpory.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sz w:val="24"/>
                <w:szCs w:val="24"/>
              </w:rPr>
            </w:pPr>
            <w:hyperlink r:id="rId5" w:history="1">
              <w:r w:rsidRPr="00134639">
                <w:rPr>
                  <w:rStyle w:val="Hyperlink"/>
                  <w:rFonts w:ascii="Times New Roman" w:hAnsi="Times New Roman"/>
                  <w:sz w:val="24"/>
                  <w:szCs w:val="24"/>
                </w:rPr>
                <w:t>michaela.vidova@mfsr.sk</w:t>
              </w:r>
            </w:hyperlink>
            <w:r w:rsidRPr="00134639">
              <w:rPr>
                <w:rFonts w:ascii="Times New Roman" w:hAnsi="Times New Roman" w:cs="Times New Roman"/>
                <w:sz w:val="24"/>
                <w:szCs w:val="24"/>
              </w:rPr>
              <w:t>, tel.: 5958 3480</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rPr>
                <w:rFonts w:ascii="Times New Roman" w:hAnsi="Times New Roman" w:cs="Times New Roman"/>
                <w:b/>
                <w:sz w:val="24"/>
                <w:szCs w:val="24"/>
              </w:rPr>
            </w:pPr>
            <w:r w:rsidRPr="00134639">
              <w:rPr>
                <w:rFonts w:ascii="Times New Roman" w:hAnsi="Times New Roman" w:cs="Times New Roman"/>
                <w:sz w:val="24"/>
                <w:szCs w:val="24"/>
              </w:rPr>
              <w:t xml:space="preserve">Inštitút finančnej politiky, MF SR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134639" w:rsidRPr="00134639" w:rsidP="00134639">
            <w:pPr>
              <w:pStyle w:val="ListParagraph"/>
              <w:numPr>
                <w:numId w:val="4"/>
              </w:numPr>
              <w:bidi w:val="0"/>
              <w:ind w:left="426"/>
              <w:rPr>
                <w:rFonts w:ascii="Times New Roman" w:hAnsi="Times New Roman"/>
                <w:b/>
              </w:rPr>
            </w:pPr>
            <w:r w:rsidRPr="00134639">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134639" w:rsidRPr="00134639" w:rsidP="002E4361">
            <w:pPr>
              <w:bidi w:val="0"/>
              <w:spacing w:after="0" w:line="240" w:lineRule="auto"/>
              <w:jc w:val="both"/>
              <w:rPr>
                <w:rFonts w:ascii="Times New Roman" w:hAnsi="Times New Roman" w:cs="Times New Roman"/>
                <w:sz w:val="24"/>
                <w:szCs w:val="24"/>
              </w:rPr>
            </w:pPr>
            <w:r w:rsidRPr="00134639">
              <w:rPr>
                <w:rFonts w:ascii="Times New Roman" w:hAnsi="Times New Roman" w:cs="Times New Roman"/>
                <w:sz w:val="24"/>
                <w:szCs w:val="24"/>
              </w:rPr>
              <w:t>V rámci predbežného pripomienkového konania komisia pre posudzovanie vybraných vplyvov k predmetnému materiálu zaslala nesúhlasné stanovisko uvedené nižšie:</w:t>
            </w:r>
          </w:p>
          <w:p w:rsidR="00134639" w:rsidRPr="00134639" w:rsidP="002E4361">
            <w:pPr>
              <w:tabs>
                <w:tab w:val="center" w:pos="6379"/>
              </w:tabs>
              <w:bidi w:val="0"/>
              <w:spacing w:after="0" w:line="240" w:lineRule="auto"/>
              <w:ind w:right="-2"/>
              <w:jc w:val="both"/>
              <w:rPr>
                <w:rFonts w:ascii="Times New Roman" w:hAnsi="Times New Roman" w:cs="Times New Roman"/>
                <w:bCs/>
                <w:sz w:val="24"/>
                <w:szCs w:val="24"/>
              </w:rPr>
            </w:pPr>
          </w:p>
          <w:p w:rsidR="00134639" w:rsidRPr="00134639" w:rsidP="002E4361">
            <w:pPr>
              <w:bidi w:val="0"/>
              <w:spacing w:after="0" w:line="240" w:lineRule="auto"/>
              <w:jc w:val="both"/>
              <w:rPr>
                <w:rFonts w:ascii="Times New Roman" w:hAnsi="Times New Roman" w:cs="Times New Roman"/>
                <w:b/>
                <w:iCs/>
                <w:sz w:val="24"/>
                <w:szCs w:val="24"/>
              </w:rPr>
            </w:pPr>
            <w:r w:rsidRPr="00134639">
              <w:rPr>
                <w:rFonts w:ascii="Times New Roman" w:hAnsi="Times New Roman" w:cs="Times New Roman"/>
                <w:b/>
                <w:iCs/>
                <w:sz w:val="24"/>
                <w:szCs w:val="24"/>
              </w:rPr>
              <w:t>K doložke vybraných vplyvov</w:t>
            </w:r>
          </w:p>
          <w:p w:rsidR="00134639" w:rsidRPr="00134639" w:rsidP="002E4361">
            <w:pPr>
              <w:tabs>
                <w:tab w:val="center" w:pos="6379"/>
              </w:tabs>
              <w:bidi w:val="0"/>
              <w:spacing w:after="0" w:line="240" w:lineRule="auto"/>
              <w:ind w:right="-2"/>
              <w:jc w:val="both"/>
              <w:rPr>
                <w:rFonts w:ascii="Times New Roman" w:hAnsi="Times New Roman" w:cs="Times New Roman"/>
                <w:iCs/>
                <w:sz w:val="24"/>
                <w:szCs w:val="24"/>
              </w:rPr>
            </w:pPr>
            <w:r w:rsidRPr="00134639">
              <w:rPr>
                <w:rFonts w:ascii="Times New Roman" w:hAnsi="Times New Roman" w:cs="Times New Roman"/>
                <w:iCs/>
                <w:sz w:val="24"/>
                <w:szCs w:val="24"/>
              </w:rPr>
              <w:t xml:space="preserve">Vo vzťahu k sociálnym vplyvom predloženého návrhu zákona odporúča Komisia v bode </w:t>
            </w:r>
            <w:r w:rsidRPr="00134639">
              <w:rPr>
                <w:rFonts w:ascii="Times New Roman" w:hAnsi="Times New Roman" w:cs="Times New Roman"/>
                <w:i/>
                <w:iCs/>
                <w:sz w:val="24"/>
                <w:szCs w:val="24"/>
              </w:rPr>
              <w:t>„10. Poznámky“</w:t>
            </w:r>
            <w:r w:rsidRPr="00134639">
              <w:rPr>
                <w:rFonts w:ascii="Times New Roman" w:hAnsi="Times New Roman" w:cs="Times New Roman"/>
                <w:iCs/>
                <w:sz w:val="24"/>
                <w:szCs w:val="24"/>
              </w:rPr>
              <w:t xml:space="preserve"> uviesť stručné zhodnotenie, prečo sa zavedením daňového bonusu na hypotéky nepredpokladá žiadny sociálny vplyv. V prípade, že predkladateľ predpokladá sociálny vplyv až v čase prejavenia plného efektu daňového bonusu ( v roku 2023), je aj tento vplyv potrebné vyhodnotiť v doložke vybraných vplyvov v časti týkajúcej sa sociálnych vplyvov a v analýze sociálnych vplyvov.</w:t>
            </w:r>
          </w:p>
          <w:p w:rsidR="00134639" w:rsidRPr="00134639" w:rsidP="002E4361">
            <w:pPr>
              <w:tabs>
                <w:tab w:val="center" w:pos="6379"/>
              </w:tabs>
              <w:bidi w:val="0"/>
              <w:spacing w:after="0" w:line="240" w:lineRule="auto"/>
              <w:ind w:right="-2"/>
              <w:jc w:val="both"/>
              <w:rPr>
                <w:rFonts w:ascii="Times New Roman" w:hAnsi="Times New Roman" w:cs="Times New Roman"/>
                <w:iCs/>
                <w:sz w:val="24"/>
                <w:szCs w:val="24"/>
              </w:rPr>
            </w:pPr>
          </w:p>
          <w:p w:rsidR="00134639" w:rsidRPr="00134639" w:rsidP="002E4361">
            <w:pPr>
              <w:tabs>
                <w:tab w:val="center" w:pos="6379"/>
              </w:tabs>
              <w:bidi w:val="0"/>
              <w:spacing w:after="0" w:line="240" w:lineRule="auto"/>
              <w:ind w:right="-2"/>
              <w:jc w:val="both"/>
              <w:rPr>
                <w:rFonts w:ascii="Times New Roman" w:hAnsi="Times New Roman" w:cs="Times New Roman"/>
                <w:bCs/>
                <w:sz w:val="24"/>
                <w:szCs w:val="24"/>
              </w:rPr>
            </w:pPr>
            <w:r w:rsidRPr="00134639">
              <w:rPr>
                <w:rFonts w:ascii="Times New Roman" w:hAnsi="Times New Roman" w:cs="Times New Roman"/>
                <w:iCs/>
                <w:sz w:val="24"/>
                <w:szCs w:val="24"/>
              </w:rPr>
              <w:t xml:space="preserve">Komisia odporúča predkladateľovi dopracovať doložku vybraných vplyvov, konkrétne v rámci časti </w:t>
            </w:r>
            <w:r w:rsidRPr="00134639">
              <w:rPr>
                <w:rFonts w:ascii="Times New Roman" w:hAnsi="Times New Roman" w:cs="Times New Roman"/>
                <w:i/>
                <w:iCs/>
                <w:sz w:val="24"/>
                <w:szCs w:val="24"/>
              </w:rPr>
              <w:t>„1. Základné údaje“</w:t>
            </w:r>
            <w:r w:rsidRPr="00134639">
              <w:rPr>
                <w:rFonts w:ascii="Times New Roman" w:hAnsi="Times New Roman" w:cs="Times New Roman"/>
                <w:iCs/>
                <w:sz w:val="24"/>
                <w:szCs w:val="24"/>
              </w:rPr>
              <w:t xml:space="preserve"> je potrebné vyplniť predpokladané termíny predloženia na MPK, prípadne na Rokovanie vlády SR.</w:t>
            </w:r>
          </w:p>
          <w:p w:rsidR="00134639" w:rsidRPr="00134639" w:rsidP="002E4361">
            <w:pPr>
              <w:tabs>
                <w:tab w:val="center" w:pos="6379"/>
              </w:tabs>
              <w:bidi w:val="0"/>
              <w:spacing w:after="0" w:line="240" w:lineRule="auto"/>
              <w:ind w:right="-2"/>
              <w:jc w:val="both"/>
              <w:rPr>
                <w:rFonts w:ascii="Times New Roman" w:hAnsi="Times New Roman" w:cs="Times New Roman"/>
                <w:bCs/>
                <w:sz w:val="24"/>
                <w:szCs w:val="24"/>
              </w:rPr>
            </w:pPr>
          </w:p>
          <w:p w:rsidR="00134639" w:rsidRPr="00134639" w:rsidP="002E4361">
            <w:pPr>
              <w:tabs>
                <w:tab w:val="center" w:pos="6379"/>
              </w:tabs>
              <w:bidi w:val="0"/>
              <w:spacing w:after="0" w:line="240" w:lineRule="auto"/>
              <w:ind w:right="-2"/>
              <w:jc w:val="both"/>
              <w:rPr>
                <w:rFonts w:ascii="Times New Roman" w:hAnsi="Times New Roman" w:cs="Times New Roman"/>
                <w:b/>
                <w:bCs/>
                <w:sz w:val="24"/>
                <w:szCs w:val="24"/>
              </w:rPr>
            </w:pPr>
            <w:r w:rsidRPr="00134639">
              <w:rPr>
                <w:rFonts w:ascii="Times New Roman" w:hAnsi="Times New Roman" w:cs="Times New Roman"/>
                <w:b/>
                <w:bCs/>
                <w:sz w:val="24"/>
                <w:szCs w:val="24"/>
              </w:rPr>
              <w:t>K analýze vplyvov na podnikateľské prostredie</w:t>
            </w:r>
          </w:p>
          <w:p w:rsidR="00134639" w:rsidRPr="00134639" w:rsidP="002E4361">
            <w:pPr>
              <w:bidi w:val="0"/>
              <w:spacing w:after="0" w:line="240" w:lineRule="auto"/>
              <w:jc w:val="both"/>
              <w:rPr>
                <w:rFonts w:ascii="Times New Roman" w:hAnsi="Times New Roman" w:cs="Times New Roman"/>
                <w:iCs/>
                <w:sz w:val="24"/>
                <w:szCs w:val="24"/>
              </w:rPr>
            </w:pPr>
            <w:r w:rsidRPr="00134639">
              <w:rPr>
                <w:rFonts w:ascii="Times New Roman" w:hAnsi="Times New Roman" w:cs="Times New Roman"/>
                <w:iCs/>
                <w:sz w:val="24"/>
                <w:szCs w:val="24"/>
              </w:rPr>
              <w:t xml:space="preserve">Komisia má za to, že predkladateľ v </w:t>
            </w:r>
            <w:r w:rsidRPr="00134639">
              <w:rPr>
                <w:rFonts w:ascii="Times New Roman" w:hAnsi="Times New Roman" w:cs="Times New Roman"/>
                <w:i/>
                <w:iCs/>
                <w:sz w:val="24"/>
                <w:szCs w:val="24"/>
              </w:rPr>
              <w:t>Analýze vplyvov na podnikateľské prostredie</w:t>
            </w:r>
            <w:r w:rsidRPr="00134639">
              <w:rPr>
                <w:rFonts w:ascii="Times New Roman" w:hAnsi="Times New Roman" w:cs="Times New Roman"/>
                <w:iCs/>
                <w:sz w:val="24"/>
                <w:szCs w:val="24"/>
              </w:rPr>
              <w:t xml:space="preserve"> opomenul hneď niekoľko navrhovaných zmien novely, konkrétne:</w:t>
            </w: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novelou zákona sa zmierňujú následky porušenia princípu nezávislého vzťahu v procese prijímania investičnej pomoci. Po novom porušenie princípu nezávislého vzťahu v rámci procesu prijímania investičnej pomoci nebude mať automaticky za následok zánik práva na uplatňovanie úľavy na dani, daňovník stratí nárok na úľavu na dani len v príslušnom zdaňovacom období, kedy došlo k porušeniu princípu nezávislého vzťahu. (§ 30a ods. 8 a 9 a § 30b ods. 8 a 9 novely zákona),</w:t>
            </w: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novelou zákona sa ruší administratívnu záťaž spojenú s povinnosťou zamestnávateľa uplatňovať postup pri preukazovaní 2 % pre neziskové organizácie. Zamestnanec už nebude môcť po novom požiadať zamestnávateľa aby administratívne riešil preukazovanie 2 % z výšky zaplatenej dane. Zamestnávateľ, ktorý je platiteľom dane, bude povinný na žiadosť zamestnanca vystaviť potvrdenie o zaplatení dane, pričom vzor tohto potvrdenia určí finančné riaditeľstvo. (zmeny v § 38 ods. 1 novely zákona),</w:t>
            </w: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novelou zákona sa zavádza daňové oslobodenie od príjmov pri komerčnom využití nehmotných aktív. Od dane budú oslobodené príjmy vo výške 80 % z odplát za poskytnutie práva na použitie patentu, dizajnu alebo počítačového programu. A vo výške 50 % budú oslobodené od dane aj príjmy z predaja výrobkov, pri ktorých výrobe sa úplne alebo čiastočne využil patent, úžitkový vzor, alebo dizajn vyvinutý vlastnou činnosťou daňovníka na území SR. (§ 13a a § 13b novely zákona),</w:t>
            </w: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novelou zákona sa zavádza odpis pohľadávok v rozsahu, v akom nebudú uspokojené splátkovým kalendárom. V nadväznosti na novelu zákona o konkurze a reštrukturalizácii, ktorá umožnila fyzickej osobe vstúpiť do procesu oddlženia prostredníctvom jednej z alternatív – splátkový kalendár alebo konkurz, novela zákona o dani z príjmov umožňuje považovať za daňový výdavok aj odpis pohľadávok v rozsahu, v akom nebudú uspokojené v konkurze alebo splátkovým kalendárom. (zmeny v § 20 ods. 10 novely zákona),</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jc w:val="both"/>
              <w:rPr>
                <w:rFonts w:ascii="Times New Roman" w:hAnsi="Times New Roman" w:cs="Times New Roman"/>
                <w:iCs/>
                <w:sz w:val="24"/>
                <w:szCs w:val="24"/>
              </w:rPr>
            </w:pPr>
            <w:r w:rsidRPr="00134639">
              <w:rPr>
                <w:rFonts w:ascii="Times New Roman" w:hAnsi="Times New Roman" w:cs="Times New Roman"/>
                <w:iCs/>
                <w:sz w:val="24"/>
                <w:szCs w:val="24"/>
              </w:rPr>
              <w:t>pričom tieto majú pozitívny vplyv na podnikateľské prostredie, a teda z tohto dôvodu Komisia odporúča horeuvedené opatrenia kvalitatívne popísať v častiach, podľa druhu ušetrených nákladov v dôsledku ich zavedenia (priame finančné náklady, nepriame finančné náklady, administratívne náklady). Ďalšia zmeny, ktoré novela zavádza, konkrétne:</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novelou  zákona už úroky z úverov a pôžičiek použitých na nákup akcií alebo obchodných podielov nebudú daňovým výdavkom (§ 21 ods. 1 písm. m) novely zákona)</w:t>
            </w:r>
          </w:p>
          <w:p w:rsidR="00134639" w:rsidRPr="00134639" w:rsidP="00134639">
            <w:pPr>
              <w:pStyle w:val="ListParagraph"/>
              <w:numPr>
                <w:numId w:val="5"/>
              </w:numPr>
              <w:suppressAutoHyphens/>
              <w:bidi w:val="0"/>
              <w:spacing w:line="100" w:lineRule="atLeast"/>
              <w:ind w:left="1701" w:hanging="567"/>
              <w:jc w:val="both"/>
              <w:rPr>
                <w:rFonts w:ascii="Times New Roman" w:hAnsi="Times New Roman"/>
                <w:iCs/>
              </w:rPr>
            </w:pPr>
            <w:r w:rsidRPr="00134639">
              <w:rPr>
                <w:rFonts w:ascii="Times New Roman" w:hAnsi="Times New Roman"/>
                <w:iCs/>
              </w:rPr>
              <w:t>v súvislosti so zavedením zdaňovania pri odchode zavedenie úplne novej sadzby vo výške 21% (doplnenie § 15 písm. b) o tretí bod novelou zákona),</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jc w:val="both"/>
              <w:rPr>
                <w:rFonts w:ascii="Times New Roman" w:hAnsi="Times New Roman" w:cs="Times New Roman"/>
                <w:iCs/>
                <w:sz w:val="24"/>
                <w:szCs w:val="24"/>
              </w:rPr>
            </w:pPr>
            <w:r w:rsidRPr="00134639">
              <w:rPr>
                <w:rFonts w:ascii="Times New Roman" w:hAnsi="Times New Roman" w:cs="Times New Roman"/>
                <w:iCs/>
                <w:sz w:val="24"/>
                <w:szCs w:val="24"/>
              </w:rPr>
              <w:t>pričom tieto majú negatívny vplyv na podnikateľské prostredie, a teda z tohto dôvodu Komisia odporúča horeuvedené opatrenia kvalitatívne popísať v častiach, podľa druhu vzniknutých nákladov v dôsledku ich zavedenia (priame finančné náklady, nepriame finančné náklady, administratívne náklady). V tejto súvislosti zároveň Komisia žiada predkladateľa minimálne o doplnenie poznámky k časti 3.3.4 Súhrnná tabuľka nákladov regulácie, ktorá bude zdôvodňovať jej nevyplnenie vzhľadom na absenciu dát pre vyčíslenie priamych finančných nákladov v dôsledku zavedenia novej dane z odchodu vo výške 21 %.</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jc w:val="both"/>
              <w:rPr>
                <w:rFonts w:ascii="Times New Roman" w:hAnsi="Times New Roman" w:cs="Times New Roman"/>
                <w:iCs/>
                <w:sz w:val="24"/>
                <w:szCs w:val="24"/>
              </w:rPr>
            </w:pPr>
            <w:r w:rsidRPr="00134639">
              <w:rPr>
                <w:rFonts w:ascii="Times New Roman" w:hAnsi="Times New Roman" w:cs="Times New Roman"/>
                <w:iCs/>
                <w:sz w:val="24"/>
                <w:szCs w:val="24"/>
              </w:rPr>
              <w:t xml:space="preserve">Komisia žiada predkladateľa o vyznačenie negatívnych vplyvov na podnikateľské prostredie v </w:t>
            </w:r>
            <w:r w:rsidRPr="00134639">
              <w:rPr>
                <w:rFonts w:ascii="Times New Roman" w:hAnsi="Times New Roman" w:cs="Times New Roman"/>
                <w:i/>
                <w:iCs/>
                <w:sz w:val="24"/>
                <w:szCs w:val="24"/>
              </w:rPr>
              <w:t>Doložke vybraných vplyvov</w:t>
            </w:r>
            <w:r w:rsidRPr="00134639">
              <w:rPr>
                <w:rFonts w:ascii="Times New Roman" w:hAnsi="Times New Roman" w:cs="Times New Roman"/>
                <w:iCs/>
                <w:sz w:val="24"/>
                <w:szCs w:val="24"/>
              </w:rPr>
              <w:t xml:space="preserve">, doplnenie popisu niektorých zatiaľ neuvedených negatívnych vplyvov na podnikateľské prostredie a vyčíslenie tých negatívnych vplyvov na podnikateľské prostredie, ktoré je možné vyčísliť minimálne na základe kvalifikovaného odhadu. Taktiež Komisia žiada o uvedenie negatívneho vplyvu na podnikateľské prostredie v texte predkladacej správy. </w:t>
            </w:r>
            <w:r w:rsidRPr="00134639">
              <w:rPr>
                <w:rFonts w:ascii="Times New Roman" w:hAnsi="Times New Roman" w:cs="Times New Roman"/>
                <w:iCs/>
                <w:sz w:val="24"/>
                <w:szCs w:val="24"/>
                <w:u w:val="single"/>
              </w:rPr>
              <w:t xml:space="preserve">Odôvodnenie: </w:t>
            </w:r>
            <w:r w:rsidRPr="00134639">
              <w:rPr>
                <w:rFonts w:ascii="Times New Roman" w:hAnsi="Times New Roman" w:cs="Times New Roman"/>
                <w:iCs/>
                <w:sz w:val="24"/>
                <w:szCs w:val="24"/>
              </w:rPr>
              <w:t xml:space="preserve">Návrh bude mať negatívny vplyv spočívajúci v zavedení zdaňovania pri odchode a stanovení pravidiel pre kontrolované zahraničné spoločnosti, ďalej v zavedení evidenčnej povinnosti pre daňové subjekty, ktorá spočíva v sledovaní nákladov na vývoj nehmotných aktív. Taktiež môže vzniknúť niektorým daňovníkom povinnosť oznámiť správcovi dane vybrané skutočnosti, ktoré budú mať za následok ukončenie možnosti zvýhodneného režimu platenia dane pri odchode vo forme splátkového kalendára. </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jc w:val="both"/>
              <w:rPr>
                <w:rFonts w:ascii="Times New Roman" w:hAnsi="Times New Roman" w:cs="Times New Roman"/>
                <w:b/>
                <w:bCs/>
                <w:sz w:val="24"/>
                <w:szCs w:val="24"/>
              </w:rPr>
            </w:pPr>
            <w:r w:rsidRPr="00134639">
              <w:rPr>
                <w:rFonts w:ascii="Times New Roman" w:hAnsi="Times New Roman" w:cs="Times New Roman"/>
                <w:iCs/>
                <w:sz w:val="24"/>
                <w:szCs w:val="24"/>
              </w:rPr>
              <w:t xml:space="preserve">Komisia odporúča predkladateľovi vyčísliť pozitívny vplyv na podnikateľské prostredie v súvislosti so zmenou vo výpočte odpočtu nákladov na výskum a vývoj. </w:t>
            </w:r>
            <w:r w:rsidRPr="00134639">
              <w:rPr>
                <w:rFonts w:ascii="Times New Roman" w:hAnsi="Times New Roman" w:cs="Times New Roman"/>
                <w:iCs/>
                <w:sz w:val="24"/>
                <w:szCs w:val="24"/>
                <w:u w:val="single"/>
              </w:rPr>
              <w:t xml:space="preserve">Odôvodnenie: </w:t>
            </w:r>
            <w:r w:rsidRPr="00134639">
              <w:rPr>
                <w:rFonts w:ascii="Times New Roman" w:hAnsi="Times New Roman" w:cs="Times New Roman"/>
                <w:iCs/>
                <w:sz w:val="24"/>
                <w:szCs w:val="24"/>
              </w:rPr>
              <w:t xml:space="preserve">V zmysle Jednotnej metodiky je predkladateľ povinný vyčísliť nielen negatívne, ale aj pozitívne vplyvy. Na základe využívania tohto inštitútu za ostatné dva roky je možné uskutočniť kvalifikovaný odhad jeho využívania v najbližších rokoch. Komisia odporúča uviesť vyčíslenie v časti 3.3.1 Priame finančné náklady (zníženie daní) alebo v časti 3.5 Inovácie v </w:t>
            </w:r>
            <w:r w:rsidRPr="00134639">
              <w:rPr>
                <w:rFonts w:ascii="Times New Roman" w:hAnsi="Times New Roman" w:cs="Times New Roman"/>
                <w:i/>
                <w:iCs/>
                <w:sz w:val="24"/>
                <w:szCs w:val="24"/>
              </w:rPr>
              <w:t>Analýze vplyvov na podnikateľské prostredie</w:t>
            </w:r>
            <w:r w:rsidRPr="00134639">
              <w:rPr>
                <w:rFonts w:ascii="Times New Roman" w:hAnsi="Times New Roman" w:cs="Times New Roman"/>
                <w:iCs/>
                <w:sz w:val="24"/>
                <w:szCs w:val="24"/>
              </w:rPr>
              <w:t>.</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jc w:val="both"/>
              <w:rPr>
                <w:rFonts w:ascii="Times New Roman" w:hAnsi="Times New Roman" w:cs="Times New Roman"/>
                <w:b/>
                <w:iCs/>
                <w:sz w:val="24"/>
                <w:szCs w:val="24"/>
              </w:rPr>
            </w:pPr>
            <w:r w:rsidRPr="00134639">
              <w:rPr>
                <w:rFonts w:ascii="Times New Roman" w:hAnsi="Times New Roman" w:cs="Times New Roman"/>
                <w:b/>
                <w:iCs/>
                <w:sz w:val="24"/>
                <w:szCs w:val="24"/>
              </w:rPr>
              <w:t>K analýze sociálnych vplyvov</w:t>
            </w:r>
          </w:p>
          <w:p w:rsidR="00134639" w:rsidRPr="00134639" w:rsidP="002E4361">
            <w:pPr>
              <w:bidi w:val="0"/>
              <w:spacing w:after="0" w:line="240" w:lineRule="auto"/>
              <w:jc w:val="both"/>
              <w:rPr>
                <w:rFonts w:ascii="Times New Roman" w:hAnsi="Times New Roman" w:cs="Times New Roman"/>
                <w:iCs/>
                <w:sz w:val="24"/>
                <w:szCs w:val="24"/>
              </w:rPr>
            </w:pPr>
            <w:r w:rsidRPr="00134639">
              <w:rPr>
                <w:rFonts w:ascii="Times New Roman" w:hAnsi="Times New Roman" w:cs="Times New Roman"/>
                <w:iCs/>
                <w:sz w:val="24"/>
                <w:szCs w:val="24"/>
              </w:rPr>
              <w:t>V predloženej analýze sociálnych vplyvov Komisia odporúča v časti týkajúcej sa kvantifikácie túto doplniť, pričom odporúča vychádzať z predpokladov, z ktorých vychádza kvantifikácia  v analýze vplyvov na rozpočet verejnej správy.</w:t>
            </w:r>
          </w:p>
          <w:p w:rsidR="00134639" w:rsidRPr="00134639" w:rsidP="002E4361">
            <w:pPr>
              <w:bidi w:val="0"/>
              <w:spacing w:after="0" w:line="240" w:lineRule="auto"/>
              <w:jc w:val="both"/>
              <w:rPr>
                <w:rFonts w:ascii="Times New Roman" w:hAnsi="Times New Roman" w:cs="Times New Roman"/>
                <w:iCs/>
                <w:sz w:val="24"/>
                <w:szCs w:val="24"/>
              </w:rPr>
            </w:pPr>
          </w:p>
          <w:p w:rsidR="00134639" w:rsidRPr="00134639" w:rsidP="002E4361">
            <w:pPr>
              <w:bidi w:val="0"/>
              <w:spacing w:after="0" w:line="240" w:lineRule="auto"/>
              <w:rPr>
                <w:rFonts w:ascii="Times New Roman" w:hAnsi="Times New Roman" w:cs="Times New Roman"/>
                <w:b/>
                <w:bCs/>
                <w:sz w:val="24"/>
                <w:szCs w:val="24"/>
              </w:rPr>
            </w:pPr>
            <w:r w:rsidRPr="00134639">
              <w:rPr>
                <w:rFonts w:ascii="Times New Roman" w:hAnsi="Times New Roman" w:cs="Times New Roman"/>
                <w:b/>
                <w:bCs/>
                <w:sz w:val="24"/>
                <w:szCs w:val="24"/>
              </w:rPr>
              <w:t>Vyhodnotenie pripomienok MF SR:</w:t>
            </w:r>
          </w:p>
          <w:p w:rsidR="00134639" w:rsidRPr="00134639" w:rsidP="002E4361">
            <w:pPr>
              <w:bidi w:val="0"/>
              <w:spacing w:after="0" w:line="240" w:lineRule="auto"/>
              <w:rPr>
                <w:rFonts w:ascii="Times New Roman" w:hAnsi="Times New Roman" w:cs="Times New Roman"/>
                <w:b/>
                <w:bCs/>
                <w:sz w:val="24"/>
                <w:szCs w:val="24"/>
              </w:rPr>
            </w:pPr>
          </w:p>
          <w:p w:rsidR="00134639" w:rsidRPr="00134639" w:rsidP="002E4361">
            <w:pPr>
              <w:bidi w:val="0"/>
              <w:spacing w:after="0" w:line="240" w:lineRule="auto"/>
              <w:rPr>
                <w:rFonts w:ascii="Times New Roman" w:hAnsi="Times New Roman" w:cs="Times New Roman"/>
                <w:b/>
                <w:bCs/>
                <w:sz w:val="24"/>
                <w:szCs w:val="24"/>
              </w:rPr>
            </w:pPr>
            <w:r w:rsidRPr="00134639">
              <w:rPr>
                <w:rFonts w:ascii="Times New Roman" w:hAnsi="Times New Roman" w:cs="Times New Roman"/>
                <w:b/>
                <w:bCs/>
                <w:sz w:val="24"/>
                <w:szCs w:val="24"/>
              </w:rPr>
              <w:t xml:space="preserve">K doložke vybraných vplyvov </w:t>
            </w:r>
          </w:p>
          <w:p w:rsidR="00134639" w:rsidRPr="00134639" w:rsidP="002E4361">
            <w:pPr>
              <w:bidi w:val="0"/>
              <w:spacing w:after="0" w:line="240" w:lineRule="auto"/>
              <w:rPr>
                <w:rFonts w:ascii="Times New Roman" w:hAnsi="Times New Roman" w:cs="Times New Roman"/>
                <w:bCs/>
                <w:sz w:val="24"/>
                <w:szCs w:val="24"/>
              </w:rPr>
            </w:pPr>
            <w:r w:rsidRPr="00134639">
              <w:rPr>
                <w:rFonts w:ascii="Times New Roman" w:hAnsi="Times New Roman" w:cs="Times New Roman"/>
                <w:bCs/>
                <w:sz w:val="24"/>
                <w:szCs w:val="24"/>
              </w:rPr>
              <w:t>Odporúčaniu komisie o uvedenie stručného zhodnotenia k zavedeniu daňového bonusu na hypotéky bolo vyhovené a doložka bola dopracovaná.</w:t>
            </w:r>
          </w:p>
          <w:p w:rsidR="00134639" w:rsidRPr="00134639" w:rsidP="002E4361">
            <w:pPr>
              <w:tabs>
                <w:tab w:val="center" w:pos="6379"/>
              </w:tabs>
              <w:bidi w:val="0"/>
              <w:spacing w:after="0" w:line="240" w:lineRule="auto"/>
              <w:ind w:right="-2"/>
              <w:jc w:val="both"/>
              <w:rPr>
                <w:rFonts w:ascii="Times New Roman" w:hAnsi="Times New Roman" w:cs="Times New Roman"/>
                <w:bCs/>
                <w:sz w:val="24"/>
                <w:szCs w:val="24"/>
              </w:rPr>
            </w:pPr>
          </w:p>
          <w:p w:rsidR="00134639" w:rsidRPr="00134639" w:rsidP="002E4361">
            <w:pPr>
              <w:bidi w:val="0"/>
              <w:spacing w:after="0" w:line="240" w:lineRule="auto"/>
              <w:rPr>
                <w:rFonts w:ascii="Times New Roman" w:hAnsi="Times New Roman" w:cs="Times New Roman"/>
                <w:b/>
                <w:bCs/>
                <w:sz w:val="24"/>
                <w:szCs w:val="24"/>
              </w:rPr>
            </w:pPr>
            <w:r w:rsidRPr="00134639">
              <w:rPr>
                <w:rFonts w:ascii="Times New Roman" w:hAnsi="Times New Roman" w:cs="Times New Roman"/>
                <w:b/>
                <w:bCs/>
                <w:sz w:val="24"/>
                <w:szCs w:val="24"/>
              </w:rPr>
              <w:t>K analýze vplyvov na podnikateľské prostredie</w:t>
            </w:r>
          </w:p>
          <w:p w:rsidR="00134639" w:rsidRPr="00134639" w:rsidP="002E4361">
            <w:pPr>
              <w:bidi w:val="0"/>
              <w:spacing w:after="0" w:line="240" w:lineRule="auto"/>
              <w:jc w:val="both"/>
              <w:rPr>
                <w:rFonts w:ascii="Times New Roman" w:hAnsi="Times New Roman" w:cs="Times New Roman"/>
                <w:bCs/>
                <w:sz w:val="24"/>
                <w:szCs w:val="24"/>
              </w:rPr>
            </w:pPr>
            <w:r w:rsidRPr="00134639">
              <w:rPr>
                <w:rFonts w:ascii="Times New Roman" w:hAnsi="Times New Roman" w:cs="Times New Roman"/>
                <w:bCs/>
                <w:sz w:val="24"/>
                <w:szCs w:val="24"/>
              </w:rPr>
              <w:t>V zmysle uplatnených pripomienok komisie bola analýza vplyvov na podnikateľské prostredie upravená. Pozitívny vplyv na podnikateľské prostredie v súvislosti so zmenou vo výpočte odpočtu nákladov na výskum a vývoj je súčasťou vyčísleného úhrnného vplyvu uvedeného v časti 3.3.1.</w:t>
            </w:r>
          </w:p>
          <w:p w:rsidR="00134639" w:rsidRPr="00134639" w:rsidP="002E4361">
            <w:pPr>
              <w:bidi w:val="0"/>
              <w:spacing w:after="0" w:line="240" w:lineRule="auto"/>
              <w:jc w:val="both"/>
              <w:rPr>
                <w:rFonts w:ascii="Times New Roman" w:hAnsi="Times New Roman" w:cs="Times New Roman"/>
                <w:bCs/>
                <w:sz w:val="24"/>
                <w:szCs w:val="24"/>
              </w:rPr>
            </w:pPr>
          </w:p>
          <w:p w:rsidR="00134639" w:rsidRPr="00134639" w:rsidP="002E4361">
            <w:pPr>
              <w:bidi w:val="0"/>
              <w:spacing w:after="0" w:line="240" w:lineRule="auto"/>
              <w:jc w:val="both"/>
              <w:rPr>
                <w:rFonts w:ascii="Times New Roman" w:hAnsi="Times New Roman" w:cs="Times New Roman"/>
                <w:b/>
                <w:bCs/>
                <w:sz w:val="24"/>
                <w:szCs w:val="24"/>
              </w:rPr>
            </w:pPr>
            <w:r w:rsidRPr="00134639">
              <w:rPr>
                <w:rFonts w:ascii="Times New Roman" w:hAnsi="Times New Roman" w:cs="Times New Roman"/>
                <w:b/>
                <w:bCs/>
                <w:sz w:val="24"/>
                <w:szCs w:val="24"/>
              </w:rPr>
              <w:t>K analýze sociálnych vplyvov</w:t>
            </w:r>
          </w:p>
          <w:p w:rsidR="00134639" w:rsidRPr="00134639" w:rsidP="002E4361">
            <w:pPr>
              <w:bidi w:val="0"/>
              <w:spacing w:after="0" w:line="240" w:lineRule="auto"/>
              <w:jc w:val="both"/>
              <w:rPr>
                <w:rFonts w:ascii="Times New Roman" w:hAnsi="Times New Roman" w:cs="Times New Roman"/>
                <w:bCs/>
                <w:sz w:val="24"/>
                <w:szCs w:val="24"/>
              </w:rPr>
            </w:pPr>
            <w:r w:rsidRPr="00134639">
              <w:rPr>
                <w:rFonts w:ascii="Times New Roman" w:hAnsi="Times New Roman" w:cs="Times New Roman"/>
                <w:bCs/>
                <w:sz w:val="24"/>
                <w:szCs w:val="24"/>
              </w:rPr>
              <w:t xml:space="preserve">K vzneseniu pripomienky týkajúce sa doplnenia analýzy sociálnych vplyvov je potrebné uviesť, že z opatrení uvedených v návrhu zákona bude mať vplyv na hospodárenie domácnosti iba zavedenie nezdaniteľnej časti základu dane súvisiaca s kúpeľnou starostlivosťou. Zavedením daňového bonusu na zaplatené úroky pri úveroch na bývanie pre mladých sa nahrádza doteraz platný systém podpory hypotekárnych úverov pre mladých.  Zmenou systému poskytovania zvýhodnenia na zaplatené úroky nedochádza k zmene sociálneho vplyvu.   </w:t>
            </w:r>
          </w:p>
          <w:p w:rsidR="00134639" w:rsidRPr="00134639" w:rsidP="002E4361">
            <w:pPr>
              <w:bidi w:val="0"/>
              <w:spacing w:after="0" w:line="240" w:lineRule="auto"/>
              <w:rPr>
                <w:rFonts w:ascii="Times New Roman" w:hAnsi="Times New Roman" w:cs="Times New Roman"/>
                <w:b/>
                <w:bCs/>
                <w:sz w:val="24"/>
                <w:szCs w:val="24"/>
              </w:rPr>
            </w:pPr>
          </w:p>
          <w:p w:rsidR="00134639" w:rsidRPr="00134639" w:rsidP="002E4361">
            <w:pPr>
              <w:tabs>
                <w:tab w:val="center" w:pos="6379"/>
              </w:tabs>
              <w:bidi w:val="0"/>
              <w:spacing w:after="0" w:line="240" w:lineRule="auto"/>
              <w:ind w:right="-2"/>
              <w:jc w:val="both"/>
              <w:rPr>
                <w:rFonts w:ascii="Times New Roman" w:hAnsi="Times New Roman" w:cs="Times New Roman"/>
                <w:bCs/>
                <w:sz w:val="24"/>
                <w:szCs w:val="24"/>
              </w:rPr>
            </w:pPr>
            <w:r w:rsidRPr="00134639">
              <w:rPr>
                <w:rFonts w:ascii="Times New Roman" w:hAnsi="Times New Roman" w:cs="Times New Roman"/>
                <w:b/>
                <w:i/>
                <w:sz w:val="24"/>
                <w:szCs w:val="24"/>
              </w:rPr>
              <w:t>Nesúhlasné stanovisko komisie neznamená zastavenie ďalšieho schvaľovacieho procesu.</w:t>
            </w:r>
          </w:p>
        </w:tc>
      </w:tr>
    </w:tbl>
    <w:p w:rsidR="00134639" w:rsidRPr="00A82D40" w:rsidP="00053AFA">
      <w:pPr>
        <w:bidi w:val="0"/>
        <w:spacing w:after="0" w:line="240" w:lineRule="auto"/>
        <w:jc w:val="both"/>
        <w:rPr>
          <w:rFonts w:ascii="Times New Roman" w:hAnsi="Times New Roman" w:cs="Times New Roman"/>
          <w:sz w:val="24"/>
          <w:szCs w:val="24"/>
        </w:rPr>
      </w:pPr>
    </w:p>
    <w:p w:rsidR="00E008FB"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RPr="007D5748" w:rsidP="002E4361">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Analýza vplyvov na rozpočet verejnej správy,</w:t>
      </w:r>
    </w:p>
    <w:p w:rsidR="002E4361" w:rsidRPr="007D5748" w:rsidP="002E4361">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na zamestnanosť vo verejnej správe a financovanie návrhu</w:t>
      </w:r>
    </w:p>
    <w:p w:rsidR="002E4361" w:rsidRPr="00212894" w:rsidP="002E4361">
      <w:pPr>
        <w:bidi w:val="0"/>
        <w:spacing w:after="0" w:line="240" w:lineRule="auto"/>
        <w:jc w:val="right"/>
        <w:rPr>
          <w:rFonts w:ascii="Times New Roman" w:hAnsi="Times New Roman" w:cs="Times New Roman"/>
          <w:b/>
          <w:bCs/>
          <w:sz w:val="24"/>
          <w:szCs w:val="24"/>
          <w:lang w:eastAsia="sk-SK"/>
        </w:rPr>
      </w:pPr>
    </w:p>
    <w:p w:rsidR="002E4361" w:rsidRPr="00212894" w:rsidP="002E4361">
      <w:pPr>
        <w:bidi w:val="0"/>
        <w:spacing w:after="0" w:line="240" w:lineRule="auto"/>
        <w:rPr>
          <w:rFonts w:ascii="Times New Roman" w:hAnsi="Times New Roman" w:cs="Times New Roman"/>
          <w:b/>
          <w:bCs/>
          <w:sz w:val="24"/>
          <w:szCs w:val="24"/>
          <w:lang w:eastAsia="sk-SK"/>
        </w:rPr>
      </w:pPr>
      <w:r w:rsidRPr="00212894">
        <w:rPr>
          <w:rFonts w:ascii="Times New Roman" w:hAnsi="Times New Roman" w:cs="Times New Roman"/>
          <w:b/>
          <w:bCs/>
          <w:sz w:val="24"/>
          <w:szCs w:val="24"/>
          <w:lang w:eastAsia="sk-SK"/>
        </w:rPr>
        <w:t>2.1 Zhrnutie vplyvov na rozpočet verejnej správy v návrhu</w:t>
      </w:r>
    </w:p>
    <w:p w:rsidR="002E4361" w:rsidP="002E4361">
      <w:pPr>
        <w:bidi w:val="0"/>
        <w:spacing w:after="0" w:line="240" w:lineRule="auto"/>
        <w:jc w:val="right"/>
        <w:rPr>
          <w:rFonts w:ascii="Times New Roman" w:hAnsi="Times New Roman" w:cs="Times New Roman"/>
          <w:sz w:val="20"/>
          <w:szCs w:val="20"/>
          <w:lang w:eastAsia="sk-SK"/>
        </w:rPr>
      </w:pPr>
    </w:p>
    <w:p w:rsidR="002E4361" w:rsidRPr="007D5748" w:rsidP="002E4361">
      <w:pPr>
        <w:bidi w:val="0"/>
        <w:spacing w:after="0" w:line="240" w:lineRule="auto"/>
        <w:jc w:val="right"/>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964"/>
        <w:gridCol w:w="1276"/>
        <w:gridCol w:w="1559"/>
        <w:gridCol w:w="1418"/>
        <w:gridCol w:w="1512"/>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bookmarkStart w:id="0" w:name="OLE_LINK1"/>
            <w:r w:rsidRPr="007D5748">
              <w:rPr>
                <w:rFonts w:ascii="Times New Roman" w:hAnsi="Times New Roman" w:cs="Times New Roman"/>
                <w:b/>
                <w:bCs/>
                <w:sz w:val="24"/>
                <w:szCs w:val="24"/>
                <w:lang w:eastAsia="sk-SK"/>
              </w:rPr>
              <w:t>Vplyvy na rozpočet verejnej správy</w:t>
            </w:r>
          </w:p>
        </w:tc>
        <w:tc>
          <w:tcPr>
            <w:tcW w:w="576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396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27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5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Príjmy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-11 937 821</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-19 014 502</w:t>
            </w:r>
          </w:p>
        </w:tc>
        <w:tc>
          <w:tcPr>
            <w:tcW w:w="1512"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-28 499 784</w:t>
            </w:r>
          </w:p>
        </w:tc>
      </w:tr>
      <w:tr>
        <w:tblPrEx>
          <w:tblW w:w="9729" w:type="dxa"/>
          <w:jc w:val="center"/>
          <w:tblCellMar>
            <w:left w:w="70" w:type="dxa"/>
            <w:right w:w="70" w:type="dxa"/>
          </w:tblCellMar>
        </w:tblPrEx>
        <w:trPr>
          <w:trHeight w:val="132"/>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top"/>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 -11 937 821</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-13 591 352</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-15 961 311</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Všeobecná pokladničná správa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top"/>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 -11 937 821</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-13 591 352</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-15 961 311</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ind w:left="259"/>
              <w:rPr>
                <w:rFonts w:ascii="Times New Roman" w:hAnsi="Times New Roman" w:cs="Times New Roman"/>
                <w:bCs/>
                <w:i/>
                <w:iCs/>
                <w:sz w:val="24"/>
                <w:szCs w:val="24"/>
                <w:lang w:eastAsia="sk-SK"/>
              </w:rPr>
            </w:pPr>
            <w:r>
              <w:rPr>
                <w:rFonts w:ascii="Times New Roman" w:hAnsi="Times New Roman" w:cs="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ind w:left="259"/>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-3 796 204</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-8 776 931</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-1 626 945</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-3 761 542</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Výdavky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175 000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 -796 378</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-10 923 347</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-20 127 040</w:t>
            </w:r>
            <w:r w:rsidRPr="007D5748">
              <w:rPr>
                <w:rFonts w:ascii="Times New Roman" w:hAnsi="Times New Roman" w:cs="Times New Roman"/>
                <w:b/>
                <w:bCs/>
                <w:sz w:val="24"/>
                <w:szCs w:val="24"/>
                <w:lang w:eastAsia="sk-SK"/>
              </w:rPr>
              <w:t xml:space="preserve">  </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8E6776" w:rsidP="002E4361">
            <w:pPr>
              <w:bidi w:val="0"/>
              <w:spacing w:after="0" w:line="240" w:lineRule="auto"/>
              <w:rPr>
                <w:rFonts w:ascii="Times New Roman" w:hAnsi="Times New Roman" w:cs="Times New Roman"/>
                <w:sz w:val="24"/>
                <w:szCs w:val="24"/>
                <w:lang w:eastAsia="sk-SK"/>
              </w:rPr>
            </w:pPr>
            <w:r w:rsidRPr="008E6776">
              <w:rPr>
                <w:rFonts w:ascii="Times New Roman" w:hAnsi="Times New Roman" w:cs="Times New Roman"/>
                <w:sz w:val="24"/>
                <w:szCs w:val="24"/>
                <w:lang w:eastAsia="sk-SK"/>
              </w:rPr>
              <w:t xml:space="preserve">kapitola MF SR </w:t>
            </w:r>
            <w:r>
              <w:rPr>
                <w:rFonts w:ascii="Times New Roman" w:hAnsi="Times New Roman" w:cs="Times New Roman"/>
                <w:sz w:val="24"/>
                <w:szCs w:val="24"/>
                <w:lang w:eastAsia="sk-SK"/>
              </w:rPr>
              <w:t>(</w:t>
            </w:r>
            <w:r w:rsidRPr="008E6776">
              <w:rPr>
                <w:rFonts w:ascii="Times New Roman" w:hAnsi="Times New Roman" w:cs="Times New Roman"/>
                <w:sz w:val="24"/>
                <w:szCs w:val="24"/>
                <w:lang w:eastAsia="sk-SK"/>
              </w:rPr>
              <w:t>organizácia FR SR</w:t>
            </w:r>
            <w:r>
              <w:rPr>
                <w:rFonts w:ascii="Times New Roman" w:hAnsi="Times New Roman" w:cs="Times New Roman"/>
                <w:sz w:val="24"/>
                <w:szCs w:val="24"/>
                <w:lang w:eastAsia="sk-SK"/>
              </w:rPr>
              <w:t>)</w:t>
            </w:r>
            <w:r w:rsidRPr="008E6776">
              <w:rPr>
                <w:rFonts w:ascii="Times New Roman" w:hAnsi="Times New Roman" w:cs="Times New Roman"/>
                <w:sz w:val="24"/>
                <w:szCs w:val="24"/>
                <w:lang w:eastAsia="sk-SK"/>
              </w:rPr>
              <w:t>:</w:t>
            </w:r>
          </w:p>
          <w:p w:rsidR="002E4361" w:rsidRPr="007D5748" w:rsidP="002E4361">
            <w:pPr>
              <w:bidi w:val="0"/>
              <w:spacing w:after="0" w:line="240" w:lineRule="auto"/>
              <w:rPr>
                <w:rFonts w:ascii="Times New Roman" w:hAnsi="Times New Roman" w:cs="Times New Roman"/>
                <w:sz w:val="24"/>
                <w:szCs w:val="24"/>
                <w:lang w:eastAsia="sk-SK"/>
              </w:rPr>
            </w:pPr>
            <w:r w:rsidRPr="008E6776">
              <w:rPr>
                <w:rFonts w:ascii="Times New Roman" w:hAnsi="Times New Roman" w:cs="Times New Roman"/>
                <w:sz w:val="24"/>
                <w:szCs w:val="24"/>
                <w:lang w:eastAsia="sk-SK"/>
              </w:rPr>
              <w:t xml:space="preserve">medzirezortný program </w:t>
            </w:r>
            <w:r>
              <w:rPr>
                <w:rFonts w:ascii="Times New Roman" w:hAnsi="Times New Roman" w:cs="Times New Roman"/>
                <w:sz w:val="24"/>
                <w:szCs w:val="24"/>
                <w:lang w:eastAsia="sk-SK"/>
              </w:rPr>
              <w:t>072 Výber daní a cla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5E6012" w:rsidP="002E4361">
            <w:pPr>
              <w:bidi w:val="0"/>
              <w:spacing w:after="0" w:line="240" w:lineRule="auto"/>
              <w:jc w:val="right"/>
              <w:rPr>
                <w:rFonts w:ascii="Times New Roman" w:hAnsi="Times New Roman" w:cs="Times New Roman"/>
                <w:b/>
                <w:sz w:val="24"/>
                <w:szCs w:val="24"/>
                <w:lang w:eastAsia="sk-SK"/>
              </w:rPr>
            </w:pPr>
            <w:r w:rsidRPr="005E6012">
              <w:rPr>
                <w:rFonts w:ascii="Times New Roman" w:hAnsi="Times New Roman" w:cs="Times New Roman"/>
                <w:b/>
                <w:sz w:val="24"/>
                <w:szCs w:val="24"/>
                <w:lang w:eastAsia="sk-SK"/>
              </w:rPr>
              <w:t>175 000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5E6012" w:rsidP="002E4361">
            <w:pPr>
              <w:bidi w:val="0"/>
              <w:spacing w:after="0" w:line="240" w:lineRule="auto"/>
              <w:jc w:val="right"/>
              <w:rPr>
                <w:rFonts w:ascii="Times New Roman" w:hAnsi="Times New Roman" w:cs="Times New Roman"/>
                <w:b/>
                <w:sz w:val="24"/>
                <w:szCs w:val="24"/>
                <w:lang w:eastAsia="sk-SK"/>
              </w:rPr>
            </w:pPr>
            <w:r w:rsidRPr="005E6012">
              <w:rPr>
                <w:rFonts w:ascii="Times New Roman" w:hAnsi="Times New Roman" w:cs="Times New Roman"/>
                <w:b/>
                <w:sz w:val="24"/>
                <w:szCs w:val="24"/>
                <w:lang w:eastAsia="sk-SK"/>
              </w:rPr>
              <w:t>550 000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5E6012" w:rsidP="002E4361">
            <w:pPr>
              <w:bidi w:val="0"/>
              <w:spacing w:after="0" w:line="240" w:lineRule="auto"/>
              <w:jc w:val="right"/>
              <w:rPr>
                <w:rFonts w:ascii="Times New Roman" w:hAnsi="Times New Roman" w:cs="Times New Roman"/>
                <w:b/>
                <w:sz w:val="24"/>
                <w:szCs w:val="24"/>
                <w:lang w:eastAsia="sk-SK"/>
              </w:rPr>
            </w:pPr>
            <w:r w:rsidRPr="005E6012">
              <w:rPr>
                <w:rFonts w:ascii="Times New Roman" w:hAnsi="Times New Roman" w:cs="Times New Roman"/>
                <w:b/>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5E6012" w:rsidP="002E4361">
            <w:pPr>
              <w:bidi w:val="0"/>
              <w:spacing w:after="0" w:line="240" w:lineRule="auto"/>
              <w:jc w:val="right"/>
              <w:rPr>
                <w:rFonts w:ascii="Times New Roman" w:hAnsi="Times New Roman" w:cs="Times New Roman"/>
                <w:b/>
                <w:sz w:val="24"/>
                <w:szCs w:val="24"/>
                <w:lang w:eastAsia="sk-SK"/>
              </w:rPr>
            </w:pPr>
            <w:r w:rsidRPr="005E6012">
              <w:rPr>
                <w:rFonts w:ascii="Times New Roman" w:hAnsi="Times New Roman" w:cs="Times New Roman"/>
                <w:b/>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P="002E4361">
            <w:pPr>
              <w:bidi w:val="0"/>
              <w:spacing w:after="0" w:line="240" w:lineRule="auto"/>
              <w:rPr>
                <w:rFonts w:ascii="Times New Roman" w:hAnsi="Times New Roman" w:cs="Times New Roman"/>
                <w:sz w:val="24"/>
                <w:szCs w:val="24"/>
                <w:lang w:eastAsia="sk-SK"/>
              </w:rPr>
            </w:pPr>
            <w:r w:rsidRPr="008E6776">
              <w:rPr>
                <w:rFonts w:ascii="Times New Roman" w:hAnsi="Times New Roman" w:cs="Times New Roman"/>
                <w:sz w:val="24"/>
                <w:szCs w:val="24"/>
                <w:lang w:eastAsia="sk-SK"/>
              </w:rPr>
              <w:t>kapitola M</w:t>
            </w:r>
            <w:r>
              <w:rPr>
                <w:rFonts w:ascii="Times New Roman" w:hAnsi="Times New Roman" w:cs="Times New Roman"/>
                <w:sz w:val="24"/>
                <w:szCs w:val="24"/>
                <w:lang w:eastAsia="sk-SK"/>
              </w:rPr>
              <w:t>DaV SR</w:t>
            </w:r>
            <w:r w:rsidRPr="008E6776">
              <w:rPr>
                <w:rFonts w:ascii="Times New Roman" w:hAnsi="Times New Roman" w:cs="Times New Roman"/>
                <w:sz w:val="24"/>
                <w:szCs w:val="24"/>
                <w:lang w:eastAsia="sk-SK"/>
              </w:rPr>
              <w:t xml:space="preserve"> </w:t>
            </w:r>
          </w:p>
          <w:p w:rsidR="002E4361" w:rsidP="002E4361">
            <w:pPr>
              <w:bidi w:val="0"/>
              <w:spacing w:after="0" w:line="240" w:lineRule="auto"/>
              <w:rPr>
                <w:rFonts w:ascii="Times New Roman" w:hAnsi="Times New Roman" w:cs="Times New Roman"/>
                <w:sz w:val="24"/>
                <w:szCs w:val="24"/>
                <w:lang w:eastAsia="sk-SK"/>
              </w:rPr>
            </w:pPr>
            <w:r>
              <w:rPr>
                <w:rFonts w:ascii="Times New Roman" w:hAnsi="Times New Roman" w:cs="Times New Roman"/>
                <w:sz w:val="24"/>
                <w:szCs w:val="24"/>
                <w:lang w:eastAsia="sk-SK"/>
              </w:rPr>
              <w:t>program 01707 Štátny príspevok k hypotekárnym úverom</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b/>
                <w:bCs/>
                <w:sz w:val="24"/>
                <w:szCs w:val="24"/>
                <w:lang w:eastAsia="sk-SK"/>
              </w:rPr>
              <w:t>-1 346 378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b/>
                <w:bCs/>
                <w:sz w:val="24"/>
                <w:szCs w:val="24"/>
                <w:lang w:eastAsia="sk-SK"/>
              </w:rPr>
              <w:t>-10 923 347</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b/>
                <w:bCs/>
                <w:sz w:val="24"/>
                <w:szCs w:val="24"/>
                <w:lang w:eastAsia="sk-SK"/>
              </w:rPr>
              <w:t>-20 127 040</w:t>
            </w:r>
            <w:r w:rsidRPr="007D5748">
              <w:rPr>
                <w:rFonts w:ascii="Times New Roman" w:hAnsi="Times New Roman" w:cs="Times New Roman"/>
                <w:b/>
                <w:bCs/>
                <w:sz w:val="24"/>
                <w:szCs w:val="24"/>
                <w:lang w:eastAsia="sk-SK"/>
              </w:rPr>
              <w:t xml:space="preserve">  </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175 000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 -796 378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-10 923 347</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-20 127 040</w:t>
            </w:r>
            <w:r w:rsidRPr="007D5748">
              <w:rPr>
                <w:rFonts w:ascii="Times New Roman" w:hAnsi="Times New Roman" w:cs="Times New Roman"/>
                <w:b/>
                <w:bCs/>
                <w:sz w:val="24"/>
                <w:szCs w:val="24"/>
                <w:lang w:eastAsia="sk-SK"/>
              </w:rPr>
              <w:t xml:space="preserve">  </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spolufinancovanie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Vplyv na počet zamestnancov </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Vplyv na mzdové výdavky</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Financovanie zabezpečené v rozpočte</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175 000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550 000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8E6776" w:rsidP="002E4361">
            <w:pPr>
              <w:bidi w:val="0"/>
              <w:spacing w:after="0" w:line="240" w:lineRule="auto"/>
              <w:rPr>
                <w:rFonts w:ascii="Times New Roman" w:hAnsi="Times New Roman" w:cs="Times New Roman"/>
                <w:sz w:val="24"/>
                <w:szCs w:val="24"/>
                <w:lang w:eastAsia="sk-SK"/>
              </w:rPr>
            </w:pPr>
            <w:r w:rsidRPr="008E6776">
              <w:rPr>
                <w:rFonts w:ascii="Times New Roman" w:hAnsi="Times New Roman" w:cs="Times New Roman"/>
                <w:sz w:val="24"/>
                <w:szCs w:val="24"/>
                <w:lang w:eastAsia="sk-SK"/>
              </w:rPr>
              <w:t xml:space="preserve">kapitola MF SR </w:t>
            </w:r>
            <w:r>
              <w:rPr>
                <w:rFonts w:ascii="Times New Roman" w:hAnsi="Times New Roman" w:cs="Times New Roman"/>
                <w:sz w:val="24"/>
                <w:szCs w:val="24"/>
                <w:lang w:eastAsia="sk-SK"/>
              </w:rPr>
              <w:t>(</w:t>
            </w:r>
            <w:r w:rsidRPr="008E6776">
              <w:rPr>
                <w:rFonts w:ascii="Times New Roman" w:hAnsi="Times New Roman" w:cs="Times New Roman"/>
                <w:sz w:val="24"/>
                <w:szCs w:val="24"/>
                <w:lang w:eastAsia="sk-SK"/>
              </w:rPr>
              <w:t>organizácia FR SR</w:t>
            </w:r>
            <w:r>
              <w:rPr>
                <w:rFonts w:ascii="Times New Roman" w:hAnsi="Times New Roman" w:cs="Times New Roman"/>
                <w:sz w:val="24"/>
                <w:szCs w:val="24"/>
                <w:lang w:eastAsia="sk-SK"/>
              </w:rPr>
              <w:t>)</w:t>
            </w:r>
            <w:r w:rsidRPr="008E6776">
              <w:rPr>
                <w:rFonts w:ascii="Times New Roman" w:hAnsi="Times New Roman" w:cs="Times New Roman"/>
                <w:sz w:val="24"/>
                <w:szCs w:val="24"/>
                <w:lang w:eastAsia="sk-SK"/>
              </w:rPr>
              <w:t>:</w:t>
            </w:r>
          </w:p>
          <w:p w:rsidR="002E4361" w:rsidRPr="007D5748" w:rsidP="002E4361">
            <w:pPr>
              <w:bidi w:val="0"/>
              <w:spacing w:after="0" w:line="240" w:lineRule="auto"/>
              <w:rPr>
                <w:rFonts w:ascii="Times New Roman" w:hAnsi="Times New Roman" w:cs="Times New Roman"/>
                <w:sz w:val="24"/>
                <w:szCs w:val="24"/>
                <w:lang w:eastAsia="sk-SK"/>
              </w:rPr>
            </w:pPr>
            <w:r w:rsidRPr="008E6776">
              <w:rPr>
                <w:rFonts w:ascii="Times New Roman" w:hAnsi="Times New Roman" w:cs="Times New Roman"/>
                <w:sz w:val="24"/>
                <w:szCs w:val="24"/>
                <w:lang w:eastAsia="sk-SK"/>
              </w:rPr>
              <w:t xml:space="preserve">medzirezortný program </w:t>
            </w:r>
            <w:r>
              <w:rPr>
                <w:rFonts w:ascii="Times New Roman" w:hAnsi="Times New Roman" w:cs="Times New Roman"/>
                <w:sz w:val="24"/>
                <w:szCs w:val="24"/>
                <w:lang w:eastAsia="sk-SK"/>
              </w:rPr>
              <w:t>072 Výber daní a cla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sz w:val="24"/>
                <w:szCs w:val="24"/>
                <w:lang w:eastAsia="sk-SK"/>
              </w:rPr>
              <w:t>175 000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sz w:val="24"/>
                <w:szCs w:val="24"/>
                <w:lang w:eastAsia="sk-SK"/>
              </w:rPr>
              <w:t>550 000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2E4361" w:rsidRPr="007D5748" w:rsidP="002E4361">
            <w:pPr>
              <w:bidi w:val="0"/>
              <w:spacing w:after="0" w:line="240" w:lineRule="auto"/>
              <w:jc w:val="right"/>
              <w:rPr>
                <w:rFonts w:ascii="Times New Roman" w:hAnsi="Times New Roman" w:cs="Times New Roman"/>
                <w:sz w:val="24"/>
                <w:szCs w:val="24"/>
                <w:lang w:eastAsia="sk-SK"/>
              </w:rPr>
            </w:pPr>
            <w:r>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Iné ako rozpočtové zdroje</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Rozpočtovo nekrytý vplyv / úspora</w:t>
            </w:r>
          </w:p>
        </w:tc>
        <w:tc>
          <w:tcPr>
            <w:tcW w:w="127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E4361" w:rsidRPr="007D5748" w:rsidP="002E4361">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r>
    </w:tbl>
    <w:p w:rsidR="002E4361" w:rsidP="002E4361">
      <w:pPr>
        <w:bidi w:val="0"/>
        <w:rPr>
          <w:rFonts w:ascii="Times New Roman" w:hAnsi="Times New Roman" w:cs="Times New Roman"/>
          <w:b/>
          <w:bCs/>
          <w:sz w:val="24"/>
          <w:szCs w:val="24"/>
          <w:lang w:eastAsia="sk-SK"/>
        </w:rPr>
      </w:pPr>
      <w:bookmarkEnd w:id="0"/>
    </w:p>
    <w:p w:rsidR="002E4361" w:rsidRPr="007D5748" w:rsidP="002E4361">
      <w:pPr>
        <w:bidi w:val="0"/>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2E4361" w:rsidP="002E4361">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Negatívny vplyv vyplývajúci z nákladov na implementáciu návrhu zákona v oblasti informačného systému Finančnej správy SR bude rozpočtovo zabezpečený v rámci limitov výdavkov dotknutej kapitoly na príslušný rozpočtový rok.</w:t>
      </w:r>
    </w:p>
    <w:p w:rsidR="002E4361" w:rsidP="002E4361">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sidRPr="000E1143">
        <w:rPr>
          <w:rFonts w:ascii="Times New Roman" w:hAnsi="Times New Roman" w:cs="Times New Roman"/>
          <w:bCs/>
          <w:sz w:val="24"/>
          <w:szCs w:val="24"/>
          <w:lang w:eastAsia="sk-SK"/>
        </w:rPr>
        <w:t xml:space="preserve">Úbytok príjmov </w:t>
      </w:r>
      <w:r>
        <w:rPr>
          <w:rFonts w:ascii="Times New Roman" w:hAnsi="Times New Roman" w:cs="Times New Roman"/>
          <w:bCs/>
          <w:sz w:val="24"/>
          <w:szCs w:val="24"/>
          <w:lang w:eastAsia="sk-SK"/>
        </w:rPr>
        <w:t>verejných financií bude finančne krytý očakávaným zvýšeným výberom ostatných druhov daní.</w:t>
      </w:r>
      <w:r w:rsidRPr="000E1143">
        <w:rPr>
          <w:rFonts w:ascii="Times New Roman" w:hAnsi="Times New Roman" w:cs="Times New Roman"/>
          <w:bCs/>
          <w:sz w:val="24"/>
          <w:szCs w:val="24"/>
          <w:lang w:eastAsia="sk-SK"/>
        </w:rPr>
        <w:t xml:space="preserve"> </w:t>
      </w:r>
    </w:p>
    <w:p w:rsidR="002E4361" w:rsidRPr="007D5748" w:rsidP="002E436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cs="Times New Roman"/>
          <w:b/>
          <w:bCs/>
          <w:sz w:val="24"/>
          <w:szCs w:val="24"/>
          <w:lang w:eastAsia="sk-SK"/>
        </w:rPr>
      </w:pPr>
      <w:r w:rsidRPr="00752C01">
        <w:rPr>
          <w:rFonts w:ascii="Times New Roman" w:hAnsi="Times New Roman" w:cs="Times New Roman"/>
          <w:bCs/>
          <w:sz w:val="24"/>
          <w:szCs w:val="24"/>
          <w:lang w:eastAsia="sk-SK"/>
        </w:rPr>
        <w:t>Úbytok príjmov obcí a vyšších územných celkov bude finančne krytý očakávaným zvýšeným výberom dane z príjmov fyzických osôb.</w:t>
      </w:r>
    </w:p>
    <w:p w:rsidR="002E4361" w:rsidP="002E4361">
      <w:pPr>
        <w:bidi w:val="0"/>
        <w:spacing w:after="0" w:line="240" w:lineRule="auto"/>
        <w:rPr>
          <w:rFonts w:ascii="Times New Roman" w:hAnsi="Times New Roman" w:cs="Times New Roman"/>
          <w:b/>
          <w:bCs/>
          <w:sz w:val="24"/>
          <w:szCs w:val="24"/>
          <w:lang w:eastAsia="sk-SK"/>
        </w:rPr>
      </w:pPr>
    </w:p>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 Popis a charakteristika návrhu</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2.2.1. Popis návrhu:</w:t>
      </w:r>
    </w:p>
    <w:p w:rsidR="002E4361" w:rsidRPr="007D5748" w:rsidP="002E4361">
      <w:pPr>
        <w:bidi w:val="0"/>
        <w:spacing w:after="0" w:line="240" w:lineRule="auto"/>
        <w:jc w:val="both"/>
        <w:rPr>
          <w:rFonts w:ascii="Times New Roman" w:hAnsi="Times New Roman" w:cs="Times New Roman"/>
          <w:b/>
          <w:bCs/>
          <w:sz w:val="24"/>
          <w:szCs w:val="24"/>
          <w:lang w:eastAsia="sk-SK"/>
        </w:rPr>
      </w:pPr>
    </w:p>
    <w:p w:rsidR="002E4361" w:rsidRPr="0051689A" w:rsidP="002E4361">
      <w:pPr>
        <w:bidi w:val="0"/>
        <w:spacing w:after="0" w:line="240" w:lineRule="auto"/>
        <w:ind w:firstLine="708"/>
        <w:jc w:val="both"/>
        <w:rPr>
          <w:rFonts w:ascii="Times New Roman" w:hAnsi="Times New Roman" w:cs="Times New Roman"/>
          <w:sz w:val="24"/>
          <w:szCs w:val="24"/>
          <w:lang w:eastAsia="sk-SK"/>
        </w:rPr>
      </w:pPr>
      <w:r w:rsidRPr="0051689A">
        <w:rPr>
          <w:rFonts w:ascii="Times New Roman" w:hAnsi="Times New Roman" w:cs="Times New Roman"/>
          <w:sz w:val="24"/>
          <w:szCs w:val="24"/>
          <w:lang w:eastAsia="sk-SK"/>
        </w:rPr>
        <w:t xml:space="preserve">Návrh zákona, ktorým sa mení a dopĺňa zákon č. 595/2003 Z. z. o dani z príjmov v znení neskorších </w:t>
      </w:r>
      <w:r w:rsidRPr="0051689A">
        <w:rPr>
          <w:rFonts w:ascii="Times New Roman" w:hAnsi="Times New Roman" w:cs="Times New Roman"/>
          <w:sz w:val="24"/>
          <w:szCs w:val="24"/>
        </w:rPr>
        <w:t>a ktorým sa mení zákon č. 563/2009 Z.</w:t>
      </w:r>
      <w:r>
        <w:rPr>
          <w:rFonts w:ascii="Times New Roman" w:hAnsi="Times New Roman" w:cs="Times New Roman"/>
          <w:sz w:val="24"/>
          <w:szCs w:val="24"/>
        </w:rPr>
        <w:t xml:space="preserve"> </w:t>
      </w:r>
      <w:r w:rsidRPr="0051689A">
        <w:rPr>
          <w:rFonts w:ascii="Times New Roman" w:hAnsi="Times New Roman" w:cs="Times New Roman"/>
          <w:sz w:val="24"/>
          <w:szCs w:val="24"/>
        </w:rPr>
        <w:t>z. o správe daní (daňový poriadok)</w:t>
      </w:r>
      <w:r>
        <w:rPr>
          <w:rFonts w:ascii="Times New Roman" w:hAnsi="Times New Roman" w:cs="Times New Roman"/>
          <w:sz w:val="24"/>
          <w:szCs w:val="24"/>
        </w:rPr>
        <w:t xml:space="preserve"> </w:t>
      </w:r>
      <w:r w:rsidRPr="00373ECE">
        <w:rPr>
          <w:rFonts w:ascii="Times New Roman" w:hAnsi="Times New Roman" w:cs="Times New Roman"/>
          <w:bCs/>
          <w:sz w:val="24"/>
          <w:szCs w:val="24"/>
        </w:rPr>
        <w:t>a o zmene a doplnení niektorých zákonov</w:t>
      </w:r>
      <w:r w:rsidRPr="0051689A">
        <w:rPr>
          <w:rFonts w:ascii="Times New Roman" w:hAnsi="Times New Roman" w:cs="Times New Roman"/>
          <w:sz w:val="24"/>
          <w:szCs w:val="24"/>
        </w:rPr>
        <w:t xml:space="preserve"> v znení neskorších predpisov</w:t>
      </w:r>
      <w:r>
        <w:rPr>
          <w:rFonts w:ascii="Times New Roman" w:hAnsi="Times New Roman" w:cs="Times New Roman"/>
          <w:sz w:val="24"/>
          <w:szCs w:val="24"/>
        </w:rPr>
        <w:t xml:space="preserve"> </w:t>
      </w:r>
      <w:r w:rsidRPr="0051689A">
        <w:rPr>
          <w:rFonts w:ascii="Times New Roman" w:hAnsi="Times New Roman" w:cs="Times New Roman"/>
          <w:sz w:val="24"/>
          <w:szCs w:val="24"/>
          <w:lang w:eastAsia="sk-SK"/>
        </w:rPr>
        <w:t>menia a dopĺňajú niektoré zákony.</w:t>
      </w:r>
    </w:p>
    <w:p w:rsidR="002E4361" w:rsidP="002E4361">
      <w:pPr>
        <w:bidi w:val="0"/>
        <w:spacing w:after="0" w:line="240" w:lineRule="auto"/>
        <w:ind w:firstLine="708"/>
        <w:jc w:val="both"/>
        <w:rPr>
          <w:rFonts w:ascii="Times New Roman" w:hAnsi="Times New Roman" w:cs="Times New Roman"/>
          <w:sz w:val="24"/>
          <w:szCs w:val="24"/>
          <w:lang w:eastAsia="sk-SK"/>
        </w:rPr>
      </w:pPr>
    </w:p>
    <w:p w:rsidR="002E4361" w:rsidP="002E4361">
      <w:pPr>
        <w:pStyle w:val="ListParagraph"/>
        <w:numPr>
          <w:numId w:val="6"/>
        </w:numPr>
        <w:bidi w:val="0"/>
        <w:jc w:val="both"/>
        <w:rPr>
          <w:rFonts w:ascii="Times New Roman" w:hAnsi="Times New Roman"/>
        </w:rPr>
      </w:pPr>
      <w:r>
        <w:rPr>
          <w:rFonts w:ascii="Times New Roman" w:hAnsi="Times New Roman"/>
        </w:rPr>
        <w:t>Zavedenie daňového bonusu na hypotéky</w:t>
      </w:r>
    </w:p>
    <w:p w:rsidR="002E4361" w:rsidP="002E4361">
      <w:pPr>
        <w:pStyle w:val="ListParagraph"/>
        <w:numPr>
          <w:numId w:val="6"/>
        </w:numPr>
        <w:bidi w:val="0"/>
        <w:jc w:val="both"/>
        <w:rPr>
          <w:rFonts w:ascii="Times New Roman" w:hAnsi="Times New Roman"/>
        </w:rPr>
      </w:pPr>
      <w:r>
        <w:rPr>
          <w:rFonts w:ascii="Times New Roman" w:hAnsi="Times New Roman"/>
        </w:rPr>
        <w:t>Z</w:t>
      </w:r>
      <w:r w:rsidRPr="000E1143">
        <w:rPr>
          <w:rFonts w:ascii="Times New Roman" w:hAnsi="Times New Roman"/>
        </w:rPr>
        <w:t xml:space="preserve">avedenie </w:t>
      </w:r>
      <w:r>
        <w:rPr>
          <w:rFonts w:ascii="Times New Roman" w:hAnsi="Times New Roman"/>
        </w:rPr>
        <w:t>nezdaniteľnej časti základu dane na kúpeľníctvo</w:t>
      </w:r>
    </w:p>
    <w:p w:rsidR="002E4361" w:rsidP="002E4361">
      <w:pPr>
        <w:pStyle w:val="ListParagraph"/>
        <w:numPr>
          <w:numId w:val="6"/>
        </w:numPr>
        <w:bidi w:val="0"/>
        <w:jc w:val="both"/>
        <w:rPr>
          <w:rFonts w:ascii="Times New Roman" w:hAnsi="Times New Roman"/>
        </w:rPr>
      </w:pPr>
      <w:r>
        <w:rPr>
          <w:rFonts w:ascii="Times New Roman" w:hAnsi="Times New Roman"/>
        </w:rPr>
        <w:t>Zavedenie samostatného odpisovania technického zhodnotenia a opráv na budovách kúpeľov</w:t>
      </w:r>
    </w:p>
    <w:p w:rsidR="002E4361" w:rsidP="002E4361">
      <w:pPr>
        <w:pStyle w:val="ListParagraph"/>
        <w:numPr>
          <w:numId w:val="6"/>
        </w:numPr>
        <w:bidi w:val="0"/>
        <w:jc w:val="both"/>
        <w:rPr>
          <w:rFonts w:ascii="Times New Roman" w:hAnsi="Times New Roman"/>
        </w:rPr>
      </w:pPr>
      <w:r>
        <w:rPr>
          <w:rFonts w:ascii="Times New Roman" w:hAnsi="Times New Roman"/>
        </w:rPr>
        <w:t>Zmena pri uplatňovaní superodpočtu výdavkov na vedu a výskum</w:t>
      </w: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2.2.2. Charakteristika návrhu:</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sz w:val="24"/>
          <w:szCs w:val="24"/>
          <w:bdr w:val="single" w:sz="4" w:space="0" w:color="auto"/>
          <w:lang w:eastAsia="sk-SK"/>
        </w:rPr>
        <w:t xml:space="preserve">  </w:t>
      </w:r>
      <w:r>
        <w:rPr>
          <w:rFonts w:ascii="Times New Roman" w:hAnsi="Times New Roman" w:cs="Times New Roman"/>
          <w:b/>
          <w:sz w:val="24"/>
          <w:szCs w:val="24"/>
          <w:bdr w:val="single" w:sz="4" w:space="0" w:color="auto"/>
          <w:lang w:eastAsia="sk-SK"/>
        </w:rPr>
        <w:t xml:space="preserve">  </w:t>
      </w:r>
      <w:r w:rsidRPr="007D5748">
        <w:rPr>
          <w:rFonts w:ascii="Times New Roman" w:hAnsi="Times New Roman" w:cs="Times New Roman"/>
          <w:b/>
          <w:sz w:val="24"/>
          <w:szCs w:val="24"/>
          <w:bdr w:val="single" w:sz="4" w:space="0" w:color="auto"/>
          <w:lang w:eastAsia="sk-SK"/>
        </w:rPr>
        <w:t xml:space="preserve">   </w:t>
      </w:r>
      <w:r w:rsidRPr="007D5748">
        <w:rPr>
          <w:rFonts w:ascii="Times New Roman" w:hAnsi="Times New Roman" w:cs="Times New Roman"/>
          <w:b/>
          <w:sz w:val="24"/>
          <w:szCs w:val="24"/>
          <w:lang w:eastAsia="sk-SK"/>
        </w:rPr>
        <w:t xml:space="preserve">  </w:t>
      </w:r>
      <w:r w:rsidRPr="007D5748">
        <w:rPr>
          <w:rFonts w:ascii="Times New Roman" w:hAnsi="Times New Roman" w:cs="Times New Roman"/>
          <w:sz w:val="24"/>
          <w:szCs w:val="24"/>
          <w:lang w:eastAsia="sk-SK"/>
        </w:rPr>
        <w:t>zmena sadzby</w:t>
      </w: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zmena v nároku</w:t>
      </w: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nová služba alebo nariadenie (alebo ich zrušenie)</w:t>
      </w: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kombinovaný návrh</w:t>
      </w: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x</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iné </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2.2.3. Predpoklady vývoja objemu aktivít:</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rPr>
          <w:rFonts w:ascii="Times New Roman" w:hAnsi="Times New Roman" w:cs="Times New Roman"/>
          <w:sz w:val="24"/>
          <w:szCs w:val="24"/>
          <w:lang w:eastAsia="sk-SK"/>
        </w:rPr>
      </w:pPr>
      <w:r>
        <w:rPr>
          <w:rFonts w:ascii="Times New Roman" w:hAnsi="Times New Roman" w:cs="Times New Roman"/>
          <w:sz w:val="24"/>
          <w:szCs w:val="24"/>
          <w:lang w:eastAsia="sk-SK"/>
        </w:rPr>
        <w:t>-</w:t>
      </w:r>
    </w:p>
    <w:p w:rsidR="002E4361" w:rsidRPr="007D5748" w:rsidP="002E4361">
      <w:pPr>
        <w:bidi w:val="0"/>
        <w:spacing w:after="0" w:line="240" w:lineRule="auto"/>
        <w:rPr>
          <w:rFonts w:ascii="Times New Roman" w:hAnsi="Times New Roman" w:cs="Times New Roman"/>
          <w:sz w:val="24"/>
          <w:szCs w:val="24"/>
          <w:lang w:eastAsia="sk-SK"/>
        </w:rPr>
      </w:pPr>
    </w:p>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2.2.4. Výpočty vplyvov na verejné financie</w:t>
      </w:r>
    </w:p>
    <w:p w:rsidR="002E4361" w:rsidRPr="007D5748" w:rsidP="002E4361">
      <w:pPr>
        <w:bidi w:val="0"/>
        <w:spacing w:after="0" w:line="240" w:lineRule="auto"/>
        <w:rPr>
          <w:rFonts w:ascii="Times New Roman" w:hAnsi="Times New Roman" w:cs="Times New Roman"/>
          <w:sz w:val="24"/>
          <w:szCs w:val="24"/>
          <w:lang w:eastAsia="sk-SK"/>
        </w:rPr>
      </w:pPr>
    </w:p>
    <w:p w:rsidR="002E4361" w:rsidP="002E4361">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Kvantifikácia predpokladá negatívny akruálny vplyv na rozpočet verejnej správy na úrovni 175 tis. Eur v roku 2017,  11 141 tis. eur v roku 2018, 8 091 tis. eur v roku 2019 a 8 372 tisíc eur v roku 2020. </w:t>
      </w:r>
    </w:p>
    <w:p w:rsidR="002E4361" w:rsidP="002E4361">
      <w:pPr>
        <w:bidi w:val="0"/>
        <w:spacing w:after="0" w:line="240" w:lineRule="auto"/>
        <w:jc w:val="both"/>
        <w:rPr>
          <w:rFonts w:ascii="Times New Roman" w:hAnsi="Times New Roman" w:cs="Times New Roman"/>
          <w:sz w:val="24"/>
          <w:szCs w:val="24"/>
          <w:lang w:eastAsia="sk-SK"/>
        </w:rPr>
      </w:pPr>
    </w:p>
    <w:p w:rsidR="002E4361" w:rsidRPr="007D5748" w:rsidP="002E4361">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Kvantifikácia príjmov</w:t>
      </w:r>
    </w:p>
    <w:p w:rsidR="002E4361" w:rsidP="002E4361">
      <w:pPr>
        <w:tabs>
          <w:tab w:val="num" w:pos="1080"/>
        </w:tabs>
        <w:bidi w:val="0"/>
        <w:spacing w:after="0" w:line="240" w:lineRule="auto"/>
        <w:jc w:val="both"/>
        <w:rPr>
          <w:rFonts w:ascii="Times New Roman" w:hAnsi="Times New Roman" w:cs="Times New Roman"/>
          <w:bCs/>
          <w:sz w:val="24"/>
          <w:szCs w:val="24"/>
          <w:lang w:eastAsia="sk-SK"/>
        </w:rPr>
      </w:pPr>
    </w:p>
    <w:p w:rsidR="002E4361" w:rsidRPr="003C33E6" w:rsidP="002E4361">
      <w:pPr>
        <w:bidi w:val="0"/>
        <w:spacing w:after="0" w:line="240" w:lineRule="auto"/>
        <w:jc w:val="both"/>
        <w:rPr>
          <w:rFonts w:ascii="Times New Roman" w:hAnsi="Times New Roman" w:cs="Times New Roman"/>
          <w:b/>
          <w:sz w:val="24"/>
          <w:szCs w:val="24"/>
          <w:lang w:eastAsia="sk-SK"/>
        </w:rPr>
      </w:pPr>
      <w:r w:rsidRPr="003C33E6">
        <w:rPr>
          <w:rFonts w:ascii="Times New Roman" w:hAnsi="Times New Roman" w:cs="Times New Roman"/>
          <w:b/>
          <w:sz w:val="24"/>
          <w:szCs w:val="24"/>
          <w:lang w:eastAsia="sk-SK"/>
        </w:rPr>
        <w:t>A - Zavedenie daňového bonusu na hypotéky</w:t>
      </w: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 xml:space="preserve">Kvantifikácia vychádza z individuálnych údajov o poberaní štátneho príspevku pre mladých (ďalej ŠPM) od </w:t>
      </w:r>
      <w:r>
        <w:rPr>
          <w:rFonts w:ascii="Times New Roman" w:hAnsi="Times New Roman" w:cs="Times New Roman"/>
          <w:sz w:val="24"/>
          <w:szCs w:val="24"/>
          <w:lang w:eastAsia="sk-SK"/>
        </w:rPr>
        <w:t>Datacentra</w:t>
      </w:r>
      <w:r w:rsidRPr="00C67AAA">
        <w:rPr>
          <w:rFonts w:ascii="Times New Roman" w:hAnsi="Times New Roman" w:cs="Times New Roman"/>
          <w:sz w:val="24"/>
          <w:szCs w:val="24"/>
          <w:lang w:eastAsia="sk-SK"/>
        </w:rPr>
        <w:t xml:space="preserve"> k februáru 2017. Celkový počet poberateľov k danému dátumu bol 73 tisíc. V roku 2016 pribudlo 17 956 poberateľov. Priemerná výška vyplateného príspevku bola 410 eur za rok.</w:t>
      </w:r>
    </w:p>
    <w:p w:rsidR="002E4361" w:rsidRPr="00C67AAA" w:rsidP="002E4361">
      <w:pPr>
        <w:bidi w:val="0"/>
        <w:spacing w:after="0" w:line="240" w:lineRule="auto"/>
        <w:jc w:val="both"/>
        <w:rPr>
          <w:rFonts w:ascii="Times New Roman" w:hAnsi="Times New Roman" w:cs="Times New Roman"/>
          <w:sz w:val="24"/>
          <w:szCs w:val="24"/>
          <w:lang w:eastAsia="sk-SK"/>
        </w:rPr>
      </w:pP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 xml:space="preserve">Pri kvantifikácií bola použitá úroková miera vo výške 3,2 %. Tá vychádza z dvoch zložiek. Prvá zložka je priemer ročných percentuálnych nákladov pri úveroch na bývanie za roky 2015 a 2016 (2,7 %). Druhá zložka je riziková prirážka bánk vo výške 0,5 p. b. (ŠPM je primárne určený pre žiadateľov s nižšími príjmami, s ktorými je pre banku spojená vyššia rizikovosť). Počet nových poberateľov do ďalších rokov je fixne nastavený na počte nových poberateľov z roku 2016. </w:t>
      </w:r>
    </w:p>
    <w:p w:rsidR="002E4361" w:rsidRPr="00C67AAA" w:rsidP="002E4361">
      <w:pPr>
        <w:bidi w:val="0"/>
        <w:spacing w:after="0" w:line="240" w:lineRule="auto"/>
        <w:jc w:val="both"/>
        <w:rPr>
          <w:rFonts w:ascii="Times New Roman" w:hAnsi="Times New Roman" w:cs="Times New Roman"/>
          <w:sz w:val="24"/>
          <w:szCs w:val="24"/>
          <w:lang w:eastAsia="sk-SK"/>
        </w:rPr>
      </w:pP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 xml:space="preserve">Od roku 2018 budú existovať dva systémy súčasne. Dobeh pôvodného ŠPM a postupný nábeh daňového bonusu. Plný efekt daňového bonusu na hypotéky sa prejaví až v roku 2023, kedy úplne nahradí existujúci ŠPM. Úspora z uvedeného opatrenia, ktorá sa očakáva na horizonte vyplýva zo skutočnosti, že v rozpočte sa predpokladal pomerne optimistický scenár vývoja poberateľov ŠPM oproti predpokladu fixného počtu poberateľov v aktuálnej kvantifikácii. </w:t>
      </w:r>
    </w:p>
    <w:p w:rsidR="002E4361" w:rsidRPr="003C33E6" w:rsidP="002E4361">
      <w:pPr>
        <w:tabs>
          <w:tab w:val="num" w:pos="1080"/>
        </w:tabs>
        <w:bidi w:val="0"/>
        <w:spacing w:after="0" w:line="240" w:lineRule="auto"/>
        <w:jc w:val="both"/>
        <w:rPr>
          <w:rFonts w:ascii="Times New Roman" w:hAnsi="Times New Roman" w:cs="Times New Roman"/>
          <w:bCs/>
          <w:sz w:val="24"/>
          <w:szCs w:val="24"/>
          <w:lang w:eastAsia="sk-SK"/>
        </w:rPr>
      </w:pPr>
    </w:p>
    <w:p w:rsidR="002E4361" w:rsidRPr="003C33E6" w:rsidP="002E4361">
      <w:pPr>
        <w:tabs>
          <w:tab w:val="num" w:pos="1080"/>
        </w:tabs>
        <w:bidi w:val="0"/>
        <w:spacing w:after="0" w:line="240" w:lineRule="auto"/>
        <w:jc w:val="both"/>
        <w:rPr>
          <w:rFonts w:ascii="Times New Roman" w:hAnsi="Times New Roman" w:cs="Times New Roman"/>
          <w:b/>
          <w:bCs/>
          <w:sz w:val="24"/>
          <w:szCs w:val="24"/>
          <w:lang w:eastAsia="sk-SK"/>
        </w:rPr>
      </w:pPr>
      <w:r w:rsidRPr="003C33E6">
        <w:rPr>
          <w:rFonts w:ascii="Times New Roman" w:hAnsi="Times New Roman" w:cs="Times New Roman"/>
          <w:b/>
          <w:bCs/>
          <w:sz w:val="24"/>
          <w:szCs w:val="24"/>
          <w:lang w:eastAsia="sk-SK"/>
        </w:rPr>
        <w:t>B – Zavedenie nezdaniteľnej časti základu dane na kúpeľníctvo</w:t>
      </w: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Pri kvantifikácií boli použité údaje z Ubytovacej štatistiky cestovného ruchu na Slovensku. V roku 2015 počet návštevníkov v kúpeľoch prekročil 241 tisíc. V ďalších rokoch sa predpokladá medziročný rast návštevnosti o 10 %, čo zodpovedá priemernému rastu za posledné 3 roky. Celkový počet návštevníkov bol následne indexovaný o odhadovaný počet pracujúcich osôb. Fiškálny vplyv na rozpočet verejnej správy je -1,9 mil. eur v roku 2018.</w:t>
      </w:r>
    </w:p>
    <w:p w:rsidR="002E4361" w:rsidRPr="003C33E6" w:rsidP="002E4361">
      <w:pPr>
        <w:tabs>
          <w:tab w:val="num" w:pos="1080"/>
        </w:tabs>
        <w:bidi w:val="0"/>
        <w:spacing w:after="0" w:line="240" w:lineRule="auto"/>
        <w:jc w:val="both"/>
        <w:rPr>
          <w:rFonts w:ascii="Times New Roman" w:hAnsi="Times New Roman" w:cs="Times New Roman"/>
          <w:bCs/>
          <w:sz w:val="24"/>
          <w:szCs w:val="24"/>
          <w:lang w:eastAsia="sk-SK"/>
        </w:rPr>
      </w:pPr>
    </w:p>
    <w:p w:rsidR="002E4361" w:rsidRPr="003C33E6" w:rsidP="002E4361">
      <w:pPr>
        <w:tabs>
          <w:tab w:val="num" w:pos="1080"/>
        </w:tabs>
        <w:bidi w:val="0"/>
        <w:spacing w:after="0" w:line="240" w:lineRule="auto"/>
        <w:ind w:left="426" w:hanging="426"/>
        <w:jc w:val="both"/>
        <w:rPr>
          <w:rFonts w:ascii="Times New Roman" w:hAnsi="Times New Roman" w:cs="Times New Roman"/>
          <w:b/>
          <w:bCs/>
          <w:sz w:val="24"/>
          <w:szCs w:val="24"/>
          <w:lang w:eastAsia="sk-SK"/>
        </w:rPr>
      </w:pPr>
      <w:r w:rsidRPr="003C33E6">
        <w:rPr>
          <w:rFonts w:ascii="Times New Roman" w:hAnsi="Times New Roman" w:cs="Times New Roman"/>
          <w:b/>
          <w:bCs/>
          <w:sz w:val="24"/>
          <w:szCs w:val="24"/>
          <w:lang w:eastAsia="sk-SK"/>
        </w:rPr>
        <w:t>C – Zavedenie samostatného odpisovania technického zhodnotenia a opráv na budovách kúpeľov</w:t>
      </w: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 xml:space="preserve">Kvantifikácia vychádza z dát individuálnych účtovných závierok (hodnota budov) pre vybrané subjekty v odvetví kúpeľníctva, ktoré dosiahli v období 2013 až 2015 kladný hospodársky výsledok. Technické zhodnotenie je podľa aktuálnej legislatívy súčasťou hodnoty budovy. Agregátny objem ročných účtovných odpisov dotknutých subjektov (na základe údajov za rok 2015) je 5,1 miliónov. Podľa novelizovanej legislatívy bude technické zhodnotenie odpisované samostatne. Predpoklad zrealizovaného technického zhodnotenia je arbitrárne zvolený v objeme 20 % zo vstupnej ceny stavieb. Odpis technického zhodnotenia od roku 2019 je v objeme 3,38 milióna eur. </w:t>
      </w:r>
    </w:p>
    <w:p w:rsidR="002E4361" w:rsidP="002E4361">
      <w:pPr>
        <w:bidi w:val="0"/>
        <w:spacing w:after="0" w:line="240" w:lineRule="auto"/>
        <w:jc w:val="both"/>
        <w:rPr>
          <w:rFonts w:ascii="Times New Roman" w:hAnsi="Times New Roman" w:cs="Times New Roman"/>
          <w:sz w:val="24"/>
          <w:szCs w:val="24"/>
          <w:lang w:eastAsia="sk-SK"/>
        </w:rPr>
      </w:pPr>
    </w:p>
    <w:p w:rsidR="002E4361" w:rsidRPr="003C33E6" w:rsidP="002E4361">
      <w:pPr>
        <w:pStyle w:val="ListParagraph"/>
        <w:bidi w:val="0"/>
        <w:ind w:left="0"/>
        <w:jc w:val="both"/>
        <w:rPr>
          <w:rFonts w:ascii="Times New Roman" w:hAnsi="Times New Roman"/>
          <w:b/>
        </w:rPr>
      </w:pPr>
      <w:r>
        <w:rPr>
          <w:rFonts w:ascii="Times New Roman" w:hAnsi="Times New Roman"/>
          <w:b/>
        </w:rPr>
        <w:t>D</w:t>
      </w:r>
      <w:r w:rsidRPr="003C33E6">
        <w:rPr>
          <w:rFonts w:ascii="Times New Roman" w:hAnsi="Times New Roman"/>
          <w:b/>
        </w:rPr>
        <w:t xml:space="preserve"> - Zmena pri uplatňovaní superodpočtu výdavkov na vedu a výskum</w:t>
      </w:r>
    </w:p>
    <w:p w:rsidR="002E4361" w:rsidRPr="00C67AAA" w:rsidP="002E4361">
      <w:pPr>
        <w:bidi w:val="0"/>
        <w:spacing w:after="0" w:line="240" w:lineRule="auto"/>
        <w:jc w:val="both"/>
        <w:rPr>
          <w:rFonts w:ascii="Times New Roman" w:hAnsi="Times New Roman" w:cs="Times New Roman"/>
          <w:sz w:val="24"/>
          <w:szCs w:val="24"/>
          <w:lang w:eastAsia="sk-SK"/>
        </w:rPr>
      </w:pPr>
      <w:r w:rsidRPr="00C67AAA">
        <w:rPr>
          <w:rFonts w:ascii="Times New Roman" w:hAnsi="Times New Roman" w:cs="Times New Roman"/>
          <w:sz w:val="24"/>
          <w:szCs w:val="24"/>
          <w:lang w:eastAsia="sk-SK"/>
        </w:rPr>
        <w:t xml:space="preserve">Kvantifikácia vychádza z dát Štatistického úradu SR o objeme výdavkov na vedu a výskum, ktorý za rok 2015 dosiahol objem 262 miliónov eur. Podľa daňových priznaní za rok 2015 si subjekty uplatnili daňový odpočet v objeme 9,2 milióna eur. Výsledný kvantifikovaný vplyv je priemerom minimálneho a maximálneho vplyvu. Minimálny vplyv je dnešný statický vplyv, ktorý bude rásť na horizonte rozpočtu v súlade s vývojom HDP. U maximálneho vplyvu sa uvažuje s kombináciou dvoch zdrojov rastu. V prvom prípade ide o 3 % medziročný nárast výdavkov na </w:t>
      </w:r>
      <w:r>
        <w:rPr>
          <w:rFonts w:ascii="Times New Roman" w:hAnsi="Times New Roman" w:cs="Times New Roman"/>
          <w:sz w:val="24"/>
          <w:szCs w:val="24"/>
          <w:lang w:eastAsia="sk-SK"/>
        </w:rPr>
        <w:t>vedu a výskum</w:t>
      </w:r>
      <w:r w:rsidRPr="00C67AAA">
        <w:rPr>
          <w:rFonts w:ascii="Times New Roman" w:hAnsi="Times New Roman" w:cs="Times New Roman"/>
          <w:sz w:val="24"/>
          <w:szCs w:val="24"/>
          <w:lang w:eastAsia="sk-SK"/>
        </w:rPr>
        <w:t xml:space="preserve">, ktorý predpokladá dynamický efekt zo zvýšenia superodpočtu (zodpovedá priemernému nárastu počtu subjektov realizujúcich výdavky na </w:t>
      </w:r>
      <w:r>
        <w:rPr>
          <w:rFonts w:ascii="Times New Roman" w:hAnsi="Times New Roman" w:cs="Times New Roman"/>
          <w:sz w:val="24"/>
          <w:szCs w:val="24"/>
          <w:lang w:eastAsia="sk-SK"/>
        </w:rPr>
        <w:t>vedu a výskum</w:t>
      </w:r>
      <w:r w:rsidRPr="00C67AAA">
        <w:rPr>
          <w:rFonts w:ascii="Times New Roman" w:hAnsi="Times New Roman" w:cs="Times New Roman"/>
          <w:sz w:val="24"/>
          <w:szCs w:val="24"/>
          <w:lang w:eastAsia="sk-SK"/>
        </w:rPr>
        <w:t xml:space="preserve"> o 3 % ročne po zavedení obdobnej zmeny v ČR v roku 2005). V druhom prípade sa predpokladá, že úsporu na dani z príjmov, ktorú prinesie zvýšenie superodpočtu podniky opätovne reinvestujú do oblasti vedy a výskumu. Očakávaný fiškálny vplyv na rozpočet verejnej správy je v roku 2018 na úrovni -9 miliónov eur.</w:t>
      </w: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pPr>
        <w:bidi w:val="0"/>
        <w:rPr>
          <w:rFonts w:ascii="Times New Roman" w:hAnsi="Times New Roman" w:cs="Times New Roman"/>
          <w:sz w:val="24"/>
          <w:szCs w:val="24"/>
        </w:rPr>
      </w:pPr>
      <w:r>
        <w:rPr>
          <w:rFonts w:ascii="Times New Roman" w:hAnsi="Times New Roman" w:cs="Times New Roman"/>
          <w:sz w:val="24"/>
          <w:szCs w:val="24"/>
        </w:rPr>
        <w:br w:type="page"/>
      </w:r>
    </w:p>
    <w:p w:rsidR="002E4361" w:rsidP="00ED036E">
      <w:pPr>
        <w:bidi w:val="0"/>
        <w:spacing w:after="0" w:line="240" w:lineRule="auto"/>
        <w:jc w:val="both"/>
        <w:rPr>
          <w:rFonts w:ascii="Times New Roman" w:hAnsi="Times New Roman" w:cs="Times New Roman"/>
          <w:sz w:val="24"/>
          <w:szCs w:val="24"/>
        </w:rPr>
        <w:sectPr>
          <w:footerReference w:type="default" r:id="rId6"/>
          <w:pgSz w:w="11906" w:h="16838"/>
          <w:pgMar w:top="1417" w:right="1417" w:bottom="1417" w:left="1417" w:header="708" w:footer="708" w:gutter="0"/>
          <w:lnNumType w:distance="0"/>
          <w:cols w:space="708"/>
          <w:noEndnote w:val="0"/>
          <w:bidi w:val="0"/>
          <w:docGrid w:linePitch="360"/>
        </w:sectPr>
      </w:pPr>
    </w:p>
    <w:p w:rsidR="002E4361" w:rsidRPr="007D5748" w:rsidP="002E4361">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3 </w:t>
      </w:r>
    </w:p>
    <w:p w:rsidR="002E4361" w:rsidRPr="007D5748" w:rsidP="002E4361">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E4361" w:rsidRPr="007D5748" w:rsidP="002E4361">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2E4361" w:rsidRPr="007D5748" w:rsidP="002E4361">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vertAlign w:val="superscript"/>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-11 937 821</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-19 014 502</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-28 499 784</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P="002E4361">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DPFO (111)</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-2 782 861</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-7 310 702</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-14 450 984</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DPPO (112)</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-9 154 960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-11 703 800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 -14 048 800</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Daň z prímov vyberaná zrážkou (113)</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 0</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Zdravotné odvody (154)</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2E4361"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 xml:space="preserve"> 0</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-11 937 821</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-19 014 502</w:t>
            </w:r>
          </w:p>
        </w:tc>
        <w:tc>
          <w:tcPr>
            <w:tcW w:w="1500"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-28 499 784</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2E4361" w:rsidRPr="00440704" w:rsidP="002E4361">
      <w:pPr>
        <w:bidi w:val="0"/>
        <w:spacing w:after="0" w:line="240" w:lineRule="auto"/>
        <w:jc w:val="right"/>
        <w:rPr>
          <w:rFonts w:ascii="Times New Roman" w:hAnsi="Times New Roman" w:cs="Times New Roman"/>
          <w:bCs/>
          <w:sz w:val="24"/>
          <w:szCs w:val="24"/>
          <w:lang w:eastAsia="sk-SK"/>
        </w:rPr>
      </w:pPr>
      <w:r>
        <w:rPr>
          <w:rFonts w:ascii="Times New Roman" w:hAnsi="Times New Roman" w:cs="Times New Roman"/>
          <w:bCs/>
          <w:sz w:val="20"/>
          <w:szCs w:val="20"/>
          <w:lang w:eastAsia="sk-SK"/>
        </w:rPr>
        <w:tab/>
        <w:tab/>
        <w:tab/>
        <w:tab/>
        <w:tab/>
        <w:tab/>
        <w:tab/>
        <w:tab/>
        <w:tab/>
        <w:tab/>
        <w:tab/>
        <w:tab/>
        <w:tab/>
        <w:tab/>
        <w:tab/>
      </w:r>
      <w:r w:rsidRPr="00440704">
        <w:rPr>
          <w:rFonts w:ascii="Times New Roman" w:hAnsi="Times New Roman" w:cs="Times New Roman"/>
          <w:bCs/>
          <w:sz w:val="24"/>
          <w:szCs w:val="24"/>
          <w:lang w:eastAsia="sk-SK"/>
        </w:rPr>
        <w:t xml:space="preserve">Tabuľka č. 3.1. </w:t>
      </w:r>
    </w:p>
    <w:tbl>
      <w:tblPr>
        <w:tblStyle w:val="TableGrid"/>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2018</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2019</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2020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-880 096</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tabs>
                <w:tab w:val="num" w:pos="1080"/>
              </w:tabs>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-5 262 975</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tabs>
                <w:tab w:val="num" w:pos="1080"/>
              </w:tabs>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-12 198 485</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Zavedenie daňového bonusu na hypotéky</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DPFO (111)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-880 096</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-5 262 975</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E4361" w:rsidRPr="00FB5382" w:rsidP="002E4361">
            <w:pPr>
              <w:bidi w:val="0"/>
              <w:spacing w:after="0" w:line="240" w:lineRule="auto"/>
              <w:jc w:val="center"/>
              <w:rPr>
                <w:rFonts w:ascii="Times New Roman" w:hAnsi="Times New Roman" w:cs="Times New Roman"/>
                <w:b/>
                <w:bCs/>
                <w:sz w:val="24"/>
                <w:szCs w:val="24"/>
                <w:lang w:eastAsia="sk-SK"/>
              </w:rPr>
            </w:pPr>
            <w:r w:rsidRPr="00FB5382">
              <w:rPr>
                <w:rFonts w:ascii="Times New Roman" w:hAnsi="Times New Roman" w:cs="Times New Roman"/>
                <w:b/>
                <w:bCs/>
                <w:sz w:val="24"/>
                <w:szCs w:val="24"/>
                <w:lang w:eastAsia="sk-SK"/>
              </w:rPr>
              <w:t>-12 198 485</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FB5382">
              <w:rPr>
                <w:rFonts w:ascii="Times New Roman" w:hAnsi="Times New Roman" w:cs="Times New Roman"/>
                <w:b/>
                <w:bCs/>
                <w:sz w:val="24"/>
                <w:szCs w:val="24"/>
                <w:lang w:eastAsia="sk-SK"/>
              </w:rPr>
              <w:t>-880 096</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FB5382">
              <w:rPr>
                <w:rFonts w:ascii="Times New Roman" w:hAnsi="Times New Roman" w:cs="Times New Roman"/>
                <w:b/>
                <w:bCs/>
                <w:sz w:val="24"/>
                <w:szCs w:val="24"/>
                <w:lang w:eastAsia="sk-SK"/>
              </w:rPr>
              <w:t>-5 262 975</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FB5382">
              <w:rPr>
                <w:rFonts w:ascii="Times New Roman" w:hAnsi="Times New Roman" w:cs="Times New Roman"/>
                <w:b/>
                <w:bCs/>
                <w:sz w:val="24"/>
                <w:szCs w:val="24"/>
                <w:lang w:eastAsia="sk-SK"/>
              </w:rPr>
              <w:t>-12 198 485</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bl>
    <w:p w:rsidR="002E4361" w:rsidRPr="007D5748" w:rsidP="002E4361">
      <w:pPr>
        <w:tabs>
          <w:tab w:val="num" w:pos="1080"/>
        </w:tabs>
        <w:bidi w:val="0"/>
        <w:spacing w:after="0" w:line="240" w:lineRule="auto"/>
        <w:jc w:val="both"/>
        <w:rPr>
          <w:rFonts w:ascii="Times New Roman" w:hAnsi="Times New Roman" w:cs="Times New Roman"/>
          <w:bCs/>
          <w:sz w:val="24"/>
          <w:szCs w:val="20"/>
          <w:lang w:eastAsia="sk-SK"/>
        </w:rPr>
      </w:pPr>
    </w:p>
    <w:p w:rsidR="002E4361" w:rsidP="002E4361">
      <w:pPr>
        <w:tabs>
          <w:tab w:val="num" w:pos="1080"/>
        </w:tabs>
        <w:bidi w:val="0"/>
        <w:spacing w:after="0" w:line="240" w:lineRule="auto"/>
        <w:ind w:right="-578"/>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578"/>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578"/>
        <w:jc w:val="right"/>
        <w:rPr>
          <w:rFonts w:ascii="Times New Roman" w:hAnsi="Times New Roman" w:cs="Times New Roman"/>
          <w:bCs/>
          <w:sz w:val="24"/>
          <w:szCs w:val="24"/>
          <w:lang w:eastAsia="sk-SK"/>
        </w:rPr>
      </w:pPr>
    </w:p>
    <w:p w:rsidR="002E4361" w:rsidRPr="007D5748" w:rsidP="002E4361">
      <w:pPr>
        <w:tabs>
          <w:tab w:val="num" w:pos="1080"/>
        </w:tabs>
        <w:bidi w:val="0"/>
        <w:spacing w:after="0" w:line="240" w:lineRule="auto"/>
        <w:ind w:right="-32"/>
        <w:jc w:val="right"/>
        <w:rPr>
          <w:rFonts w:ascii="Times New Roman" w:hAnsi="Times New Roman" w:cs="Times New Roman"/>
          <w:bCs/>
          <w:sz w:val="24"/>
          <w:szCs w:val="24"/>
          <w:lang w:eastAsia="sk-SK"/>
        </w:rPr>
      </w:pPr>
      <w:r>
        <w:rPr>
          <w:rFonts w:ascii="Times New Roman" w:hAnsi="Times New Roman" w:cs="Times New Roman"/>
          <w:bCs/>
          <w:sz w:val="24"/>
          <w:szCs w:val="24"/>
          <w:lang w:eastAsia="sk-SK"/>
        </w:rPr>
        <w:t>Tabuľka č. 3.2.</w:t>
      </w:r>
    </w:p>
    <w:tbl>
      <w:tblPr>
        <w:tblStyle w:val="TableGrid"/>
        <w:tblW w:w="14029" w:type="dxa"/>
        <w:tblLook w:val="04A0"/>
      </w:tblPr>
      <w:tblGrid>
        <w:gridCol w:w="4957"/>
        <w:gridCol w:w="1417"/>
        <w:gridCol w:w="1559"/>
        <w:gridCol w:w="1560"/>
        <w:gridCol w:w="1417"/>
        <w:gridCol w:w="3119"/>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5953"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AD48B8"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AD48B8"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2018</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AD48B8"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2019</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AD48B8"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2020</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w:t>
            </w:r>
            <w:r w:rsidRPr="000C35A3">
              <w:rPr>
                <w:rFonts w:ascii="Times New Roman" w:hAnsi="Times New Roman" w:cs="Times New Roman"/>
                <w:bCs/>
                <w:sz w:val="24"/>
                <w:szCs w:val="24"/>
                <w:lang w:eastAsia="sk-SK"/>
              </w:rPr>
              <w:t>1 902 765</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-2 047 727</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-2 252 499</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 xml:space="preserve">Zavedenie nezdaniteľnej časti základu dane na kúpeľníctvo vo výške 50 eur </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DPFO (111)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0C35A3" w:rsidP="002E4361">
            <w:pPr>
              <w:tabs>
                <w:tab w:val="num" w:pos="1080"/>
              </w:tabs>
              <w:bidi w:val="0"/>
              <w:spacing w:after="0" w:line="240" w:lineRule="auto"/>
              <w:jc w:val="center"/>
              <w:rPr>
                <w:rFonts w:ascii="Times New Roman" w:hAnsi="Times New Roman" w:cs="Times New Roman"/>
                <w:bCs/>
                <w:sz w:val="24"/>
                <w:szCs w:val="20"/>
                <w:lang w:eastAsia="sk-SK"/>
              </w:rPr>
            </w:pPr>
            <w:r w:rsidRPr="000C35A3">
              <w:rPr>
                <w:rFonts w:ascii="Times New Roman" w:hAnsi="Times New Roman" w:cs="Times New Roman"/>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w:t>
            </w:r>
            <w:r w:rsidRPr="00900448">
              <w:rPr>
                <w:rFonts w:ascii="Times New Roman" w:hAnsi="Times New Roman" w:cs="Times New Roman"/>
                <w:bCs/>
                <w:sz w:val="24"/>
                <w:szCs w:val="24"/>
                <w:lang w:eastAsia="sk-SK"/>
              </w:rPr>
              <w:t>1 902 765</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-2 047 727</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-2 252 499</w:t>
            </w: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Zdravotné odvody (154)</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0C35A3" w:rsidP="002E4361">
            <w:pPr>
              <w:tabs>
                <w:tab w:val="num" w:pos="1080"/>
              </w:tabs>
              <w:bidi w:val="0"/>
              <w:spacing w:after="0" w:line="240" w:lineRule="auto"/>
              <w:jc w:val="center"/>
              <w:rPr>
                <w:rFonts w:ascii="Times New Roman" w:hAnsi="Times New Roman" w:cs="Times New Roman"/>
                <w:bCs/>
                <w:sz w:val="24"/>
                <w:szCs w:val="20"/>
                <w:lang w:eastAsia="sk-SK"/>
              </w:rPr>
            </w:pPr>
            <w:r w:rsidRPr="000C35A3">
              <w:rPr>
                <w:rFonts w:ascii="Times New Roman" w:hAnsi="Times New Roman" w:cs="Times New Roman"/>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w:t>
            </w:r>
            <w:r w:rsidRPr="00900448">
              <w:rPr>
                <w:rFonts w:ascii="Times New Roman" w:hAnsi="Times New Roman" w:cs="Times New Roman"/>
                <w:bCs/>
                <w:sz w:val="24"/>
                <w:szCs w:val="24"/>
                <w:lang w:eastAsia="sk-SK"/>
              </w:rPr>
              <w:t>1 902 765</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-2 047 727</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-2 252 499</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bl>
    <w:p w:rsidR="002E4361" w:rsidRPr="007D5748" w:rsidP="002E4361">
      <w:pPr>
        <w:tabs>
          <w:tab w:val="num" w:pos="1080"/>
        </w:tabs>
        <w:bidi w:val="0"/>
        <w:spacing w:after="0" w:line="240" w:lineRule="auto"/>
        <w:ind w:right="-578"/>
        <w:jc w:val="right"/>
        <w:rPr>
          <w:rFonts w:ascii="Times New Roman" w:hAnsi="Times New Roman" w:cs="Times New Roman"/>
          <w:bCs/>
          <w:sz w:val="24"/>
          <w:szCs w:val="24"/>
          <w:lang w:eastAsia="sk-SK"/>
        </w:rPr>
      </w:pPr>
    </w:p>
    <w:p w:rsidR="002E4361" w:rsidRPr="007D5748" w:rsidP="002E4361">
      <w:pPr>
        <w:tabs>
          <w:tab w:val="num" w:pos="1080"/>
        </w:tabs>
        <w:bidi w:val="0"/>
        <w:spacing w:after="0" w:line="240" w:lineRule="auto"/>
        <w:ind w:right="-578"/>
        <w:rPr>
          <w:rFonts w:ascii="Times New Roman" w:hAnsi="Times New Roman" w:cs="Times New Roman"/>
          <w:bCs/>
          <w:sz w:val="24"/>
          <w:szCs w:val="24"/>
          <w:lang w:eastAsia="sk-SK"/>
        </w:rPr>
      </w:pPr>
      <w:r>
        <w:rPr>
          <w:rFonts w:ascii="Times New Roman" w:hAnsi="Times New Roman" w:cs="Times New Roman"/>
          <w:bCs/>
          <w:sz w:val="24"/>
          <w:szCs w:val="24"/>
          <w:lang w:eastAsia="sk-SK"/>
        </w:rPr>
        <w:tab/>
        <w:tab/>
        <w:tab/>
        <w:tab/>
        <w:tab/>
        <w:tab/>
        <w:tab/>
        <w:tab/>
        <w:tab/>
        <w:tab/>
        <w:tab/>
        <w:tab/>
        <w:tab/>
        <w:tab/>
        <w:tab/>
        <w:tab/>
        <w:tab/>
        <w:t xml:space="preserve">         Tabuľka č. 3.3.</w:t>
      </w:r>
    </w:p>
    <w:tbl>
      <w:tblPr>
        <w:tblStyle w:val="TableGrid"/>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2018</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2019</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2020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-141 960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-709 800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-709 800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 xml:space="preserve">Zavedenie samostatného odpisovania technického zhodnotenia a opráv na budovách </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DPPO (112)</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-141 960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-709 800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-709 800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-141 960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-709 800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-709 800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bl>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r>
        <w:rPr>
          <w:rFonts w:ascii="Times New Roman" w:hAnsi="Times New Roman" w:cs="Times New Roman"/>
          <w:bCs/>
          <w:sz w:val="24"/>
          <w:szCs w:val="24"/>
          <w:lang w:eastAsia="sk-SK"/>
        </w:rPr>
        <w:t>Tabuľka č. 3.4.</w:t>
      </w:r>
    </w:p>
    <w:tbl>
      <w:tblPr>
        <w:tblStyle w:val="TableGrid"/>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2018</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2019</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4"/>
                <w:lang w:eastAsia="sk-SK"/>
              </w:rPr>
              <w:t>2020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-9 013 000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-10 994 000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-13 339 000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Zmena pri uplatňovaní superodpočtu výdavkov na vedu a výskum</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
                <w:bCs/>
                <w:sz w:val="24"/>
                <w:szCs w:val="24"/>
                <w:lang w:eastAsia="sk-SK"/>
              </w:rPr>
            </w:pPr>
            <w:r>
              <w:rPr>
                <w:rFonts w:ascii="Times New Roman" w:hAnsi="Times New Roman" w:cs="Times New Roman"/>
                <w:b/>
                <w:bCs/>
                <w:sz w:val="24"/>
                <w:szCs w:val="24"/>
                <w:lang w:eastAsia="sk-SK"/>
              </w:rPr>
              <w:t>DPFO (111)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DPPO (112)</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-9 013 000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-10 994 000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-13 339 000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-9 013 000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-10 994 000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526826" w:rsidP="002E4361">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Cs/>
                <w:sz w:val="24"/>
                <w:szCs w:val="20"/>
                <w:lang w:eastAsia="sk-SK"/>
              </w:rPr>
              <w:t>-13 339 000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P="002E4361">
            <w:pPr>
              <w:tabs>
                <w:tab w:val="num" w:pos="1080"/>
              </w:tabs>
              <w:bidi w:val="0"/>
              <w:spacing w:after="0" w:line="240" w:lineRule="auto"/>
              <w:jc w:val="both"/>
              <w:rPr>
                <w:rFonts w:ascii="Times New Roman" w:hAnsi="Times New Roman" w:cs="Times New Roman"/>
                <w:bCs/>
                <w:sz w:val="24"/>
                <w:szCs w:val="20"/>
                <w:lang w:eastAsia="sk-SK"/>
              </w:rPr>
            </w:pPr>
          </w:p>
        </w:tc>
      </w:tr>
    </w:tbl>
    <w:p w:rsidR="002E4361" w:rsidP="002E4361">
      <w:pPr>
        <w:tabs>
          <w:tab w:val="num" w:pos="1080"/>
        </w:tabs>
        <w:bidi w:val="0"/>
        <w:spacing w:after="0" w:line="240" w:lineRule="auto"/>
        <w:ind w:right="-32"/>
        <w:jc w:val="right"/>
        <w:rPr>
          <w:rFonts w:ascii="Times New Roman" w:hAnsi="Times New Roman" w:cs="Times New Roman"/>
          <w:bCs/>
          <w:sz w:val="24"/>
          <w:szCs w:val="24"/>
          <w:lang w:eastAsia="sk-SK"/>
        </w:rPr>
      </w:pPr>
    </w:p>
    <w:p w:rsidR="002E4361" w:rsidRPr="007D5748" w:rsidP="002E4361">
      <w:pPr>
        <w:tabs>
          <w:tab w:val="num" w:pos="1080"/>
        </w:tabs>
        <w:bidi w:val="0"/>
        <w:spacing w:after="0" w:line="240" w:lineRule="auto"/>
        <w:ind w:right="-32"/>
        <w:rPr>
          <w:rFonts w:ascii="Times New Roman" w:hAnsi="Times New Roman" w:cs="Times New Roman"/>
          <w:bCs/>
          <w:sz w:val="24"/>
          <w:szCs w:val="20"/>
          <w:lang w:eastAsia="sk-SK"/>
        </w:rPr>
      </w:pPr>
      <w:r w:rsidRPr="007D5748">
        <w:rPr>
          <w:rFonts w:ascii="Times New Roman" w:hAnsi="Times New Roman" w:cs="Times New Roman"/>
          <w:bCs/>
          <w:sz w:val="24"/>
          <w:szCs w:val="24"/>
          <w:lang w:eastAsia="sk-SK"/>
        </w:rPr>
        <w:t xml:space="preserve">Tabuľka č. 4 </w:t>
      </w:r>
    </w:p>
    <w:tbl>
      <w:tblPr>
        <w:tblStyle w:val="TableNormal"/>
        <w:tblpPr w:leftFromText="141" w:rightFromText="141" w:vertAnchor="text" w:horzAnchor="page" w:tblpX="629" w:tblpY="2"/>
        <w:tblW w:w="15450" w:type="dxa"/>
        <w:tblCellMar>
          <w:left w:w="70" w:type="dxa"/>
          <w:right w:w="70" w:type="dxa"/>
        </w:tblCellMar>
      </w:tblPr>
      <w:tblGrid>
        <w:gridCol w:w="6374"/>
        <w:gridCol w:w="1276"/>
        <w:gridCol w:w="1417"/>
        <w:gridCol w:w="1276"/>
        <w:gridCol w:w="1276"/>
        <w:gridCol w:w="3831"/>
      </w:tblGrid>
      <w:tr>
        <w:tblPrEx>
          <w:tblW w:w="15450" w:type="dxa"/>
          <w:tblCellMar>
            <w:left w:w="70" w:type="dxa"/>
            <w:right w:w="70" w:type="dxa"/>
          </w:tblCellMar>
        </w:tblPrEx>
        <w:trPr>
          <w:cantSplit/>
          <w:trHeight w:val="25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(v eurách)</w:t>
            </w:r>
          </w:p>
        </w:tc>
        <w:tc>
          <w:tcPr>
            <w:tcW w:w="5245"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Vplyv na rozpočet verejnej správy</w:t>
            </w:r>
          </w:p>
        </w:tc>
        <w:tc>
          <w:tcPr>
            <w:tcW w:w="3831"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50" w:type="dxa"/>
          <w:tblCellMar>
            <w:left w:w="70" w:type="dxa"/>
            <w:right w:w="70" w:type="dxa"/>
          </w:tblCellMar>
        </w:tblPrEx>
        <w:trPr>
          <w:cantSplit/>
          <w:trHeight w:val="255"/>
        </w:trPr>
        <w:tc>
          <w:tcPr>
            <w:tcW w:w="6374" w:type="dxa"/>
            <w:vMerge/>
            <w:tcBorders>
              <w:top w:val="single" w:sz="4" w:space="0" w:color="auto"/>
              <w:left w:val="single" w:sz="4" w:space="0" w:color="auto"/>
              <w:bottom w:val="single" w:sz="4" w:space="0" w:color="000000"/>
              <w:right w:val="single" w:sz="4" w:space="0" w:color="auto"/>
            </w:tcBorders>
            <w:textDirection w:val="lrTb"/>
            <w:vAlign w:val="center"/>
          </w:tcPr>
          <w:p w:rsidR="002E4361" w:rsidRPr="007D5748" w:rsidP="002E4361">
            <w:pPr>
              <w:bidi w:val="0"/>
              <w:spacing w:after="0" w:line="240" w:lineRule="auto"/>
              <w:rPr>
                <w:rFonts w:ascii="Times New Roman" w:hAnsi="Times New Roman" w:cs="Times New Roman"/>
                <w:b/>
                <w:bCs/>
                <w:color w:val="FFFFFF"/>
                <w:sz w:val="20"/>
                <w:szCs w:val="20"/>
                <w:lang w:eastAsia="sk-SK"/>
              </w:rPr>
            </w:pPr>
          </w:p>
        </w:tc>
        <w:tc>
          <w:tcPr>
            <w:tcW w:w="1276" w:type="dxa"/>
            <w:tcBorders>
              <w:top w:val="nil"/>
              <w:left w:val="nil"/>
              <w:bottom w:val="single" w:sz="4" w:space="0" w:color="auto"/>
              <w:right w:val="single" w:sz="4" w:space="0" w:color="auto"/>
            </w:tcBorders>
            <w:shd w:val="clear" w:color="auto" w:fill="BFBFBF"/>
            <w:textDirection w:val="lrTb"/>
            <w:vAlign w:val="top"/>
          </w:tcPr>
          <w:p w:rsidR="002E4361" w:rsidRPr="004D77EC"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417" w:type="dxa"/>
            <w:tcBorders>
              <w:top w:val="nil"/>
              <w:left w:val="nil"/>
              <w:bottom w:val="single" w:sz="4" w:space="0" w:color="auto"/>
              <w:right w:val="single" w:sz="4" w:space="0" w:color="auto"/>
            </w:tcBorders>
            <w:shd w:val="clear" w:color="auto" w:fill="BFBFBF"/>
            <w:textDirection w:val="lrTb"/>
            <w:vAlign w:val="top"/>
          </w:tcPr>
          <w:p w:rsidR="002E4361" w:rsidRPr="004D77EC"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276" w:type="dxa"/>
            <w:tcBorders>
              <w:top w:val="nil"/>
              <w:left w:val="nil"/>
              <w:bottom w:val="single" w:sz="4" w:space="0" w:color="auto"/>
              <w:right w:val="single" w:sz="4" w:space="0" w:color="auto"/>
            </w:tcBorders>
            <w:shd w:val="clear" w:color="auto" w:fill="BFBFBF"/>
            <w:textDirection w:val="lrTb"/>
            <w:vAlign w:val="top"/>
          </w:tcPr>
          <w:p w:rsidR="002E4361" w:rsidRPr="004D77EC"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276"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3831" w:type="dxa"/>
            <w:vMerge/>
            <w:tcBorders>
              <w:top w:val="single" w:sz="4" w:space="0" w:color="auto"/>
              <w:left w:val="single" w:sz="4" w:space="0" w:color="auto"/>
              <w:bottom w:val="single" w:sz="4" w:space="0" w:color="auto"/>
              <w:right w:val="single" w:sz="4" w:space="0" w:color="auto"/>
            </w:tcBorders>
            <w:textDirection w:val="lrTb"/>
            <w:vAlign w:val="center"/>
          </w:tcPr>
          <w:p w:rsidR="002E4361" w:rsidRPr="007D5748" w:rsidP="002E4361">
            <w:pPr>
              <w:bidi w:val="0"/>
              <w:spacing w:after="0" w:line="240" w:lineRule="auto"/>
              <w:rPr>
                <w:rFonts w:ascii="Times New Roman" w:hAnsi="Times New Roman" w:cs="Times New Roman"/>
                <w:b/>
                <w:bCs/>
                <w:color w:val="FFFFFF"/>
                <w:sz w:val="24"/>
                <w:szCs w:val="24"/>
                <w:lang w:eastAsia="sk-SK"/>
              </w:rPr>
            </w:pP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Bežné výdavky (600)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2D1539">
              <w:rPr>
                <w:rFonts w:ascii="Times New Roman" w:hAnsi="Times New Roman" w:cs="Times New Roman"/>
                <w:b/>
                <w:bCs/>
                <w:sz w:val="20"/>
                <w:szCs w:val="20"/>
                <w:lang w:eastAsia="sk-SK"/>
              </w:rPr>
              <w:t>-1 346 378</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2D1539">
              <w:rPr>
                <w:rFonts w:ascii="Times New Roman" w:hAnsi="Times New Roman" w:cs="Times New Roman"/>
                <w:b/>
                <w:bCs/>
                <w:sz w:val="20"/>
                <w:szCs w:val="20"/>
                <w:lang w:eastAsia="sk-SK"/>
              </w:rPr>
              <w:t>-10 923 347</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2D1539">
              <w:rPr>
                <w:rFonts w:ascii="Times New Roman" w:hAnsi="Times New Roman" w:cs="Times New Roman"/>
                <w:b/>
                <w:bCs/>
                <w:sz w:val="20"/>
                <w:szCs w:val="20"/>
                <w:lang w:eastAsia="sk-SK"/>
              </w:rPr>
              <w:t>-20 127 040</w:t>
            </w: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Mzdy, platy, služobné príjmy a ostatné osobné vyrovnania (610)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Poistné a príspevok do poisťovní (620)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Tovary a služby (630)</w:t>
            </w:r>
            <w:r w:rsidRPr="007D5748">
              <w:rPr>
                <w:rFonts w:ascii="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Bežné transfery (640)</w:t>
            </w:r>
            <w:r w:rsidRPr="007D5748">
              <w:rPr>
                <w:rFonts w:ascii="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r w:rsidRPr="002D1539">
              <w:rPr>
                <w:rFonts w:ascii="Times New Roman" w:hAnsi="Times New Roman" w:cs="Times New Roman"/>
                <w:b/>
                <w:bCs/>
                <w:sz w:val="20"/>
                <w:szCs w:val="20"/>
                <w:lang w:eastAsia="sk-SK"/>
              </w:rPr>
              <w:t>-1 346 378</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r w:rsidRPr="002D1539">
              <w:rPr>
                <w:rFonts w:ascii="Times New Roman" w:hAnsi="Times New Roman" w:cs="Times New Roman"/>
                <w:b/>
                <w:bCs/>
                <w:sz w:val="20"/>
                <w:szCs w:val="20"/>
                <w:lang w:eastAsia="sk-SK"/>
              </w:rPr>
              <w:t>-10 923 347</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sz w:val="20"/>
                <w:szCs w:val="20"/>
                <w:lang w:eastAsia="sk-SK"/>
              </w:rPr>
            </w:pPr>
            <w:r w:rsidRPr="002D1539">
              <w:rPr>
                <w:rFonts w:ascii="Times New Roman" w:hAnsi="Times New Roman" w:cs="Times New Roman"/>
                <w:b/>
                <w:bCs/>
                <w:sz w:val="20"/>
                <w:szCs w:val="20"/>
                <w:lang w:eastAsia="sk-SK"/>
              </w:rPr>
              <w:t>-20 127 040</w:t>
            </w: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r>
              <w:rPr>
                <w:rFonts w:ascii="Times New Roman" w:hAnsi="Times New Roman" w:cs="Times New Roman"/>
                <w:sz w:val="24"/>
                <w:szCs w:val="24"/>
                <w:lang w:eastAsia="sk-SK"/>
              </w:rPr>
              <w:t xml:space="preserve">Úspora súvisiaca so zmenou systému podpory poskytovania hypoték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ind w:left="209"/>
              <w:rPr>
                <w:rFonts w:ascii="Times New Roman" w:hAnsi="Times New Roman" w:cs="Times New Roman"/>
                <w:sz w:val="20"/>
                <w:szCs w:val="20"/>
                <w:lang w:eastAsia="sk-SK"/>
              </w:rPr>
            </w:pPr>
            <w:r>
              <w:rPr>
                <w:rFonts w:ascii="Times New Roman" w:hAnsi="Times New Roman" w:cs="Times New Roman"/>
                <w:sz w:val="20"/>
                <w:szCs w:val="20"/>
                <w:lang w:eastAsia="sk-SK"/>
              </w:rPr>
              <w:t>Transféry jednotlivcom a neziskovým právnickým osobám (642)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900448">
              <w:rPr>
                <w:rFonts w:ascii="Times New Roman" w:hAnsi="Times New Roman" w:cs="Times New Roman"/>
                <w:b/>
                <w:bCs/>
                <w:sz w:val="20"/>
                <w:szCs w:val="20"/>
                <w:lang w:eastAsia="sk-SK"/>
              </w:rPr>
              <w:t>-1 346 378</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900448">
              <w:rPr>
                <w:rFonts w:ascii="Times New Roman" w:hAnsi="Times New Roman" w:cs="Times New Roman"/>
                <w:b/>
                <w:bCs/>
                <w:sz w:val="20"/>
                <w:szCs w:val="20"/>
                <w:lang w:eastAsia="sk-SK"/>
              </w:rPr>
              <w:t>-10 923 347</w:t>
            </w:r>
          </w:p>
        </w:tc>
        <w:tc>
          <w:tcPr>
            <w:tcW w:w="1276" w:type="dxa"/>
            <w:tcBorders>
              <w:top w:val="nil"/>
              <w:left w:val="nil"/>
              <w:bottom w:val="single" w:sz="4" w:space="0" w:color="auto"/>
              <w:right w:val="single" w:sz="4" w:space="0" w:color="auto"/>
            </w:tcBorders>
            <w:textDirection w:val="lrTb"/>
            <w:vAlign w:val="top"/>
          </w:tcPr>
          <w:p w:rsidR="002E4361" w:rsidRPr="002D1539" w:rsidP="002E4361">
            <w:pPr>
              <w:bidi w:val="0"/>
              <w:spacing w:after="0" w:line="240" w:lineRule="auto"/>
              <w:jc w:val="center"/>
              <w:rPr>
                <w:rFonts w:ascii="Times New Roman" w:hAnsi="Times New Roman" w:cs="Times New Roman"/>
                <w:b/>
                <w:bCs/>
                <w:sz w:val="20"/>
                <w:szCs w:val="20"/>
                <w:lang w:eastAsia="sk-SK"/>
              </w:rPr>
            </w:pPr>
            <w:r w:rsidRPr="00900448">
              <w:rPr>
                <w:rFonts w:ascii="Times New Roman" w:hAnsi="Times New Roman" w:cs="Times New Roman"/>
                <w:b/>
                <w:bCs/>
                <w:sz w:val="20"/>
                <w:szCs w:val="20"/>
                <w:lang w:eastAsia="sk-SK"/>
              </w:rPr>
              <w:t>-20 127 040</w:t>
            </w: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center"/>
          </w:tcPr>
          <w:p w:rsidR="002E4361" w:rsidRPr="007D5748" w:rsidP="002E4361">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Splácanie úrokov a ostatné platby súvisiace s </w:t>
            </w:r>
            <w:r>
              <w:t xml:space="preserve"> </w:t>
            </w:r>
            <w:r w:rsidRPr="008D339D">
              <w:rPr>
                <w:rFonts w:ascii="Times New Roman" w:hAnsi="Times New Roman" w:cs="Times New Roman"/>
                <w:sz w:val="20"/>
                <w:szCs w:val="20"/>
                <w:lang w:eastAsia="sk-SK"/>
              </w:rPr>
              <w:t>úverom, pôžičkou, návratnou finančnou výpomocou a finančným prenájmom</w:t>
            </w:r>
            <w:r w:rsidRPr="007D5748">
              <w:rPr>
                <w:rFonts w:ascii="Times New Roman" w:hAnsi="Times New Roman" w:cs="Times New Roman"/>
                <w:sz w:val="20"/>
                <w:szCs w:val="20"/>
                <w:lang w:eastAsia="sk-SK"/>
              </w:rPr>
              <w:t xml:space="preserve"> (650)</w:t>
            </w:r>
            <w:r w:rsidRPr="007D5748">
              <w:rPr>
                <w:rFonts w:ascii="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Kapitálové výdavky (700)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175 000</w:t>
            </w:r>
          </w:p>
        </w:tc>
        <w:tc>
          <w:tcPr>
            <w:tcW w:w="1417"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550 000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Pr>
                <w:rFonts w:ascii="Times New Roman" w:hAnsi="Times New Roman" w:cs="Times New Roman"/>
                <w:sz w:val="24"/>
                <w:szCs w:val="24"/>
                <w:lang w:eastAsia="sk-SK"/>
              </w:rPr>
              <w:t>výdavky súvisiace s úpravou informačného systému FS SR</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Obstarávanie kapitálových aktív (710)</w:t>
            </w:r>
            <w:r w:rsidRPr="007D5748">
              <w:rPr>
                <w:rFonts w:ascii="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175 000</w:t>
            </w:r>
          </w:p>
        </w:tc>
        <w:tc>
          <w:tcPr>
            <w:tcW w:w="1417"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550 000</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Kapitálové transfery (720)</w:t>
            </w:r>
            <w:r w:rsidRPr="007D5748">
              <w:rPr>
                <w:rFonts w:ascii="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417"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3831" w:type="dxa"/>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175 000</w:t>
            </w:r>
          </w:p>
        </w:tc>
        <w:tc>
          <w:tcPr>
            <w:tcW w:w="1417" w:type="dxa"/>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2D1539">
              <w:rPr>
                <w:rFonts w:ascii="Times New Roman" w:hAnsi="Times New Roman" w:cs="Times New Roman"/>
                <w:b/>
                <w:bCs/>
                <w:sz w:val="20"/>
                <w:szCs w:val="20"/>
                <w:lang w:eastAsia="sk-SK"/>
              </w:rPr>
              <w:t>-</w:t>
            </w:r>
            <w:r>
              <w:rPr>
                <w:rFonts w:ascii="Times New Roman" w:hAnsi="Times New Roman" w:cs="Times New Roman"/>
                <w:b/>
                <w:bCs/>
                <w:sz w:val="20"/>
                <w:szCs w:val="20"/>
                <w:lang w:eastAsia="sk-SK"/>
              </w:rPr>
              <w:t>796 378</w:t>
            </w:r>
          </w:p>
        </w:tc>
        <w:tc>
          <w:tcPr>
            <w:tcW w:w="1276" w:type="dxa"/>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0"/>
                <w:szCs w:val="20"/>
                <w:lang w:eastAsia="sk-SK"/>
              </w:rPr>
            </w:pPr>
            <w:r w:rsidRPr="002D1539">
              <w:rPr>
                <w:rFonts w:ascii="Times New Roman" w:hAnsi="Times New Roman" w:cs="Times New Roman"/>
                <w:b/>
                <w:bCs/>
                <w:sz w:val="20"/>
                <w:szCs w:val="20"/>
                <w:lang w:eastAsia="sk-SK"/>
              </w:rPr>
              <w:t>-10 923 347</w:t>
            </w:r>
          </w:p>
        </w:tc>
        <w:tc>
          <w:tcPr>
            <w:tcW w:w="1276" w:type="dxa"/>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2D1539">
              <w:rPr>
                <w:rFonts w:ascii="Times New Roman" w:hAnsi="Times New Roman" w:cs="Times New Roman"/>
                <w:b/>
                <w:bCs/>
                <w:sz w:val="20"/>
                <w:szCs w:val="20"/>
                <w:lang w:eastAsia="sk-SK"/>
              </w:rPr>
              <w:t>-20 127 040</w:t>
            </w:r>
          </w:p>
        </w:tc>
        <w:tc>
          <w:tcPr>
            <w:tcW w:w="3831" w:type="dxa"/>
            <w:tcBorders>
              <w:top w:val="single" w:sz="4" w:space="0" w:color="auto"/>
              <w:left w:val="nil"/>
              <w:bottom w:val="single" w:sz="4" w:space="0" w:color="auto"/>
              <w:right w:val="single" w:sz="4" w:space="0" w:color="auto"/>
            </w:tcBorders>
            <w:shd w:val="clear" w:color="auto" w:fill="BFBFBF"/>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2E4361" w:rsidP="002E4361">
      <w:pPr>
        <w:tabs>
          <w:tab w:val="num" w:pos="1080"/>
        </w:tabs>
        <w:bidi w:val="0"/>
        <w:spacing w:after="0" w:line="240" w:lineRule="auto"/>
        <w:jc w:val="right"/>
        <w:rPr>
          <w:rFonts w:ascii="Times New Roman" w:hAnsi="Times New Roman" w:cs="Times New Roman"/>
          <w:bCs/>
          <w:sz w:val="24"/>
          <w:szCs w:val="24"/>
          <w:lang w:eastAsia="sk-SK"/>
        </w:rPr>
      </w:pPr>
    </w:p>
    <w:p w:rsidR="002E4361" w:rsidP="002E4361">
      <w:pPr>
        <w:tabs>
          <w:tab w:val="num" w:pos="1080"/>
        </w:tabs>
        <w:bidi w:val="0"/>
        <w:spacing w:after="0" w:line="240" w:lineRule="auto"/>
        <w:jc w:val="right"/>
        <w:rPr>
          <w:rFonts w:ascii="Times New Roman" w:hAnsi="Times New Roman" w:cs="Times New Roman"/>
          <w:bCs/>
          <w:sz w:val="24"/>
          <w:szCs w:val="24"/>
          <w:lang w:eastAsia="sk-SK"/>
        </w:rPr>
      </w:pPr>
    </w:p>
    <w:p w:rsidR="002E4361" w:rsidP="002E4361">
      <w:pPr>
        <w:tabs>
          <w:tab w:val="num" w:pos="1080"/>
        </w:tabs>
        <w:bidi w:val="0"/>
        <w:spacing w:after="0" w:line="240" w:lineRule="auto"/>
        <w:jc w:val="right"/>
        <w:rPr>
          <w:rFonts w:ascii="Times New Roman" w:hAnsi="Times New Roman" w:cs="Times New Roman"/>
          <w:bCs/>
          <w:sz w:val="24"/>
          <w:szCs w:val="24"/>
          <w:lang w:eastAsia="sk-SK"/>
        </w:rPr>
      </w:pPr>
    </w:p>
    <w:p w:rsidR="002E4361" w:rsidRPr="007D5748" w:rsidP="002E4361">
      <w:pPr>
        <w:tabs>
          <w:tab w:val="num" w:pos="1080"/>
        </w:tabs>
        <w:bidi w:val="0"/>
        <w:spacing w:after="0" w:line="240" w:lineRule="auto"/>
        <w:jc w:val="right"/>
        <w:rPr>
          <w:rFonts w:ascii="Times New Roman" w:hAnsi="Times New Roman" w:cs="Times New Roman"/>
          <w:bCs/>
          <w:sz w:val="24"/>
          <w:szCs w:val="20"/>
          <w:lang w:eastAsia="sk-SK"/>
        </w:rPr>
      </w:pPr>
      <w:r w:rsidRPr="007D5748">
        <w:rPr>
          <w:rFonts w:ascii="Times New Roman" w:hAnsi="Times New Roman" w:cs="Times New Roman"/>
          <w:bCs/>
          <w:sz w:val="24"/>
          <w:szCs w:val="24"/>
          <w:lang w:eastAsia="sk-SK"/>
        </w:rPr>
        <w:t xml:space="preserve">               Tabuľka č. 5 </w:t>
      </w: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4361" w:rsidRPr="007D5748" w:rsidP="002E4361">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E4361" w:rsidRPr="007D5748" w:rsidP="002E4361">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2E4361" w:rsidRPr="007D5748" w:rsidP="002E4361">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2E4361" w:rsidRPr="007D5748" w:rsidP="002E4361">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2352" w:type="dxa"/>
            <w:gridSpan w:val="2"/>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c>
          <w:tcPr>
            <w:tcW w:w="990" w:type="dxa"/>
            <w:tcBorders>
              <w:top w:val="nil"/>
              <w:left w:val="nil"/>
              <w:bottom w:val="nil"/>
              <w:right w:val="nil"/>
            </w:tcBorders>
            <w:noWrap/>
            <w:textDirection w:val="lrTb"/>
            <w:vAlign w:val="bottom"/>
          </w:tcPr>
          <w:p w:rsidR="002E4361" w:rsidRPr="007D5748" w:rsidP="002E4361">
            <w:pPr>
              <w:bidi w:val="0"/>
              <w:spacing w:after="0" w:line="240" w:lineRule="auto"/>
              <w:rPr>
                <w:rFonts w:ascii="Times New Roman" w:hAnsi="Times New Roman" w:cs="Times New Roman"/>
                <w:sz w:val="24"/>
                <w:szCs w:val="24"/>
                <w:lang w:eastAsia="sk-SK"/>
              </w:rPr>
            </w:pPr>
          </w:p>
        </w:tc>
      </w:tr>
    </w:tbl>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pPr>
    </w:p>
    <w:p w:rsidR="002E4361" w:rsidP="00ED036E">
      <w:pPr>
        <w:bidi w:val="0"/>
        <w:spacing w:after="0" w:line="240" w:lineRule="auto"/>
        <w:jc w:val="both"/>
        <w:rPr>
          <w:rFonts w:ascii="Times New Roman" w:hAnsi="Times New Roman" w:cs="Times New Roman"/>
          <w:sz w:val="24"/>
          <w:szCs w:val="24"/>
        </w:rPr>
        <w:sectPr w:rsidSect="002E4361">
          <w:pgSz w:w="16838" w:h="11906" w:orient="landscape"/>
          <w:pgMar w:top="1418" w:right="1418" w:bottom="1418" w:left="1418" w:header="709" w:footer="709" w:gutter="0"/>
          <w:lnNumType w:distance="0"/>
          <w:cols w:space="708"/>
          <w:noEndnote w:val="0"/>
          <w:bidi w:val="0"/>
          <w:docGrid w:linePitch="360"/>
        </w:sectPr>
      </w:pPr>
    </w:p>
    <w:tbl>
      <w:tblPr>
        <w:tblStyle w:val="TableGrid"/>
        <w:tblW w:w="10348" w:type="dxa"/>
        <w:tblInd w:w="-572" w:type="dxa"/>
        <w:tblLook w:val="04A0"/>
      </w:tblPr>
      <w:tblGrid>
        <w:gridCol w:w="10348"/>
      </w:tblGrid>
      <w:tr>
        <w:tblPrEx>
          <w:tblW w:w="10348" w:type="dxa"/>
          <w:tblInd w:w="-572" w:type="dxa"/>
          <w:tblLook w:val="04A0"/>
        </w:tblPrEx>
        <w:trPr>
          <w:trHeight w:val="567"/>
        </w:trPr>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jc w:val="center"/>
              <w:rPr>
                <w:rFonts w:ascii="Times New Roman" w:hAnsi="Times New Roman" w:cs="Times New Roman"/>
                <w:b/>
                <w:sz w:val="24"/>
                <w:szCs w:val="24"/>
              </w:rPr>
            </w:pPr>
            <w:r w:rsidRPr="002E4361">
              <w:rPr>
                <w:rFonts w:ascii="Times New Roman" w:hAnsi="Times New Roman" w:cs="Times New Roman"/>
                <w:b/>
                <w:sz w:val="24"/>
                <w:szCs w:val="24"/>
              </w:rPr>
              <w:t xml:space="preserve">Analýza vplyvov na podnikateľské prostredie </w:t>
            </w:r>
          </w:p>
          <w:p w:rsidR="002E4361" w:rsidRPr="002E4361" w:rsidP="002E4361">
            <w:pPr>
              <w:bidi w:val="0"/>
              <w:spacing w:after="0" w:line="240" w:lineRule="auto"/>
              <w:jc w:val="center"/>
              <w:rPr>
                <w:rFonts w:ascii="Times New Roman" w:hAnsi="Times New Roman" w:cs="Times New Roman"/>
                <w:b/>
                <w:sz w:val="24"/>
                <w:szCs w:val="24"/>
              </w:rPr>
            </w:pPr>
            <w:r w:rsidRPr="002E4361">
              <w:rPr>
                <w:rFonts w:ascii="Times New Roman" w:hAnsi="Times New Roman" w:cs="Times New Roman"/>
                <w:b/>
                <w:sz w:val="24"/>
                <w:szCs w:val="24"/>
              </w:rPr>
              <w:t>(vrátane testu MSP)</w:t>
            </w:r>
          </w:p>
        </w:tc>
      </w:tr>
      <w:tr>
        <w:tblPrEx>
          <w:tblW w:w="10348" w:type="dxa"/>
          <w:tblInd w:w="-572" w:type="dxa"/>
          <w:tblLook w:val="04A0"/>
        </w:tblPrEx>
        <w:trPr>
          <w:trHeight w:val="567"/>
        </w:trPr>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Materiál bude mať vplyv s ohľadom na veľkostnú kategóriu podnikov:</w:t>
            </w:r>
          </w:p>
        </w:tc>
      </w:tr>
      <w:tr>
        <w:tblPrEx>
          <w:tblW w:w="10348" w:type="dxa"/>
          <w:tblInd w:w="-572" w:type="dxa"/>
          <w:tblLook w:val="04A0"/>
        </w:tblPrEx>
        <w:trPr>
          <w:trHeight w:val="567"/>
        </w:trPr>
        <w:tc>
          <w:tcPr>
            <w:tcW w:w="10348"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jc w:val="center"/>
                    <w:rPr>
                      <w:rFonts w:ascii="Times New Roman" w:hAnsi="Times New Roman" w:cs="Times New Roman"/>
                      <w:sz w:val="24"/>
                      <w:szCs w:val="24"/>
                    </w:rPr>
                  </w:pPr>
                  <w:r w:rsidRPr="002E4361">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jc w:val="center"/>
                    <w:rPr>
                      <w:rFonts w:ascii="Times New Roman" w:hAnsi="Times New Roman" w:cs="Times New Roman"/>
                      <w:sz w:val="24"/>
                      <w:szCs w:val="24"/>
                    </w:rPr>
                  </w:pPr>
                  <w:r w:rsidRPr="002E4361">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jc w:val="center"/>
                    <w:rPr>
                      <w:rFonts w:ascii="Times New Roman" w:hAnsi="Times New Roman" w:cs="Times New Roman"/>
                      <w:sz w:val="24"/>
                      <w:szCs w:val="24"/>
                    </w:rPr>
                  </w:pPr>
                  <w:r w:rsidRPr="002E4361">
                    <w:rPr>
                      <w:rFonts w:ascii="Segoe UI Symbol" w:eastAsia="MS Gothic"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b/>
                      <w:sz w:val="24"/>
                      <w:szCs w:val="24"/>
                    </w:rPr>
                    <w:t>na všetky kategórie podnikov</w:t>
                  </w:r>
                </w:p>
              </w:tc>
            </w:tr>
          </w:tbl>
          <w:p w:rsidR="002E4361" w:rsidRPr="002E4361" w:rsidP="002E4361">
            <w:pPr>
              <w:bidi w:val="0"/>
              <w:spacing w:after="0" w:line="240" w:lineRule="auto"/>
              <w:rPr>
                <w:rFonts w:ascii="Times New Roman" w:hAnsi="Times New Roman" w:cs="Times New Roman"/>
                <w:b/>
                <w:sz w:val="24"/>
                <w:szCs w:val="24"/>
              </w:rPr>
            </w:pP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3.1 Dotknuté podnikateľské subjekty</w:t>
            </w:r>
          </w:p>
          <w:p w:rsidR="002E4361" w:rsidRPr="002E4361" w:rsidP="002E4361">
            <w:pPr>
              <w:bidi w:val="0"/>
              <w:spacing w:after="0" w:line="240" w:lineRule="auto"/>
              <w:ind w:left="284"/>
              <w:rPr>
                <w:rFonts w:ascii="Times New Roman" w:hAnsi="Times New Roman" w:cs="Times New Roman"/>
                <w:b/>
                <w:sz w:val="24"/>
                <w:szCs w:val="24"/>
              </w:rPr>
            </w:pPr>
            <w:r w:rsidRPr="002E4361">
              <w:rPr>
                <w:rFonts w:ascii="Times New Roman" w:hAnsi="Times New Roman" w:cs="Times New Roman"/>
                <w:sz w:val="24"/>
                <w:szCs w:val="24"/>
              </w:rPr>
              <w:t xml:space="preserve"> - </w:t>
            </w:r>
            <w:r w:rsidRPr="002E4361">
              <w:rPr>
                <w:rFonts w:ascii="Times New Roman" w:hAnsi="Times New Roman" w:cs="Times New Roman"/>
                <w:b/>
                <w:sz w:val="24"/>
                <w:szCs w:val="24"/>
              </w:rPr>
              <w:t>z toho MSP</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Uveďte, aké podnikateľské subjekty budú predkladaným návrhom ovplyvnené.</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Aký je ich počet?</w:t>
            </w:r>
          </w:p>
        </w:tc>
      </w:tr>
      <w:tr>
        <w:tblPrEx>
          <w:tblW w:w="10348" w:type="dxa"/>
          <w:tblInd w:w="-572" w:type="dxa"/>
          <w:tblLook w:val="04A0"/>
        </w:tblPrEx>
        <w:trPr>
          <w:trHeight w:val="1440"/>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Predpokladá sa, že návrh zákona ovplyvní:</w:t>
            </w:r>
          </w:p>
          <w:p w:rsidR="002E4361" w:rsidRPr="002E4361" w:rsidP="002E4361">
            <w:pPr>
              <w:pStyle w:val="ListParagraph"/>
              <w:numPr>
                <w:numId w:val="7"/>
              </w:numPr>
              <w:bidi w:val="0"/>
              <w:spacing w:after="200" w:line="276" w:lineRule="auto"/>
              <w:rPr>
                <w:rFonts w:ascii="Times New Roman" w:hAnsi="Times New Roman"/>
                <w:b/>
              </w:rPr>
            </w:pPr>
            <w:r w:rsidRPr="002E4361">
              <w:rPr>
                <w:rFonts w:ascii="Times New Roman" w:hAnsi="Times New Roman"/>
                <w:b/>
              </w:rPr>
              <w:t>právnické osoby, ktoré prevádzkujú kúpele na základe povolenia</w:t>
            </w:r>
          </w:p>
          <w:p w:rsidR="002E4361" w:rsidRPr="002E4361" w:rsidP="002E4361">
            <w:pPr>
              <w:pStyle w:val="ListParagraph"/>
              <w:numPr>
                <w:numId w:val="7"/>
              </w:numPr>
              <w:bidi w:val="0"/>
              <w:spacing w:after="200" w:line="276" w:lineRule="auto"/>
              <w:rPr>
                <w:rFonts w:ascii="Times New Roman" w:hAnsi="Times New Roman"/>
                <w:b/>
              </w:rPr>
            </w:pPr>
            <w:r w:rsidRPr="002E4361">
              <w:rPr>
                <w:rFonts w:ascii="Times New Roman" w:hAnsi="Times New Roman"/>
                <w:b/>
              </w:rPr>
              <w:t>podnikateľské subjekty vykonávajúce podnikový výskum a vývoj</w:t>
            </w:r>
          </w:p>
          <w:p w:rsidR="002E4361" w:rsidRPr="002E4361" w:rsidP="002E4361">
            <w:pPr>
              <w:pStyle w:val="ListParagraph"/>
              <w:numPr>
                <w:numId w:val="7"/>
              </w:numPr>
              <w:bidi w:val="0"/>
              <w:spacing w:after="200" w:line="276" w:lineRule="auto"/>
              <w:rPr>
                <w:rFonts w:ascii="Times New Roman" w:hAnsi="Times New Roman"/>
                <w:b/>
              </w:rPr>
            </w:pPr>
            <w:r w:rsidRPr="002E4361">
              <w:rPr>
                <w:rFonts w:ascii="Times New Roman" w:hAnsi="Times New Roman"/>
                <w:b/>
              </w:rPr>
              <w:t>právnické osoby poberajúce príjmy z poskytnutia práv k vybraným nehmotným aktívam</w:t>
            </w:r>
          </w:p>
          <w:p w:rsidR="002E4361" w:rsidRPr="002E4361" w:rsidP="002E4361">
            <w:pPr>
              <w:pStyle w:val="ListParagraph"/>
              <w:numPr>
                <w:numId w:val="7"/>
              </w:numPr>
              <w:bidi w:val="0"/>
              <w:spacing w:after="200" w:line="276" w:lineRule="auto"/>
              <w:rPr>
                <w:rFonts w:ascii="Times New Roman" w:hAnsi="Times New Roman"/>
                <w:b/>
              </w:rPr>
            </w:pPr>
            <w:r w:rsidRPr="002E4361">
              <w:rPr>
                <w:rFonts w:ascii="Times New Roman" w:hAnsi="Times New Roman"/>
                <w:b/>
              </w:rPr>
              <w:t>právnické osoby presúvajúce majetok mimo územia SR</w:t>
            </w:r>
          </w:p>
          <w:p w:rsidR="002E4361" w:rsidRPr="002E4361" w:rsidP="002E4361">
            <w:pPr>
              <w:pStyle w:val="ListParagraph"/>
              <w:numPr>
                <w:numId w:val="7"/>
              </w:numPr>
              <w:bidi w:val="0"/>
              <w:spacing w:after="200" w:line="276" w:lineRule="auto"/>
              <w:rPr>
                <w:rFonts w:ascii="Times New Roman" w:hAnsi="Times New Roman"/>
                <w:b/>
              </w:rPr>
            </w:pPr>
            <w:r w:rsidRPr="002E4361">
              <w:rPr>
                <w:rFonts w:ascii="Times New Roman" w:hAnsi="Times New Roman"/>
                <w:b/>
              </w:rPr>
              <w:t>podnikateľské subjekty – lekárov, ktorí sa zúčastnia vzdelávacieho podujatia</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b/>
                <w:sz w:val="24"/>
                <w:szCs w:val="24"/>
              </w:rPr>
              <w:t>Počet dotknutých subjektov nie je možné presne určiť.</w:t>
            </w:r>
          </w:p>
        </w:tc>
      </w:tr>
      <w:tr>
        <w:tblPrEx>
          <w:tblW w:w="10348" w:type="dxa"/>
          <w:tblInd w:w="-572" w:type="dxa"/>
          <w:tblLook w:val="04A0"/>
        </w:tblPrEx>
        <w:trPr>
          <w:trHeight w:val="339"/>
        </w:trPr>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3.2 Vyhodnotenie konzultácií</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sz w:val="24"/>
                <w:szCs w:val="24"/>
              </w:rPr>
              <w:t xml:space="preserve">       - </w:t>
            </w:r>
            <w:r w:rsidRPr="002E4361">
              <w:rPr>
                <w:rFonts w:ascii="Times New Roman" w:hAnsi="Times New Roman" w:cs="Times New Roman"/>
                <w:b/>
                <w:sz w:val="24"/>
                <w:szCs w:val="24"/>
              </w:rPr>
              <w:t>z toho MSP</w:t>
            </w:r>
          </w:p>
        </w:tc>
      </w:tr>
      <w:tr>
        <w:tblPrEx>
          <w:tblW w:w="10348" w:type="dxa"/>
          <w:tblInd w:w="-572" w:type="dxa"/>
          <w:tblLook w:val="04A0"/>
        </w:tblPrEx>
        <w:trPr>
          <w:trHeight w:val="557"/>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Uveďte, akou formou (verejné alebo cielené konzultácie a prečo) a s kým bol návrh konzultovaný.</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Ako dlho trvali konzultácie?</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 xml:space="preserve">Uveďte hlavné body konzultácií a výsledky konzultácií. </w:t>
            </w:r>
          </w:p>
        </w:tc>
      </w:tr>
      <w:tr>
        <w:tblPrEx>
          <w:tblW w:w="10348" w:type="dxa"/>
          <w:tblInd w:w="-572" w:type="dxa"/>
          <w:tblLook w:val="04A0"/>
        </w:tblPrEx>
        <w:trPr>
          <w:trHeight w:val="1440"/>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Konzultácie sa uskutočnili formou osobných stretnutí.  Konzultácie trvali 4 týždne.</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Konzultácií sa zúčastnili:</w:t>
            </w:r>
          </w:p>
          <w:p w:rsidR="002E4361" w:rsidRPr="002E4361" w:rsidP="002E4361">
            <w:pPr>
              <w:pStyle w:val="ListParagraph"/>
              <w:numPr>
                <w:numId w:val="8"/>
              </w:numPr>
              <w:bidi w:val="0"/>
              <w:spacing w:after="200" w:line="276" w:lineRule="auto"/>
              <w:ind w:left="426"/>
              <w:jc w:val="both"/>
              <w:rPr>
                <w:rFonts w:ascii="Times New Roman" w:hAnsi="Times New Roman"/>
              </w:rPr>
            </w:pPr>
            <w:r w:rsidRPr="002E4361">
              <w:rPr>
                <w:rFonts w:ascii="Times New Roman" w:hAnsi="Times New Roman"/>
                <w:b/>
              </w:rPr>
              <w:t>Asociácia zamestnávateľských zväzov a združení SR, Republiková únia zamestnávateľov, Klub 500, AMCHAM</w:t>
            </w:r>
          </w:p>
          <w:p w:rsidR="002E4361" w:rsidRPr="002E4361" w:rsidP="002E4361">
            <w:pPr>
              <w:pStyle w:val="ListParagraph"/>
              <w:numPr>
                <w:numId w:val="8"/>
              </w:numPr>
              <w:bidi w:val="0"/>
              <w:spacing w:after="200" w:line="276" w:lineRule="auto"/>
              <w:ind w:left="426"/>
              <w:jc w:val="both"/>
              <w:rPr>
                <w:rFonts w:ascii="Times New Roman" w:hAnsi="Times New Roman"/>
              </w:rPr>
            </w:pPr>
            <w:r w:rsidRPr="002E4361">
              <w:rPr>
                <w:rFonts w:ascii="Times New Roman" w:hAnsi="Times New Roman"/>
                <w:b/>
              </w:rPr>
              <w:t>Podnikateľská aliancia Slovenska a Združenie podnikateľov Slovenska</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Slovenská banková asociácia</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Slovenská komora daňových poradcov</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Slovenská asociácia poisťovní</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Slovenská lekárska komora a slovenská lekárska spoločnosť</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Slovak business agency</w:t>
            </w:r>
          </w:p>
          <w:p w:rsidR="002E4361" w:rsidRPr="002E4361" w:rsidP="002E4361">
            <w:pPr>
              <w:pStyle w:val="ListParagraph"/>
              <w:numPr>
                <w:numId w:val="8"/>
              </w:numPr>
              <w:bidi w:val="0"/>
              <w:spacing w:after="200" w:line="276" w:lineRule="auto"/>
              <w:ind w:left="426"/>
              <w:jc w:val="both"/>
              <w:rPr>
                <w:rFonts w:ascii="Times New Roman" w:hAnsi="Times New Roman"/>
                <w:b/>
              </w:rPr>
            </w:pPr>
            <w:r w:rsidRPr="002E4361">
              <w:rPr>
                <w:rFonts w:ascii="Times New Roman" w:hAnsi="Times New Roman"/>
                <w:b/>
              </w:rPr>
              <w:t>Združenie miest a obcí Slovenska, Zväz cestovného ruchu a Asociácia slovenských kúpeľov</w:t>
            </w:r>
          </w:p>
          <w:p w:rsidR="002E4361" w:rsidRPr="002E4361" w:rsidP="002E4361">
            <w:pPr>
              <w:pStyle w:val="ListParagraph"/>
              <w:bidi w:val="0"/>
              <w:ind w:left="426"/>
              <w:jc w:val="both"/>
              <w:rPr>
                <w:rFonts w:ascii="Times New Roman" w:hAnsi="Times New Roman"/>
              </w:rPr>
            </w:pP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Zástupcom predstaviteľov jednotlivých subjektov zúčastnených na konzultáciách  bol prednesený obsah návrhu a to:</w:t>
            </w:r>
          </w:p>
          <w:p w:rsidR="002E4361" w:rsidRPr="002E4361" w:rsidP="002E4361">
            <w:pPr>
              <w:pStyle w:val="ListParagraph"/>
              <w:numPr>
                <w:numId w:val="11"/>
              </w:numPr>
              <w:bidi w:val="0"/>
              <w:spacing w:after="200" w:line="276" w:lineRule="auto"/>
              <w:jc w:val="both"/>
              <w:rPr>
                <w:rFonts w:ascii="Times New Roman" w:hAnsi="Times New Roman"/>
              </w:rPr>
            </w:pPr>
            <w:r w:rsidRPr="002E4361">
              <w:rPr>
                <w:rFonts w:ascii="Times New Roman" w:hAnsi="Times New Roman"/>
                <w:i/>
              </w:rPr>
              <w:t xml:space="preserve"> </w:t>
            </w:r>
            <w:r w:rsidRPr="002E4361">
              <w:rPr>
                <w:rFonts w:ascii="Times New Roman" w:hAnsi="Times New Roman"/>
              </w:rPr>
              <w:t xml:space="preserve">Transpozícia smernice Rady EÚ 2016/1164 z 12. júla 2016, ktorou sa ustanovujú pravidlá proti praktikám vyhýbania sa daňovým povinnostiam, ktoré majú priamy vplyv na fungovanie vnútorného trhu (smernica ATAD) </w:t>
            </w:r>
          </w:p>
          <w:p w:rsidR="002E4361" w:rsidRPr="002E4361" w:rsidP="002E4361">
            <w:pPr>
              <w:pStyle w:val="ListParagraph"/>
              <w:numPr>
                <w:numId w:val="10"/>
              </w:numPr>
              <w:bidi w:val="0"/>
              <w:ind w:left="1134"/>
              <w:rPr>
                <w:rFonts w:ascii="Times New Roman" w:hAnsi="Times New Roman"/>
              </w:rPr>
            </w:pPr>
            <w:r w:rsidRPr="002E4361">
              <w:rPr>
                <w:rFonts w:ascii="Times New Roman" w:hAnsi="Times New Roman"/>
              </w:rPr>
              <w:t>pravidlo o limitovaní úrokov</w:t>
            </w:r>
          </w:p>
          <w:p w:rsidR="002E4361" w:rsidRPr="002E4361" w:rsidP="002E4361">
            <w:pPr>
              <w:pStyle w:val="ListParagraph"/>
              <w:numPr>
                <w:numId w:val="10"/>
              </w:numPr>
              <w:bidi w:val="0"/>
              <w:ind w:left="1134"/>
              <w:rPr>
                <w:rFonts w:ascii="Times New Roman" w:hAnsi="Times New Roman"/>
              </w:rPr>
            </w:pPr>
            <w:r w:rsidRPr="002E4361">
              <w:rPr>
                <w:rFonts w:ascii="Times New Roman" w:hAnsi="Times New Roman"/>
              </w:rPr>
              <w:t>zdaňovanie pri odchode – exit tax</w:t>
            </w:r>
          </w:p>
          <w:p w:rsidR="002E4361" w:rsidRPr="002E4361" w:rsidP="002E4361">
            <w:pPr>
              <w:pStyle w:val="ListParagraph"/>
              <w:numPr>
                <w:numId w:val="10"/>
              </w:numPr>
              <w:bidi w:val="0"/>
              <w:ind w:left="1134"/>
              <w:rPr>
                <w:rFonts w:ascii="Times New Roman" w:hAnsi="Times New Roman"/>
              </w:rPr>
            </w:pPr>
            <w:r w:rsidRPr="002E4361">
              <w:rPr>
                <w:rFonts w:ascii="Times New Roman" w:hAnsi="Times New Roman"/>
              </w:rPr>
              <w:t>všeobecné pravidlo proti zneužívaniu</w:t>
            </w:r>
          </w:p>
          <w:p w:rsidR="002E4361" w:rsidRPr="002E4361" w:rsidP="002E4361">
            <w:pPr>
              <w:pStyle w:val="ListParagraph"/>
              <w:numPr>
                <w:numId w:val="10"/>
              </w:numPr>
              <w:bidi w:val="0"/>
              <w:ind w:left="1134"/>
              <w:rPr>
                <w:rFonts w:ascii="Times New Roman" w:hAnsi="Times New Roman"/>
              </w:rPr>
            </w:pPr>
            <w:r w:rsidRPr="002E4361">
              <w:rPr>
                <w:rFonts w:ascii="Times New Roman" w:hAnsi="Times New Roman"/>
              </w:rPr>
              <w:t>pravidlá pre kontrolované zahraničné spoločnosti</w:t>
            </w:r>
          </w:p>
          <w:p w:rsidR="002E4361" w:rsidRPr="002E4361" w:rsidP="002E4361">
            <w:pPr>
              <w:pStyle w:val="ListParagraph"/>
              <w:numPr>
                <w:numId w:val="10"/>
              </w:numPr>
              <w:bidi w:val="0"/>
              <w:ind w:left="1134"/>
              <w:rPr>
                <w:rFonts w:ascii="Times New Roman" w:hAnsi="Times New Roman"/>
              </w:rPr>
            </w:pPr>
            <w:r w:rsidRPr="002E4361">
              <w:rPr>
                <w:rFonts w:ascii="Times New Roman" w:hAnsi="Times New Roman"/>
              </w:rPr>
              <w:t xml:space="preserve">hybridné nesúlady </w:t>
            </w:r>
          </w:p>
          <w:p w:rsidR="002E4361" w:rsidRPr="002E4361" w:rsidP="002E4361">
            <w:pPr>
              <w:pStyle w:val="ListParagraph"/>
              <w:numPr>
                <w:numId w:val="11"/>
              </w:numPr>
              <w:bidi w:val="0"/>
              <w:spacing w:after="200" w:line="276" w:lineRule="auto"/>
              <w:jc w:val="both"/>
              <w:rPr>
                <w:rFonts w:ascii="Times New Roman" w:hAnsi="Times New Roman"/>
              </w:rPr>
            </w:pPr>
            <w:r w:rsidRPr="002E4361">
              <w:rPr>
                <w:rFonts w:ascii="Times New Roman" w:hAnsi="Times New Roman"/>
              </w:rPr>
              <w:t>Daňová podpora kúpeľníctva</w:t>
            </w:r>
          </w:p>
          <w:p w:rsidR="002E4361" w:rsidRPr="002E4361" w:rsidP="002E4361">
            <w:pPr>
              <w:pStyle w:val="ListParagraph"/>
              <w:numPr>
                <w:numId w:val="11"/>
              </w:numPr>
              <w:bidi w:val="0"/>
              <w:spacing w:after="200" w:line="276" w:lineRule="auto"/>
              <w:jc w:val="both"/>
              <w:rPr>
                <w:rFonts w:ascii="Times New Roman" w:hAnsi="Times New Roman"/>
              </w:rPr>
            </w:pPr>
            <w:r w:rsidRPr="002E4361">
              <w:rPr>
                <w:rFonts w:ascii="Times New Roman" w:hAnsi="Times New Roman"/>
              </w:rPr>
              <w:t>Daňová podpora hypoték pre mladých</w:t>
            </w:r>
          </w:p>
          <w:p w:rsidR="002E4361" w:rsidRPr="002E4361" w:rsidP="002E4361">
            <w:pPr>
              <w:pStyle w:val="ListParagraph"/>
              <w:numPr>
                <w:numId w:val="11"/>
              </w:numPr>
              <w:bidi w:val="0"/>
              <w:spacing w:after="200" w:line="276" w:lineRule="auto"/>
              <w:jc w:val="both"/>
              <w:rPr>
                <w:rFonts w:ascii="Times New Roman" w:hAnsi="Times New Roman"/>
              </w:rPr>
            </w:pPr>
            <w:r w:rsidRPr="002E4361">
              <w:rPr>
                <w:rFonts w:ascii="Times New Roman" w:hAnsi="Times New Roman"/>
              </w:rPr>
              <w:t>Transferové oceňovanie</w:t>
            </w:r>
          </w:p>
          <w:p w:rsidR="002E4361" w:rsidRPr="002E4361" w:rsidP="002E4361">
            <w:pPr>
              <w:pStyle w:val="ListParagraph"/>
              <w:bidi w:val="0"/>
              <w:ind w:left="426"/>
              <w:jc w:val="both"/>
              <w:rPr>
                <w:rFonts w:ascii="Times New Roman" w:hAnsi="Times New Roman"/>
                <w:i/>
              </w:rPr>
            </w:pPr>
          </w:p>
          <w:p w:rsidR="002E4361" w:rsidRPr="002E4361" w:rsidP="002E4361">
            <w:pPr>
              <w:pStyle w:val="ListParagraph"/>
              <w:numPr>
                <w:numId w:val="9"/>
              </w:numPr>
              <w:bidi w:val="0"/>
              <w:spacing w:after="200" w:line="276" w:lineRule="auto"/>
              <w:ind w:left="454" w:hanging="283"/>
              <w:jc w:val="both"/>
              <w:rPr>
                <w:rFonts w:ascii="Times New Roman" w:hAnsi="Times New Roman"/>
              </w:rPr>
            </w:pPr>
            <w:r w:rsidRPr="002E4361">
              <w:rPr>
                <w:rFonts w:ascii="Times New Roman" w:hAnsi="Times New Roman"/>
                <w:b/>
              </w:rPr>
              <w:t>Asociácia zamestnávateľských zväzov a združení SR, Republiková únia zamestnávateľov, Klub 500, AMCHAM</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 časový harmonogram implementácie ATAD -  MF SR informovalo, že implementácia závisí od jednotlivých pravidiel, t. j. niektoré budú zapracované s účinnosťou od 1.1.2018 a iné neskôr. </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-vzhľadom na zložitosť a novosť problematiky bola položená otázka možného spracovania podzákonných noriem (usmernení, vysvetlení) k danej téme. MF SR v súčasnosti pracuje na legislatívnom znení jednotlivých článkov smernice, pričom spracovanie podzákonných noriem prípadne iných usmernení bude závisieť od požiadaviek verejnosti.</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 – návrh zavedenia rekreačných poukážok  (obdobne ako v Maďarsku a Francúzsku).  </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3</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4</w:t>
            </w:r>
          </w:p>
          <w:p w:rsidR="002E4361" w:rsidRPr="002E4361" w:rsidP="002E4361">
            <w:pPr>
              <w:pStyle w:val="ListParagraph"/>
              <w:numPr>
                <w:numId w:val="12"/>
              </w:numPr>
              <w:bidi w:val="0"/>
              <w:spacing w:after="200" w:line="276" w:lineRule="auto"/>
              <w:ind w:left="171" w:hanging="171"/>
              <w:jc w:val="both"/>
              <w:rPr>
                <w:rFonts w:ascii="Times New Roman" w:hAnsi="Times New Roman"/>
              </w:rPr>
            </w:pPr>
            <w:r w:rsidRPr="002E4361">
              <w:rPr>
                <w:rFonts w:ascii="Times New Roman" w:hAnsi="Times New Roman"/>
              </w:rPr>
              <w:t>obsah úpravy v oblasti transferového oceňovania</w:t>
            </w:r>
          </w:p>
          <w:p w:rsidR="002E4361" w:rsidRPr="002E4361" w:rsidP="002E4361">
            <w:pPr>
              <w:pStyle w:val="ListParagraph"/>
              <w:numPr>
                <w:numId w:val="12"/>
              </w:numPr>
              <w:bidi w:val="0"/>
              <w:spacing w:after="200" w:line="276" w:lineRule="auto"/>
              <w:ind w:left="171" w:hanging="171"/>
              <w:jc w:val="both"/>
              <w:rPr>
                <w:rFonts w:ascii="Times New Roman" w:hAnsi="Times New Roman"/>
              </w:rPr>
            </w:pPr>
            <w:r w:rsidRPr="002E4361">
              <w:rPr>
                <w:rFonts w:ascii="Times New Roman" w:hAnsi="Times New Roman"/>
              </w:rPr>
              <w:t xml:space="preserve">návrh na zjednodušenie povinnosti v oblasti transferového oceňovania. </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Podnikateľská aliancia Slovenska a Združenie podnikateľov Slovenska</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 – potreba dodržať princíp transparentnosti, nárokovateľnosti a rovnakého prístupu k tejto odpočítateľnej položke. Za vhodnú formu podpory nepovažujú  formu dotácií a stimulov. Cieľom by malo byť stimulovať ľudí ekonomicky, aby sa zvýšila návštevnosť kúpeľov. Štát by mal prostredníctvom zdravotných poisťovní zvýšiť platby pre kúpeľnú starostlivosť. Za vhodné považujú aj možnosť prepojiť zvýšenie návštevnosti kúpeľov (a tým investovania do zdravia obyvateľstva) s možnosťou zníženia odvodov na zdravotné poistenie. Ďalšou možnosťou by bolo zníženie DPH na kúpeľné pobyty. Vhodné by bolo zamerať sa aj na marketingovú stránku podpory kúpeľníctva. Upozornili na možnosť kritiky zo strany verejnosti ohľadom uprednostňovania kúpeľníctva pred inými formami podnikania. Štát by mohol vydávať ako podporu kúpeľníctva aj  poukážky na kúpeľné pobyty.</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 možno by bolo vhodné zvážiť formu stimulu obdobne ako je nastavený superodpočet na výskum a vývoj, čím by došlo aj k priamemu zainteresovaniu kúpeľov na zlepšovaní ich súčasnej situácie.</w:t>
            </w:r>
          </w:p>
          <w:p w:rsidR="002E4361" w:rsidRPr="002E4361" w:rsidP="002E4361">
            <w:pPr>
              <w:bidi w:val="0"/>
              <w:spacing w:after="0" w:line="240" w:lineRule="auto"/>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3</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Otázky smerovali k praktickému uplatňovaniu podpory hypoték pre mladých. </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 xml:space="preserve"> </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4</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 - problémy pri uplatňovaní domáceho transferového oceňovania hlavne pri malých podnikoch alebo v závislých vzťahoch medzi manželmi.</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Slovenská banková asociácia</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otázky ohľadne rozsahu úrokových nákladov a možnosti ponechania výnimky z pravidla pre finančné inštitúcie.</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xml:space="preserve"> </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tabs>
                <w:tab w:val="left" w:pos="7485"/>
              </w:tabs>
              <w:bidi w:val="0"/>
              <w:spacing w:after="0" w:line="240" w:lineRule="auto"/>
              <w:jc w:val="both"/>
              <w:rPr>
                <w:rFonts w:ascii="Times New Roman" w:hAnsi="Times New Roman" w:cs="Times New Roman"/>
                <w:sz w:val="24"/>
                <w:szCs w:val="24"/>
              </w:rPr>
            </w:pPr>
          </w:p>
          <w:p w:rsidR="002E4361" w:rsidRPr="002E4361" w:rsidP="002E4361">
            <w:pPr>
              <w:tabs>
                <w:tab w:val="left" w:pos="7485"/>
              </w:tabs>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K bodu 3</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4</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Slovenská komora daňových poradcov</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k zdaňovaniu pri odchode vzniesla SKDP otázku, akým spôsobom sa bude počítať reálna hodnota, čo sa bude vlastne zdaňovať a či sa bude v čase odchodu platiť daň alebo „zábezpeka na daň“,</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pre GAAR navrhujú len jedno komplexné ustanovenie (zohľadňujúce aj § 6 ods.3 DP),</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k CFC pravidlám sa zástupcovia SKDP vyjadrili, že ide o „zbytočný“ nástroj v podmienkach Slovenska, bude záležať na nastavení pravidiel, aby neboli príliš prísne,</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hybridné nesúlady; podľa SKDP je potrebné upraviť definíciu daňovníka, v opačnom prípade môže byť ťažké na uchopenie.</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3</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otázky smerovali k praktickému uplatňovaniu podpory hypoték pre mladých,</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neboli vznesené žiadne pripomienky.</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4</w:t>
            </w:r>
          </w:p>
          <w:p w:rsidR="002E4361" w:rsidRPr="002E4361" w:rsidP="002E4361">
            <w:pPr>
              <w:pStyle w:val="ListParagraph"/>
              <w:numPr>
                <w:numId w:val="7"/>
              </w:numPr>
              <w:bidi w:val="0"/>
              <w:jc w:val="both"/>
              <w:rPr>
                <w:rFonts w:ascii="Times New Roman" w:hAnsi="Times New Roman"/>
              </w:rPr>
            </w:pPr>
            <w:r w:rsidRPr="002E4361">
              <w:rPr>
                <w:rFonts w:ascii="Times New Roman" w:hAnsi="Times New Roman"/>
              </w:rPr>
              <w:t xml:space="preserve">u služieb s nízkou pridanou hodnotou odporúčajú posunúť hranicu kontrolovanej transakcie na úroveň min. 10 000 eur. </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Slovenská asociácia poisťovní</w:t>
            </w: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pStyle w:val="ListParagraph"/>
              <w:numPr>
                <w:numId w:val="13"/>
              </w:numPr>
              <w:bidi w:val="0"/>
              <w:jc w:val="both"/>
              <w:rPr>
                <w:rFonts w:ascii="Times New Roman" w:hAnsi="Times New Roman"/>
              </w:rPr>
            </w:pPr>
            <w:r w:rsidRPr="002E4361">
              <w:rPr>
                <w:rFonts w:ascii="Times New Roman" w:hAnsi="Times New Roman"/>
              </w:rPr>
              <w:t xml:space="preserve">prezentované pravidlo o limitovaní úrokov by sa nemalo priamo dotknúť poisťovní,  </w:t>
            </w:r>
          </w:p>
          <w:p w:rsidR="002E4361" w:rsidRPr="002E4361" w:rsidP="002E4361">
            <w:pPr>
              <w:pStyle w:val="ListParagraph"/>
              <w:numPr>
                <w:numId w:val="13"/>
              </w:numPr>
              <w:bidi w:val="0"/>
              <w:jc w:val="both"/>
              <w:rPr>
                <w:rFonts w:ascii="Times New Roman" w:hAnsi="Times New Roman"/>
              </w:rPr>
            </w:pPr>
            <w:r w:rsidRPr="002E4361">
              <w:rPr>
                <w:rFonts w:ascii="Times New Roman" w:hAnsi="Times New Roman"/>
              </w:rPr>
              <w:t>bude sa pravidlo exit tax týkať aj situácie, kedy dochádza k presunu kapitálu do materskej spoločnosti, pričom na území SR bude poisťovňa pôsobiť už iba ako pobočka - exit tax sa bude vzťahovať na situácie, kedy dochádza k presunu majetku mimo územia SR, pričom reálne nedochádza k jeho predaju</w:t>
            </w:r>
          </w:p>
          <w:p w:rsidR="002E4361" w:rsidRPr="002E4361" w:rsidP="002E4361">
            <w:pPr>
              <w:pStyle w:val="ListParagraph"/>
              <w:numPr>
                <w:numId w:val="13"/>
              </w:numPr>
              <w:bidi w:val="0"/>
              <w:jc w:val="both"/>
              <w:rPr>
                <w:rFonts w:ascii="Times New Roman" w:hAnsi="Times New Roman"/>
              </w:rPr>
            </w:pPr>
            <w:r w:rsidRPr="002E4361">
              <w:rPr>
                <w:rFonts w:ascii="Times New Roman" w:hAnsi="Times New Roman"/>
              </w:rPr>
              <w:t xml:space="preserve">zadefinovanie pojmu „riadenie“ </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K bodom 2 až 4</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Slovenská lekárska komora a slovenská lekárska spoločnosť</w:t>
            </w: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K bodom 1 až 4</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Slovak business agency</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 upozornili na zvýšenú administratívnu záťaž. Ako SBA budú dohliadať, aby sa smernicou zaviedol iba minimálny štandard a nezaviedla sa nadmerná regulácia malých a stredných podnikov.</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 a 3</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4</w:t>
            </w:r>
          </w:p>
          <w:p w:rsidR="002E4361" w:rsidRPr="002E4361" w:rsidP="002E4361">
            <w:pPr>
              <w:pStyle w:val="ListParagraph"/>
              <w:numPr>
                <w:numId w:val="13"/>
              </w:numPr>
              <w:bidi w:val="0"/>
              <w:spacing w:after="200" w:line="276" w:lineRule="auto"/>
              <w:ind w:left="454" w:hanging="283"/>
              <w:jc w:val="both"/>
              <w:rPr>
                <w:rFonts w:ascii="Times New Roman" w:hAnsi="Times New Roman"/>
              </w:rPr>
            </w:pPr>
            <w:r w:rsidRPr="002E4361">
              <w:rPr>
                <w:rFonts w:ascii="Times New Roman" w:hAnsi="Times New Roman"/>
              </w:rPr>
              <w:t>potreba oboznámenia subjektov so zjednodušenou dokumentáciou, ktoré umožňuje usmernenie MF SR č. MF/014283/2016-724 o určení obsahu dokumentácie podľa § 18 ods. 1 zákona č. 595/2003 Z. z. o dani z príjmov v znení neskorších predpisov.</w:t>
            </w:r>
          </w:p>
          <w:p w:rsidR="002E4361" w:rsidRPr="002E4361" w:rsidP="002E4361">
            <w:pPr>
              <w:pStyle w:val="ListParagraph"/>
              <w:numPr>
                <w:numId w:val="13"/>
              </w:numPr>
              <w:bidi w:val="0"/>
              <w:spacing w:after="200" w:line="276" w:lineRule="auto"/>
              <w:ind w:left="454" w:hanging="283"/>
              <w:jc w:val="both"/>
              <w:rPr>
                <w:rFonts w:ascii="Times New Roman" w:hAnsi="Times New Roman"/>
              </w:rPr>
            </w:pPr>
            <w:r w:rsidRPr="002E4361">
              <w:rPr>
                <w:rFonts w:ascii="Times New Roman" w:hAnsi="Times New Roman"/>
              </w:rPr>
              <w:t>výrazné finančné zaťaženie pri vydaní rozhodnutia o odsúhlasení použitia konkrétnej metódy a spôsobu určenia ceny a na nízky počet daňovníkov využívajúcich tento inštitút.</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pStyle w:val="ListParagraph"/>
              <w:numPr>
                <w:numId w:val="9"/>
              </w:numPr>
              <w:bidi w:val="0"/>
              <w:spacing w:after="200" w:line="276" w:lineRule="auto"/>
              <w:ind w:left="454" w:hanging="283"/>
              <w:jc w:val="both"/>
              <w:rPr>
                <w:rFonts w:ascii="Times New Roman" w:hAnsi="Times New Roman"/>
                <w:b/>
              </w:rPr>
            </w:pPr>
            <w:r w:rsidRPr="002E4361">
              <w:rPr>
                <w:rFonts w:ascii="Times New Roman" w:hAnsi="Times New Roman"/>
                <w:b/>
              </w:rPr>
              <w:t>Združenie miest a obcí Slovenska, Zväz cestovného ruchu a Asociácia slovenských kúpeľov</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1</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K bodu 2</w:t>
            </w:r>
          </w:p>
          <w:p w:rsidR="002E4361" w:rsidRPr="002E4361" w:rsidP="002E4361">
            <w:pPr>
              <w:bidi w:val="0"/>
              <w:spacing w:after="0" w:line="240" w:lineRule="auto"/>
              <w:jc w:val="both"/>
              <w:rPr>
                <w:rFonts w:ascii="Times New Roman" w:hAnsi="Times New Roman" w:cs="Times New Roman"/>
                <w:sz w:val="24"/>
                <w:szCs w:val="24"/>
              </w:rPr>
            </w:pPr>
            <w:r w:rsidRPr="002E4361">
              <w:rPr>
                <w:rFonts w:ascii="Times New Roman" w:hAnsi="Times New Roman" w:cs="Times New Roman"/>
                <w:sz w:val="24"/>
                <w:szCs w:val="24"/>
              </w:rPr>
              <w:t>Zástupcovia prezentovali nasledovné podnety:</w:t>
            </w:r>
          </w:p>
          <w:p w:rsidR="002E4361" w:rsidRPr="002E4361" w:rsidP="002E4361">
            <w:pPr>
              <w:pStyle w:val="ListParagraph"/>
              <w:numPr>
                <w:numId w:val="13"/>
              </w:numPr>
              <w:bidi w:val="0"/>
              <w:jc w:val="both"/>
              <w:rPr>
                <w:rFonts w:ascii="Times New Roman" w:hAnsi="Times New Roman"/>
              </w:rPr>
            </w:pPr>
            <w:r w:rsidRPr="002E4361">
              <w:rPr>
                <w:rFonts w:ascii="Times New Roman" w:hAnsi="Times New Roman"/>
                <w:b/>
              </w:rPr>
              <w:t>odpisovanie majetku</w:t>
            </w:r>
          </w:p>
          <w:p w:rsidR="002E4361" w:rsidRPr="002E4361" w:rsidP="002E4361">
            <w:pPr>
              <w:pStyle w:val="ListParagraph"/>
              <w:bidi w:val="0"/>
              <w:jc w:val="both"/>
              <w:rPr>
                <w:rFonts w:ascii="Times New Roman" w:hAnsi="Times New Roman"/>
              </w:rPr>
            </w:pPr>
            <w:r w:rsidRPr="002E4361">
              <w:rPr>
                <w:rFonts w:ascii="Times New Roman" w:hAnsi="Times New Roman"/>
              </w:rPr>
              <w:t xml:space="preserve">Uviedli, že novelou zákona o dani z príjmov od 1.1.2015 došlo k zmenám v oblasti dĺžky doby odpisovania majetku prišlo k diskriminačnému efektu u podnikateľov, ktorých súčasťou majetku je nehnuteľný majetok, nakoľko tento majetok na svoju obnovu a rekonštrukciu vyžaduje veľké množstvo finančných prostriedkov.  </w:t>
            </w:r>
          </w:p>
          <w:p w:rsidR="002E4361" w:rsidRPr="002E4361" w:rsidP="002E4361">
            <w:pPr>
              <w:pStyle w:val="ListParagraph"/>
              <w:bidi w:val="0"/>
              <w:jc w:val="both"/>
              <w:rPr>
                <w:rFonts w:ascii="Times New Roman" w:hAnsi="Times New Roman"/>
              </w:rPr>
            </w:pPr>
            <w:r w:rsidRPr="002E4361">
              <w:rPr>
                <w:rFonts w:ascii="Times New Roman" w:hAnsi="Times New Roman"/>
              </w:rPr>
              <w:t xml:space="preserve">Návrh na vrátenie stavu v oblasti odpisových skupín a doby odpisovania na stav aký bol za účinnosti zákona o dani z príjmov do 31.12.2014, pričom navrhujú skrátenie doby odpisovania zo súčasných 40 rokov na 20 rokov odpisovania. </w:t>
            </w:r>
          </w:p>
          <w:p w:rsidR="002E4361" w:rsidRPr="002E4361" w:rsidP="002E4361">
            <w:pPr>
              <w:pStyle w:val="ListParagraph"/>
              <w:numPr>
                <w:numId w:val="13"/>
              </w:numPr>
              <w:bidi w:val="0"/>
              <w:jc w:val="both"/>
              <w:rPr>
                <w:rFonts w:ascii="Times New Roman" w:hAnsi="Times New Roman"/>
                <w:b/>
              </w:rPr>
            </w:pPr>
            <w:r w:rsidRPr="002E4361">
              <w:rPr>
                <w:rFonts w:ascii="Times New Roman" w:hAnsi="Times New Roman"/>
                <w:b/>
              </w:rPr>
              <w:t xml:space="preserve">sadzba dane právnickej osoby </w:t>
            </w:r>
          </w:p>
          <w:p w:rsidR="002E4361" w:rsidRPr="002E4361" w:rsidP="002E4361">
            <w:pPr>
              <w:pStyle w:val="ListParagraph"/>
              <w:bidi w:val="0"/>
              <w:jc w:val="both"/>
              <w:rPr>
                <w:rFonts w:ascii="Times New Roman" w:hAnsi="Times New Roman"/>
              </w:rPr>
            </w:pPr>
            <w:r w:rsidRPr="002E4361">
              <w:rPr>
                <w:rFonts w:ascii="Times New Roman" w:hAnsi="Times New Roman"/>
              </w:rPr>
              <w:t xml:space="preserve">zníženie sadzby dane na 10% pre kúpeľné zariadenia (subjekty podnikajúce na základe rozhodnutia Štátnej kúpeľnej komisie Ministerstva zdravotníctva SR, ktorá povoľuje poskytovanie ústavnej zdravotnej starostlivosti v prírodných kúpeľných zariadeniach). Túto úpravu navrhuje ASK realizovať ako súčasť balíka na podporu a rozvoj slovenského kúpeľníctva, pričom tento podnet považujú za stimulačný nástroj s pozitívnym dopadom na výber dane, </w:t>
            </w:r>
          </w:p>
          <w:p w:rsidR="002E4361" w:rsidRPr="002E4361" w:rsidP="002E4361">
            <w:pPr>
              <w:pStyle w:val="ListParagraph"/>
              <w:numPr>
                <w:numId w:val="14"/>
              </w:numPr>
              <w:bidi w:val="0"/>
              <w:jc w:val="both"/>
              <w:rPr>
                <w:rFonts w:ascii="Times New Roman" w:hAnsi="Times New Roman"/>
              </w:rPr>
            </w:pPr>
            <w:r w:rsidRPr="002E4361">
              <w:rPr>
                <w:rFonts w:ascii="Times New Roman" w:hAnsi="Times New Roman"/>
              </w:rPr>
              <w:t>navrhli zníženie sadzby DPH na služby v hotelierstve,</w:t>
            </w:r>
          </w:p>
          <w:p w:rsidR="002E4361" w:rsidRPr="002E4361" w:rsidP="002E4361">
            <w:pPr>
              <w:pStyle w:val="ListParagraph"/>
              <w:numPr>
                <w:numId w:val="14"/>
              </w:numPr>
              <w:bidi w:val="0"/>
              <w:jc w:val="both"/>
              <w:rPr>
                <w:rFonts w:ascii="Times New Roman" w:hAnsi="Times New Roman"/>
              </w:rPr>
            </w:pPr>
            <w:r w:rsidRPr="002E4361">
              <w:rPr>
                <w:rFonts w:ascii="Times New Roman" w:hAnsi="Times New Roman"/>
              </w:rPr>
              <w:t>navrhli osobitný stimul pre podporu rozvoja kúpeľníctva – aby sa ustanovilo, že poplatky za liečivé pramene platené kúpeľnými zariadeniami, patria do rozpočtu miest a obcí. Ich následné využitie zo strany miest a obcí by bolo viazané na opravu a vybudovanie infraštruktúry v oblastiach, v ktorých pôsobia tieto kúpeľné zariadenia,</w:t>
            </w:r>
          </w:p>
          <w:p w:rsidR="002E4361" w:rsidRPr="002E4361" w:rsidP="002E4361">
            <w:pPr>
              <w:pStyle w:val="ListParagraph"/>
              <w:numPr>
                <w:numId w:val="14"/>
              </w:numPr>
              <w:bidi w:val="0"/>
              <w:jc w:val="both"/>
              <w:rPr>
                <w:rFonts w:ascii="Times New Roman" w:hAnsi="Times New Roman"/>
              </w:rPr>
            </w:pPr>
            <w:r w:rsidRPr="002E4361">
              <w:rPr>
                <w:rFonts w:ascii="Times New Roman" w:hAnsi="Times New Roman"/>
              </w:rPr>
              <w:t>uviedli, že by nemali byť robené kroky, ktoré by narušovali kompetencie miest a obcí v súvislosti s výberom dane za ubytovanie a dane z nehnuteľnosti, lebo by to narušilo rozpočty miest a obcí.</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tabs>
                <w:tab w:val="left" w:pos="7485"/>
              </w:tabs>
              <w:bidi w:val="0"/>
              <w:spacing w:after="0" w:line="240" w:lineRule="auto"/>
              <w:jc w:val="both"/>
              <w:rPr>
                <w:rFonts w:ascii="Times New Roman" w:hAnsi="Times New Roman" w:cs="Times New Roman"/>
                <w:sz w:val="24"/>
                <w:szCs w:val="24"/>
              </w:rPr>
            </w:pPr>
            <w:r w:rsidRPr="002E4361">
              <w:rPr>
                <w:rFonts w:ascii="Times New Roman" w:hAnsi="Times New Roman" w:cs="Times New Roman"/>
                <w:b/>
                <w:sz w:val="24"/>
                <w:szCs w:val="24"/>
              </w:rPr>
              <w:t>K bodu 3</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jc w:val="both"/>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b/>
                <w:sz w:val="24"/>
                <w:szCs w:val="24"/>
              </w:rPr>
              <w:t>K bodu 4</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Neboli vznesené žiadne pripomienky.</w:t>
            </w:r>
          </w:p>
          <w:p w:rsidR="002E4361" w:rsidRPr="002E4361" w:rsidP="002E4361">
            <w:pPr>
              <w:bidi w:val="0"/>
              <w:spacing w:after="0" w:line="240" w:lineRule="auto"/>
              <w:rPr>
                <w:rFonts w:ascii="Times New Roman" w:hAnsi="Times New Roman" w:cs="Times New Roman"/>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Pripomienky nad rámec návrhu novely zákona </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sz w:val="24"/>
                <w:szCs w:val="24"/>
              </w:rPr>
              <w:t>Zúčastnené subjekty zároveň predniesli aj pripomienky nad rámec návrhu novely zákona. Tieto pripomienky smerovali k riešeniu problematických oblastí v závislosti od jednotlivých subjektov.</w:t>
            </w:r>
          </w:p>
          <w:p w:rsidR="002E4361" w:rsidRPr="002E4361" w:rsidP="002E4361">
            <w:pPr>
              <w:bidi w:val="0"/>
              <w:spacing w:after="0" w:line="240" w:lineRule="auto"/>
              <w:jc w:val="both"/>
              <w:rPr>
                <w:rFonts w:ascii="Times New Roman" w:hAnsi="Times New Roman" w:cs="Times New Roman"/>
                <w:sz w:val="24"/>
                <w:szCs w:val="24"/>
              </w:rPr>
            </w:pP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3.3 Náklady regulácie</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sz w:val="24"/>
                <w:szCs w:val="24"/>
              </w:rPr>
              <w:t xml:space="preserve">      - </w:t>
            </w:r>
            <w:r w:rsidRPr="002E4361">
              <w:rPr>
                <w:rFonts w:ascii="Times New Roman" w:hAnsi="Times New Roman" w:cs="Times New Roman"/>
                <w:b/>
                <w:sz w:val="24"/>
                <w:szCs w:val="24"/>
              </w:rPr>
              <w:t>z toho MSP</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3.3.1 Priame finančné náklady</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Predpokladá sa zníženie priamych finančných nákladov v súvislosti so:</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 zavedením osobitného režimu uplatňovania odpisov technického zhodnotenia v kúpeľníctve </w:t>
            </w:r>
          </w:p>
          <w:p w:rsidR="002E4361" w:rsidRPr="002E4361" w:rsidP="002E4361">
            <w:pPr>
              <w:shd w:val="clear" w:color="auto" w:fill="FFFFFF"/>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 zmenou vo výpočte odpočtu nákladov na výskum a vývoj </w:t>
            </w:r>
          </w:p>
          <w:p w:rsidR="002E4361" w:rsidRPr="002E4361" w:rsidP="002E4361">
            <w:pPr>
              <w:shd w:val="clear" w:color="auto" w:fill="FFFFFF"/>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 oslobodením stravy poskytovanej lekárom v rámci vzdelávacích podujatí </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color w:val="FF0000"/>
                <w:sz w:val="24"/>
                <w:szCs w:val="24"/>
              </w:rPr>
            </w:pPr>
            <w:r w:rsidRPr="002E4361">
              <w:rPr>
                <w:rFonts w:ascii="Times New Roman" w:hAnsi="Times New Roman" w:cs="Times New Roman"/>
                <w:b/>
                <w:sz w:val="24"/>
                <w:szCs w:val="24"/>
              </w:rPr>
              <w:t>Uvedené opatrenia budú mať pozitívny vplyv na podnikateľské prostredie vo výške 9,1 mil. eur v roku 2018 až do 14,0 mil. eur v roku 2020.</w:t>
            </w:r>
            <w:r w:rsidRPr="002E4361">
              <w:rPr>
                <w:rFonts w:ascii="Times New Roman" w:hAnsi="Times New Roman" w:cs="Times New Roman"/>
                <w:b/>
                <w:color w:val="FF0000"/>
                <w:sz w:val="24"/>
                <w:szCs w:val="24"/>
              </w:rPr>
              <w:t xml:space="preserve"> </w:t>
            </w:r>
          </w:p>
          <w:p w:rsidR="002E4361" w:rsidRPr="002E4361" w:rsidP="002E4361">
            <w:pPr>
              <w:bidi w:val="0"/>
              <w:spacing w:after="0" w:line="240" w:lineRule="auto"/>
              <w:rPr>
                <w:rFonts w:ascii="Times New Roman" w:hAnsi="Times New Roman" w:cs="Times New Roman"/>
                <w:b/>
                <w:color w:val="FF0000"/>
                <w:sz w:val="24"/>
                <w:szCs w:val="24"/>
              </w:rPr>
            </w:pP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 xml:space="preserve">Pozitívny vplyv sa očakáva z dôvodu zmiernenia následkov porušenia princípu nezávislého vzťahu v procese prijímania investičnej pomoci kedy daňovník – prijímateľ investičnej pomoci stratí nárok na úľavu na dani len v príslušnom zdaňovacom období, v ktorom došlo k porušeniu princípu nezávislého vzťahu a nebude dochádzať k automatickému zániku práva na uplatnenie úľavy na dani za všetky zdaňovacie obdobia, v ktorých si úľavu na dani uplatnil alebo mohol uplatniť. </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Rovnako pozitívny vplyv sa očakáva pri zavedení osobitného daňového režimu pre komerčné využívanie nehmotných aktív a to v súvislosti s oslobodením zákonom vymedzených príjmov. Vzhľadom na nedostupnosť údajov nie je možné uviesť kvantifikáciu vplyvu na podnikateľské prostredie.</w:t>
            </w:r>
          </w:p>
          <w:p w:rsidR="002E4361" w:rsidRPr="002E4361" w:rsidP="002E4361">
            <w:pPr>
              <w:bidi w:val="0"/>
              <w:spacing w:after="0" w:line="240" w:lineRule="auto"/>
              <w:jc w:val="both"/>
              <w:rPr>
                <w:rFonts w:ascii="Times New Roman" w:hAnsi="Times New Roman" w:cs="Times New Roman"/>
                <w:b/>
                <w:sz w:val="24"/>
                <w:szCs w:val="24"/>
              </w:rPr>
            </w:pP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Pozitívny vplyv sa očakáva v súvislosti so zavedením nového inštitútu oddlženia formou konkurzu a splátkového kalendára u fyzickej osoby, v rámci ktorého sa umožňuje považovať za daňový výdavok aj odpis pohľadávok v rozsahu, v akom nebudú uspokojené v konkurze alebo splátkovým kalendárom.</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Negatívny vplyv sa očakáva z dôvodu zavedenia:</w:t>
            </w: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 xml:space="preserve">- zdaňovania pri odchode  - a to v súvislosti so zdanením ekonomickej hodnoty všetkých kapitálových ziskov vytvorených na území SR (aj keď tento zisk nebol v čase odchodu realizovaný) vyplývajúcej z presunu majetku alebo zmeny rezidencie mimo územia SR prostredníctvom osobitného základu dane pri použití sadzby dane vo výške 21 %, </w:t>
            </w: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 xml:space="preserve">- pravidiel pre kontrolované zahraničné spoločnosti. </w:t>
            </w:r>
          </w:p>
          <w:p w:rsidR="002E4361" w:rsidRPr="002E4361" w:rsidP="002E4361">
            <w:pPr>
              <w:bidi w:val="0"/>
              <w:spacing w:after="0" w:line="240" w:lineRule="auto"/>
              <w:jc w:val="both"/>
              <w:rPr>
                <w:rFonts w:ascii="Times New Roman" w:hAnsi="Times New Roman" w:cs="Times New Roman"/>
                <w:b/>
                <w:sz w:val="24"/>
                <w:szCs w:val="24"/>
              </w:rPr>
            </w:pPr>
            <w:r w:rsidRPr="002E4361">
              <w:rPr>
                <w:rFonts w:ascii="Times New Roman" w:hAnsi="Times New Roman" w:cs="Times New Roman"/>
                <w:b/>
                <w:sz w:val="24"/>
                <w:szCs w:val="24"/>
              </w:rPr>
              <w:t>Vplyv zavedenia zdaňovania pri odchode a ustanovenia pravidiel pre kontrolované zahraničné spoločnosti nie je možné vyčísliť.</w:t>
            </w:r>
          </w:p>
          <w:p w:rsidR="002E4361" w:rsidRPr="002E4361" w:rsidP="002E4361">
            <w:pPr>
              <w:bidi w:val="0"/>
              <w:spacing w:after="0" w:line="240" w:lineRule="auto"/>
              <w:rPr>
                <w:rFonts w:ascii="Times New Roman" w:hAnsi="Times New Roman" w:cs="Times New Roman"/>
                <w:b/>
                <w:i/>
                <w:sz w:val="24"/>
                <w:szCs w:val="24"/>
              </w:rPr>
            </w:pP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3.3.2 Nepriame finančné náklady</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Predloženými návrhmi nedochádza k vzniku nepriamych nákladov zo strany podnikateľov. </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Predkladaný návrh nezvyšuje náklady súvisiace so zamestnávaním.</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i/>
                <w:sz w:val="24"/>
                <w:szCs w:val="24"/>
              </w:rPr>
            </w:pP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3.3.3 Administratívne náklady</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Zavedenie osobitného daňového režimu pre komerčné využívanie nehmotných aktív je spojené so zavedením evidenčnej povinnosti pre daňové subjekty, ktorá spočíva v sledovaní nákladov na vývoj nehmotných aktív a pod. Ustanovené evidencie však daňové subjekty nebudú povinné predkladať správcovi dane pri podaní daňového priznania ale až pri prípadnej daňovej kontrole. Zavedenie týchto oznamovacích povinností nepredstavuje osobitné finančné náklady daňových subjektov, nakoľko tieto údaje je možné získať z účtovnej evidencie.</w:t>
            </w:r>
          </w:p>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 xml:space="preserve">V súvislosti so zavedením zdanenia pri odchode a možnosťou splátkového kalendára vznikne daňovníkovi povinnosť oznámiť správcovi dane vybrané skutočnosti, ktoré budú mať za následok ukončenie možnosti zvýhodneného režimu platenia dane pri odchode vo forme splátkového kalendára. </w:t>
            </w:r>
          </w:p>
          <w:p w:rsidR="002E4361" w:rsidRPr="002E4361" w:rsidP="002E4361">
            <w:pPr>
              <w:bidi w:val="0"/>
              <w:spacing w:after="0" w:line="240" w:lineRule="auto"/>
              <w:rPr>
                <w:rFonts w:ascii="Times New Roman" w:hAnsi="Times New Roman" w:cs="Times New Roman"/>
                <w:b/>
                <w:i/>
                <w:sz w:val="24"/>
                <w:szCs w:val="24"/>
              </w:rPr>
            </w:pPr>
          </w:p>
          <w:p w:rsidR="002E4361" w:rsidRPr="002E4361" w:rsidP="002E4361">
            <w:pPr>
              <w:bidi w:val="0"/>
              <w:spacing w:after="0" w:line="240" w:lineRule="auto"/>
              <w:rPr>
                <w:rFonts w:ascii="Times New Roman" w:hAnsi="Times New Roman" w:cs="Times New Roman"/>
                <w:b/>
                <w:bCs/>
                <w:sz w:val="24"/>
                <w:szCs w:val="24"/>
              </w:rPr>
            </w:pPr>
          </w:p>
          <w:p w:rsidR="002E4361" w:rsidRPr="002E4361" w:rsidP="002E4361">
            <w:pPr>
              <w:bidi w:val="0"/>
              <w:spacing w:after="0" w:line="240" w:lineRule="auto"/>
              <w:rPr>
                <w:rFonts w:ascii="Times New Roman" w:hAnsi="Times New Roman" w:cs="Times New Roman"/>
                <w:b/>
                <w:i/>
                <w:sz w:val="24"/>
                <w:szCs w:val="24"/>
              </w:rPr>
            </w:pPr>
          </w:p>
        </w:tc>
      </w:tr>
      <w:tr>
        <w:tblPrEx>
          <w:tblW w:w="10348" w:type="dxa"/>
          <w:tblInd w:w="-572" w:type="dxa"/>
          <w:tblLook w:val="04A0"/>
        </w:tblPrEx>
        <w:trPr>
          <w:trHeight w:val="2318"/>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b/>
                <w:i/>
                <w:sz w:val="24"/>
                <w:szCs w:val="24"/>
              </w:rPr>
              <w:t>3.3.4 Súhrnná tabuľka nákladov regulácie</w:t>
            </w:r>
          </w:p>
          <w:p w:rsidR="002E4361" w:rsidRPr="002E4361" w:rsidP="002E4361">
            <w:pPr>
              <w:bidi w:val="0"/>
              <w:spacing w:after="0" w:line="240" w:lineRule="auto"/>
              <w:rPr>
                <w:rFonts w:ascii="Times New Roman" w:hAnsi="Times New Roman" w:cs="Times New Roman"/>
                <w:i/>
                <w:sz w:val="24"/>
                <w:szCs w:val="24"/>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i/>
                      <w:sz w:val="24"/>
                      <w:szCs w:val="24"/>
                    </w:rPr>
                  </w:pPr>
                  <w:r w:rsidRPr="002E4361">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b/>
                      <w:i/>
                      <w:sz w:val="24"/>
                      <w:szCs w:val="24"/>
                    </w:rPr>
                  </w:pPr>
                  <w:r w:rsidRPr="002E4361">
                    <w:rPr>
                      <w:rFonts w:ascii="Times New Roman" w:hAnsi="Times New Roman" w:cs="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b/>
                      <w:i/>
                      <w:sz w:val="24"/>
                      <w:szCs w:val="24"/>
                    </w:rPr>
                  </w:pPr>
                  <w:r w:rsidRPr="002E4361">
                    <w:rPr>
                      <w:rFonts w:ascii="Times New Roman" w:hAnsi="Times New Roman" w:cs="Times New Roman"/>
                      <w:b/>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jc w:val="center"/>
                    <w:rPr>
                      <w:rFonts w:ascii="Times New Roman" w:hAnsi="Times New Roman" w:cs="Times New Roman"/>
                      <w:b/>
                      <w:i/>
                      <w:sz w:val="24"/>
                      <w:szCs w:val="24"/>
                    </w:rPr>
                  </w:pPr>
                  <w:r w:rsidRPr="002E4361">
                    <w:rPr>
                      <w:rFonts w:ascii="Times New Roman" w:hAnsi="Times New Roman" w:cs="Times New Roman"/>
                      <w:b/>
                      <w:i/>
                      <w:sz w:val="24"/>
                      <w:szCs w:val="24"/>
                    </w:rPr>
                    <w:t>0</w:t>
                  </w:r>
                </w:p>
              </w:tc>
            </w:tr>
          </w:tbl>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b/>
                <w:i/>
                <w:sz w:val="24"/>
                <w:szCs w:val="24"/>
              </w:rPr>
              <w:t>V prípade zavedenia zdanenia pri odchode, pravidiel pre kontrolované zahraničné spoločnosti a zavedenia evidenčnej povinnosti pri nákladoch na vývoj nehmotných aktív nie sú dostupné údaje pre kvantifikáciu vplyvu na podnikateľské prostredie a podnikateľa.</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3.4 Konkurencieschopnosť a správanie sa podnikov na trhu</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b/>
                <w:sz w:val="24"/>
                <w:szCs w:val="24"/>
              </w:rPr>
              <w:t xml:space="preserve">       </w:t>
            </w:r>
            <w:r w:rsidRPr="002E4361">
              <w:rPr>
                <w:rFonts w:ascii="Times New Roman" w:hAnsi="Times New Roman" w:cs="Times New Roman"/>
                <w:sz w:val="24"/>
                <w:szCs w:val="24"/>
              </w:rPr>
              <w:t xml:space="preserve">- </w:t>
            </w:r>
            <w:r w:rsidRPr="002E4361">
              <w:rPr>
                <w:rFonts w:ascii="Times New Roman" w:hAnsi="Times New Roman" w:cs="Times New Roman"/>
                <w:b/>
                <w:sz w:val="24"/>
                <w:szCs w:val="24"/>
              </w:rPr>
              <w:t>z toho MSP</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Ako ovplyvní cenu alebo dostupnosť základných zdrojov (suroviny, mechanizmy, pracovná sila, energie atď.)?</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Ovplyvňuje prístup k financiám? Ak áno, ako?</w:t>
            </w:r>
          </w:p>
        </w:tc>
      </w:tr>
      <w:tr>
        <w:tblPrEx>
          <w:tblW w:w="10348" w:type="dxa"/>
          <w:tblInd w:w="-572" w:type="dxa"/>
          <w:tblLook w:val="04A0"/>
        </w:tblPrEx>
        <w:trPr>
          <w:trHeight w:val="1282"/>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b/>
                <w:sz w:val="24"/>
                <w:szCs w:val="24"/>
              </w:rPr>
              <w:t>Nepredpokladá sa vplyv navrhovanej zmeny na konkurencieschopnosť a správanie podnikov na trhu</w:t>
            </w:r>
            <w:r w:rsidRPr="002E4361">
              <w:rPr>
                <w:rFonts w:ascii="Times New Roman" w:hAnsi="Times New Roman" w:cs="Times New Roman"/>
                <w:sz w:val="24"/>
                <w:szCs w:val="24"/>
              </w:rPr>
              <w:t>.</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 xml:space="preserve">3.5 Inovácie </w:t>
            </w: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sz w:val="24"/>
                <w:szCs w:val="24"/>
              </w:rPr>
              <w:t xml:space="preserve">       - </w:t>
            </w:r>
            <w:r w:rsidRPr="002E4361">
              <w:rPr>
                <w:rFonts w:ascii="Times New Roman" w:hAnsi="Times New Roman" w:cs="Times New Roman"/>
                <w:b/>
                <w:sz w:val="24"/>
                <w:szCs w:val="24"/>
              </w:rPr>
              <w:t>z toho MSP</w:t>
            </w:r>
          </w:p>
        </w:tc>
      </w:tr>
      <w:tr>
        <w:tblPrEx>
          <w:tblW w:w="10348" w:type="dxa"/>
          <w:tblInd w:w="-572" w:type="dxa"/>
          <w:tblLook w:val="04A0"/>
        </w:tblPrEx>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Uveďte, ako podporuje navrhovaná zmena inovácie.</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Zjednodušuje uvedenie alebo rozšírenie nových výrobných metód, technológií a výrobkov na trh?</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Uveďte, ako vplýva navrhovaná zmena na jednotlivé práva duševného vlastníctva (napr. patenty, ochranné známky, autorské práva, vlastníctvo know-how).</w:t>
            </w:r>
          </w:p>
          <w:p w:rsidR="002E4361" w:rsidRPr="002E4361" w:rsidP="002E4361">
            <w:pPr>
              <w:bidi w:val="0"/>
              <w:spacing w:after="0" w:line="240" w:lineRule="auto"/>
              <w:rPr>
                <w:rFonts w:ascii="Times New Roman" w:hAnsi="Times New Roman" w:cs="Times New Roman"/>
                <w:i/>
                <w:sz w:val="24"/>
                <w:szCs w:val="24"/>
              </w:rPr>
            </w:pPr>
            <w:r w:rsidRPr="002E4361">
              <w:rPr>
                <w:rFonts w:ascii="Times New Roman" w:hAnsi="Times New Roman" w:cs="Times New Roman"/>
                <w:i/>
                <w:sz w:val="24"/>
                <w:szCs w:val="24"/>
              </w:rPr>
              <w:t>Podporuje vyššiu efektivitu výroby/využívania zdrojov? Ak áno, ako?</w:t>
            </w:r>
          </w:p>
          <w:p w:rsidR="002E4361" w:rsidRPr="002E4361" w:rsidP="002E4361">
            <w:pPr>
              <w:bidi w:val="0"/>
              <w:spacing w:after="0" w:line="240" w:lineRule="auto"/>
              <w:rPr>
                <w:rFonts w:ascii="Times New Roman" w:hAnsi="Times New Roman" w:cs="Times New Roman"/>
                <w:sz w:val="24"/>
                <w:szCs w:val="24"/>
              </w:rPr>
            </w:pPr>
            <w:r w:rsidRPr="002E4361">
              <w:rPr>
                <w:rFonts w:ascii="Times New Roman" w:hAnsi="Times New Roman" w:cs="Times New Roman"/>
                <w:i/>
                <w:sz w:val="24"/>
                <w:szCs w:val="24"/>
              </w:rPr>
              <w:t>Vytvorí zmena nové pracovné miesta pre zamestnancov výskumu a vývoja v SR?</w:t>
            </w:r>
          </w:p>
        </w:tc>
      </w:tr>
      <w:tr>
        <w:tblPrEx>
          <w:tblW w:w="10348" w:type="dxa"/>
          <w:tblInd w:w="-572" w:type="dxa"/>
          <w:tblLook w:val="04A0"/>
        </w:tblPrEx>
        <w:trPr>
          <w:trHeight w:val="1747"/>
        </w:trPr>
        <w:tc>
          <w:tcPr>
            <w:tcW w:w="10348" w:type="dxa"/>
            <w:tcBorders>
              <w:top w:val="single" w:sz="4" w:space="0" w:color="auto"/>
              <w:left w:val="single" w:sz="4" w:space="0" w:color="auto"/>
              <w:bottom w:val="single" w:sz="4" w:space="0" w:color="auto"/>
              <w:right w:val="single" w:sz="4" w:space="0" w:color="auto"/>
            </w:tcBorders>
            <w:textDirection w:val="lrTb"/>
            <w:vAlign w:val="top"/>
          </w:tcPr>
          <w:p w:rsidR="002E4361" w:rsidRPr="002E4361" w:rsidP="002E4361">
            <w:pPr>
              <w:bidi w:val="0"/>
              <w:spacing w:after="0" w:line="240" w:lineRule="auto"/>
              <w:rPr>
                <w:rFonts w:ascii="Times New Roman" w:hAnsi="Times New Roman" w:cs="Times New Roman"/>
                <w:i/>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Zmena vo výpočte odpočtu nákladov na výskum a vývoj bude znamenať významné zvýšenie položky, ktorá bude znižovať základ dane daňového subjektu, ktorý vykonáva podnikový výskum a vývoj. Na strane tohto daňového subjektu príde úsporou na dani k vytvoreniu dodatočných zdrojov, ktoré bude možné venovať na rozvoj podnikania. Podporou podnikového výskumu a vývoja prichádza k rýchlejšiemu zavádzaniu moderných technológii a spôsobov výroby a tým aj k zvýšeniu efektívnosti výroby. Zároveň sa vytvára motivácia k zvýšeniu zamestnanosti v oblasti výskumu a vývoja.</w:t>
            </w:r>
          </w:p>
          <w:p w:rsidR="002E4361" w:rsidRPr="002E4361" w:rsidP="002E4361">
            <w:pPr>
              <w:bidi w:val="0"/>
              <w:spacing w:after="0" w:line="240" w:lineRule="auto"/>
              <w:rPr>
                <w:rFonts w:ascii="Times New Roman" w:hAnsi="Times New Roman" w:cs="Times New Roman"/>
                <w:b/>
                <w:sz w:val="24"/>
                <w:szCs w:val="24"/>
              </w:rPr>
            </w:pPr>
          </w:p>
          <w:p w:rsidR="002E4361" w:rsidRPr="002E4361" w:rsidP="002E4361">
            <w:pPr>
              <w:bidi w:val="0"/>
              <w:spacing w:after="0" w:line="240" w:lineRule="auto"/>
              <w:rPr>
                <w:rFonts w:ascii="Times New Roman" w:hAnsi="Times New Roman" w:cs="Times New Roman"/>
                <w:b/>
                <w:sz w:val="24"/>
                <w:szCs w:val="24"/>
              </w:rPr>
            </w:pPr>
            <w:r w:rsidRPr="002E4361">
              <w:rPr>
                <w:rFonts w:ascii="Times New Roman" w:hAnsi="Times New Roman" w:cs="Times New Roman"/>
                <w:b/>
                <w:sz w:val="24"/>
                <w:szCs w:val="24"/>
              </w:rPr>
              <w:t>Zavedením osobitného daňového režimu pre komerčné využívanie nehmotných aktív (tzv. patent box) sa vytvára motivácia pre daňové subjekty venovať sa vo svojej podnikateľskej činnosti aj výskumu a vývoju, nakoľko výsledky výskumu a vývoja a ich komerčné využitie bude podliehať výhodnejšiemu zdaneniu ako zvyšná podnikateľská činnosť.  Zároveň sa vytvára motivácia výsledky výskumnej a vývojovej činnosti registrovať na Úrade priemyselného vlastníctva SR. Obdobne ako pri zvýšení odpočtu nákladov na výskum a vývoj aj v tomto prípade zavedenie tohto osobitného daňového režimu môže prispieť k zvýšeniu zamestnanosti v SR.</w:t>
            </w:r>
          </w:p>
        </w:tc>
      </w:tr>
    </w:tbl>
    <w:p w:rsidR="002E4361"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CA2924"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p w:rsidR="00A57582" w:rsidP="00ED036E">
      <w:pPr>
        <w:bidi w:val="0"/>
        <w:spacing w:after="0" w:line="240" w:lineRule="auto"/>
        <w:jc w:val="both"/>
        <w:rPr>
          <w:rFonts w:ascii="Times New Roman" w:hAnsi="Times New Roman" w:cs="Times New Roman"/>
          <w:sz w:val="24"/>
          <w:szCs w:val="24"/>
        </w:rPr>
      </w:pPr>
    </w:p>
    <w:tbl>
      <w:tblPr>
        <w:tblStyle w:val="TableNormal"/>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794"/>
        <w:gridCol w:w="156"/>
        <w:gridCol w:w="4687"/>
        <w:gridCol w:w="13"/>
      </w:tblGrid>
      <w:tr>
        <w:tblPrEx>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gridAfter w:val="1"/>
          <w:wAfter w:w="7" w:type="dxa"/>
          <w:trHeight w:val="534"/>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A2924" w:rsidRPr="00A57582" w:rsidP="007B2961">
            <w:pPr>
              <w:bidi w:val="0"/>
              <w:spacing w:after="0" w:line="240" w:lineRule="auto"/>
              <w:ind w:left="-284" w:firstLine="284"/>
              <w:jc w:val="center"/>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Analýza sociálnych vplyvov</w:t>
            </w:r>
          </w:p>
          <w:p w:rsidR="00CA2924" w:rsidRPr="00A57582" w:rsidP="007B2961">
            <w:pPr>
              <w:bidi w:val="0"/>
              <w:spacing w:after="0" w:line="240" w:lineRule="auto"/>
              <w:jc w:val="center"/>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Vplyvy na hospodárenie domácností, prístup k zdrojom, právam, tovarom a službám, sociálnu inklúziu, rovnosť príležitostí a rodovú rovnosť a vplyvy na zamestnanosť</w:t>
            </w: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nil"/>
              <w:right w:val="single" w:sz="4" w:space="0" w:color="auto"/>
            </w:tcBorders>
            <w:shd w:val="clear" w:color="auto" w:fill="D9D9D9"/>
            <w:textDirection w:val="lrTb"/>
            <w:vAlign w:val="top"/>
          </w:tcPr>
          <w:p w:rsidR="00CA2924" w:rsidRPr="00A57582" w:rsidP="007B2961">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4.1 Identifikujte, popíšte a kvantifikujte vplyv na hospodárenie domácností a špecifikujte ovplyvnené skupiny domácností, ktoré budú pozitívne/negatívne ovplyvnené.</w:t>
            </w: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nil"/>
              <w:right w:val="single" w:sz="4" w:space="0" w:color="auto"/>
            </w:tcBorders>
            <w:shd w:val="clear" w:color="auto" w:fill="D9D9D9"/>
            <w:textDirection w:val="lrTb"/>
            <w:vAlign w:val="top"/>
          </w:tcPr>
          <w:p w:rsidR="00CA2924" w:rsidRPr="00A57582" w:rsidP="00CA2924">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 xml:space="preserve">Vedie návrh k zvýšeniu alebo zníženiu príjmov alebo výdavkov domácností? </w:t>
            </w:r>
          </w:p>
          <w:p w:rsidR="00CA2924" w:rsidRPr="00A57582" w:rsidP="00CA2924">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 xml:space="preserve">Ktoré skupiny domácností/obyvateľstva sú takto ovplyvnené a akým spôsobom? </w:t>
            </w:r>
          </w:p>
          <w:p w:rsidR="00CA2924" w:rsidRPr="00A57582" w:rsidP="00CA2924">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Sú medzi potenciálne ovplyvnenými skupinami skupiny v riziku chudoby alebo sociálneho vylúčenia?</w:t>
            </w:r>
          </w:p>
        </w:tc>
      </w:tr>
      <w:tr>
        <w:tblPrEx>
          <w:tblW w:w="5180" w:type="pct"/>
          <w:jc w:val="center"/>
          <w:tblCellMar>
            <w:top w:w="28" w:type="dxa"/>
            <w:bottom w:w="28" w:type="dxa"/>
          </w:tblCellMar>
          <w:tblLook w:val="04A0"/>
        </w:tblPrEx>
        <w:trPr>
          <w:gridAfter w:val="1"/>
          <w:wAfter w:w="7" w:type="dxa"/>
          <w:trHeight w:val="759"/>
          <w:jc w:val="center"/>
        </w:trPr>
        <w:tc>
          <w:tcPr>
            <w:tcW w:w="2413" w:type="pct"/>
            <w:gridSpan w:val="2"/>
            <w:tcBorders>
              <w:top w:val="nil"/>
              <w:left w:val="single" w:sz="4" w:space="0" w:color="auto"/>
              <w:bottom w:val="dotted"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Popíš</w:t>
            </w:r>
            <w:r w:rsidRPr="00A57582">
              <w:rPr>
                <w:rFonts w:ascii="Times New Roman" w:eastAsia="Calibri" w:hAnsi="Times New Roman" w:cs="Times New Roman" w:hint="default"/>
                <w:i/>
                <w:sz w:val="24"/>
                <w:szCs w:val="24"/>
                <w:lang w:eastAsia="sk-SK"/>
              </w:rPr>
              <w:t xml:space="preserve">te </w:t>
            </w:r>
            <w:r w:rsidRPr="00A57582">
              <w:rPr>
                <w:rFonts w:ascii="Times New Roman" w:eastAsia="Calibri" w:hAnsi="Times New Roman" w:cs="Times New Roman" w:hint="default"/>
                <w:b/>
                <w:i/>
                <w:sz w:val="24"/>
                <w:szCs w:val="24"/>
                <w:lang w:eastAsia="sk-SK"/>
              </w:rPr>
              <w:t>pozití</w:t>
            </w:r>
            <w:r w:rsidRPr="00A57582">
              <w:rPr>
                <w:rFonts w:ascii="Times New Roman" w:eastAsia="Calibri" w:hAnsi="Times New Roman" w:cs="Times New Roman" w:hint="default"/>
                <w:b/>
                <w:i/>
                <w:sz w:val="24"/>
                <w:szCs w:val="24"/>
                <w:lang w:eastAsia="sk-SK"/>
              </w:rPr>
              <w:t>vny</w:t>
            </w:r>
            <w:r w:rsidRPr="00A57582">
              <w:rPr>
                <w:rFonts w:ascii="Times New Roman" w:eastAsia="Calibri" w:hAnsi="Times New Roman" w:cs="Times New Roman" w:hint="default"/>
                <w:i/>
                <w:sz w:val="24"/>
                <w:szCs w:val="24"/>
                <w:lang w:eastAsia="sk-SK"/>
              </w:rPr>
              <w:t xml:space="preserve"> vplyv na hospodá</w:t>
            </w:r>
            <w:r w:rsidRPr="00A57582">
              <w:rPr>
                <w:rFonts w:ascii="Times New Roman" w:eastAsia="Calibri" w:hAnsi="Times New Roman" w:cs="Times New Roman" w:hint="default"/>
                <w:i/>
                <w:sz w:val="24"/>
                <w:szCs w:val="24"/>
                <w:lang w:eastAsia="sk-SK"/>
              </w:rPr>
              <w:t>renie domá</w:t>
            </w:r>
            <w:r w:rsidRPr="00A57582">
              <w:rPr>
                <w:rFonts w:ascii="Times New Roman" w:eastAsia="Calibri" w:hAnsi="Times New Roman" w:cs="Times New Roman" w:hint="default"/>
                <w:i/>
                <w:sz w:val="24"/>
                <w:szCs w:val="24"/>
                <w:lang w:eastAsia="sk-SK"/>
              </w:rPr>
              <w:t>cností</w:t>
            </w:r>
            <w:r w:rsidRPr="00A57582">
              <w:rPr>
                <w:rFonts w:ascii="Times New Roman" w:eastAsia="Calibri" w:hAnsi="Times New Roman" w:cs="Times New Roman" w:hint="default"/>
                <w:i/>
                <w:sz w:val="24"/>
                <w:szCs w:val="24"/>
                <w:lang w:eastAsia="sk-SK"/>
              </w:rPr>
              <w:t xml:space="preserve"> s </w:t>
            </w:r>
            <w:r w:rsidRPr="00A57582">
              <w:rPr>
                <w:rFonts w:ascii="Times New Roman" w:eastAsia="Calibri" w:hAnsi="Times New Roman" w:cs="Times New Roman" w:hint="default"/>
                <w:i/>
                <w:sz w:val="24"/>
                <w:szCs w:val="24"/>
                <w:lang w:eastAsia="sk-SK"/>
              </w:rPr>
              <w:t>uvedení</w:t>
            </w:r>
            <w:r w:rsidRPr="00A57582">
              <w:rPr>
                <w:rFonts w:ascii="Times New Roman" w:eastAsia="Calibri" w:hAnsi="Times New Roman" w:cs="Times New Roman" w:hint="default"/>
                <w:i/>
                <w:sz w:val="24"/>
                <w:szCs w:val="24"/>
                <w:lang w:eastAsia="sk-SK"/>
              </w:rPr>
              <w:t>m, č</w:t>
            </w:r>
            <w:r w:rsidRPr="00A57582">
              <w:rPr>
                <w:rFonts w:ascii="Times New Roman" w:eastAsia="Calibri" w:hAnsi="Times New Roman" w:cs="Times New Roman" w:hint="default"/>
                <w:i/>
                <w:sz w:val="24"/>
                <w:szCs w:val="24"/>
                <w:lang w:eastAsia="sk-SK"/>
              </w:rPr>
              <w:t>i ide o </w:t>
            </w:r>
            <w:r w:rsidRPr="00A57582">
              <w:rPr>
                <w:rFonts w:ascii="Times New Roman" w:eastAsia="Calibri" w:hAnsi="Times New Roman" w:cs="Times New Roman" w:hint="default"/>
                <w:i/>
                <w:sz w:val="24"/>
                <w:szCs w:val="24"/>
                <w:lang w:eastAsia="sk-SK"/>
              </w:rPr>
              <w:t>zvýš</w:t>
            </w:r>
            <w:r w:rsidRPr="00A57582">
              <w:rPr>
                <w:rFonts w:ascii="Times New Roman" w:eastAsia="Calibri" w:hAnsi="Times New Roman" w:cs="Times New Roman" w:hint="default"/>
                <w:i/>
                <w:sz w:val="24"/>
                <w:szCs w:val="24"/>
                <w:lang w:eastAsia="sk-SK"/>
              </w:rPr>
              <w:t>enie prí</w:t>
            </w:r>
            <w:r w:rsidRPr="00A57582">
              <w:rPr>
                <w:rFonts w:ascii="Times New Roman" w:eastAsia="Calibri" w:hAnsi="Times New Roman" w:cs="Times New Roman" w:hint="default"/>
                <w:i/>
                <w:sz w:val="24"/>
                <w:szCs w:val="24"/>
                <w:lang w:eastAsia="sk-SK"/>
              </w:rPr>
              <w:t>jmov alebo zníž</w:t>
            </w:r>
            <w:r w:rsidRPr="00A57582">
              <w:rPr>
                <w:rFonts w:ascii="Times New Roman" w:eastAsia="Calibri" w:hAnsi="Times New Roman" w:cs="Times New Roman" w:hint="default"/>
                <w:i/>
                <w:sz w:val="24"/>
                <w:szCs w:val="24"/>
                <w:lang w:eastAsia="sk-SK"/>
              </w:rPr>
              <w:t>enie vý</w:t>
            </w:r>
            <w:r w:rsidRPr="00A57582">
              <w:rPr>
                <w:rFonts w:ascii="Times New Roman" w:eastAsia="Calibri" w:hAnsi="Times New Roman" w:cs="Times New Roman" w:hint="default"/>
                <w:i/>
                <w:sz w:val="24"/>
                <w:szCs w:val="24"/>
                <w:lang w:eastAsia="sk-SK"/>
              </w:rPr>
              <w:t>davkov:</w:t>
            </w:r>
          </w:p>
        </w:tc>
        <w:tc>
          <w:tcPr>
            <w:tcW w:w="2580" w:type="pct"/>
            <w:gridSpan w:val="2"/>
            <w:tcBorders>
              <w:top w:val="nil"/>
              <w:left w:val="single" w:sz="4" w:space="0" w:color="auto"/>
              <w:bottom w:val="dotted"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sz w:val="24"/>
                <w:szCs w:val="24"/>
                <w:lang w:eastAsia="sk-SK"/>
              </w:rPr>
            </w:pPr>
            <w:r w:rsidRPr="00A57582">
              <w:rPr>
                <w:rFonts w:ascii="Times New Roman" w:eastAsia="Calibri" w:hAnsi="Times New Roman" w:cs="Times New Roman" w:hint="default"/>
                <w:sz w:val="24"/>
                <w:szCs w:val="24"/>
                <w:lang w:eastAsia="sk-SK"/>
              </w:rPr>
              <w:t>Ná</w:t>
            </w:r>
            <w:r w:rsidRPr="00A57582">
              <w:rPr>
                <w:rFonts w:ascii="Times New Roman" w:eastAsia="Calibri" w:hAnsi="Times New Roman" w:cs="Times New Roman" w:hint="default"/>
                <w:sz w:val="24"/>
                <w:szCs w:val="24"/>
                <w:lang w:eastAsia="sk-SK"/>
              </w:rPr>
              <w:t>vrh zá</w:t>
            </w:r>
            <w:r w:rsidRPr="00A57582">
              <w:rPr>
                <w:rFonts w:ascii="Times New Roman" w:eastAsia="Calibri" w:hAnsi="Times New Roman" w:cs="Times New Roman" w:hint="default"/>
                <w:sz w:val="24"/>
                <w:szCs w:val="24"/>
                <w:lang w:eastAsia="sk-SK"/>
              </w:rPr>
              <w:t>kona predpokladá</w:t>
            </w:r>
            <w:r w:rsidRPr="00A57582">
              <w:rPr>
                <w:rFonts w:ascii="Times New Roman" w:eastAsia="Calibri" w:hAnsi="Times New Roman" w:cs="Times New Roman" w:hint="default"/>
                <w:sz w:val="24"/>
                <w:szCs w:val="24"/>
                <w:lang w:eastAsia="sk-SK"/>
              </w:rPr>
              <w:t xml:space="preserve"> pozití</w:t>
            </w:r>
            <w:r w:rsidRPr="00A57582">
              <w:rPr>
                <w:rFonts w:ascii="Times New Roman" w:eastAsia="Calibri" w:hAnsi="Times New Roman" w:cs="Times New Roman" w:hint="default"/>
                <w:sz w:val="24"/>
                <w:szCs w:val="24"/>
                <w:lang w:eastAsia="sk-SK"/>
              </w:rPr>
              <w:t>vny vplyv na hospodá</w:t>
            </w:r>
            <w:r w:rsidRPr="00A57582">
              <w:rPr>
                <w:rFonts w:ascii="Times New Roman" w:eastAsia="Calibri" w:hAnsi="Times New Roman" w:cs="Times New Roman" w:hint="default"/>
                <w:sz w:val="24"/>
                <w:szCs w:val="24"/>
                <w:lang w:eastAsia="sk-SK"/>
              </w:rPr>
              <w:t>renie domá</w:t>
            </w:r>
            <w:r w:rsidRPr="00A57582">
              <w:rPr>
                <w:rFonts w:ascii="Times New Roman" w:eastAsia="Calibri" w:hAnsi="Times New Roman" w:cs="Times New Roman" w:hint="default"/>
                <w:sz w:val="24"/>
                <w:szCs w:val="24"/>
                <w:lang w:eastAsia="sk-SK"/>
              </w:rPr>
              <w:t>cnosti v </w:t>
            </w:r>
            <w:r w:rsidRPr="00A57582">
              <w:rPr>
                <w:rFonts w:ascii="Times New Roman" w:eastAsia="Calibri" w:hAnsi="Times New Roman" w:cs="Times New Roman" w:hint="default"/>
                <w:sz w:val="24"/>
                <w:szCs w:val="24"/>
                <w:lang w:eastAsia="sk-SK"/>
              </w:rPr>
              <w:t>sú</w:t>
            </w:r>
            <w:r w:rsidRPr="00A57582">
              <w:rPr>
                <w:rFonts w:ascii="Times New Roman" w:eastAsia="Calibri" w:hAnsi="Times New Roman" w:cs="Times New Roman" w:hint="default"/>
                <w:sz w:val="24"/>
                <w:szCs w:val="24"/>
                <w:lang w:eastAsia="sk-SK"/>
              </w:rPr>
              <w:t>vislosti so zavedení</w:t>
            </w:r>
            <w:r w:rsidRPr="00A57582">
              <w:rPr>
                <w:rFonts w:ascii="Times New Roman" w:eastAsia="Calibri" w:hAnsi="Times New Roman" w:cs="Times New Roman" w:hint="default"/>
                <w:sz w:val="24"/>
                <w:szCs w:val="24"/>
                <w:lang w:eastAsia="sk-SK"/>
              </w:rPr>
              <w:t>m ne</w:t>
            </w:r>
            <w:r w:rsidRPr="00A57582">
              <w:rPr>
                <w:rFonts w:ascii="Times New Roman" w:eastAsia="Calibri" w:hAnsi="Times New Roman" w:cs="Times New Roman" w:hint="default"/>
                <w:sz w:val="24"/>
                <w:szCs w:val="24"/>
                <w:lang w:eastAsia="sk-SK"/>
              </w:rPr>
              <w:t>zdaniteľ</w:t>
            </w:r>
            <w:r w:rsidRPr="00A57582">
              <w:rPr>
                <w:rFonts w:ascii="Times New Roman" w:eastAsia="Calibri" w:hAnsi="Times New Roman" w:cs="Times New Roman" w:hint="default"/>
                <w:sz w:val="24"/>
                <w:szCs w:val="24"/>
                <w:lang w:eastAsia="sk-SK"/>
              </w:rPr>
              <w:t>nej č</w:t>
            </w:r>
            <w:r w:rsidRPr="00A57582">
              <w:rPr>
                <w:rFonts w:ascii="Times New Roman" w:eastAsia="Calibri" w:hAnsi="Times New Roman" w:cs="Times New Roman" w:hint="default"/>
                <w:sz w:val="24"/>
                <w:szCs w:val="24"/>
                <w:lang w:eastAsia="sk-SK"/>
              </w:rPr>
              <w:t>asti zá</w:t>
            </w:r>
            <w:r w:rsidRPr="00A57582">
              <w:rPr>
                <w:rFonts w:ascii="Times New Roman" w:eastAsia="Calibri" w:hAnsi="Times New Roman" w:cs="Times New Roman" w:hint="default"/>
                <w:sz w:val="24"/>
                <w:szCs w:val="24"/>
                <w:lang w:eastAsia="sk-SK"/>
              </w:rPr>
              <w:t>kladu dane sú</w:t>
            </w:r>
            <w:r w:rsidRPr="00A57582">
              <w:rPr>
                <w:rFonts w:ascii="Times New Roman" w:eastAsia="Calibri" w:hAnsi="Times New Roman" w:cs="Times New Roman" w:hint="default"/>
                <w:sz w:val="24"/>
                <w:szCs w:val="24"/>
                <w:lang w:eastAsia="sk-SK"/>
              </w:rPr>
              <w:t>visiace s </w:t>
            </w:r>
            <w:r w:rsidRPr="00A57582">
              <w:rPr>
                <w:rFonts w:ascii="Times New Roman" w:eastAsia="Calibri" w:hAnsi="Times New Roman" w:cs="Times New Roman" w:hint="default"/>
                <w:sz w:val="24"/>
                <w:szCs w:val="24"/>
                <w:lang w:eastAsia="sk-SK"/>
              </w:rPr>
              <w:t>kú</w:t>
            </w:r>
            <w:r w:rsidRPr="00A57582">
              <w:rPr>
                <w:rFonts w:ascii="Times New Roman" w:eastAsia="Calibri" w:hAnsi="Times New Roman" w:cs="Times New Roman" w:hint="default"/>
                <w:sz w:val="24"/>
                <w:szCs w:val="24"/>
                <w:lang w:eastAsia="sk-SK"/>
              </w:rPr>
              <w:t>peľ</w:t>
            </w:r>
            <w:r w:rsidRPr="00A57582">
              <w:rPr>
                <w:rFonts w:ascii="Times New Roman" w:eastAsia="Calibri" w:hAnsi="Times New Roman" w:cs="Times New Roman" w:hint="default"/>
                <w:sz w:val="24"/>
                <w:szCs w:val="24"/>
                <w:lang w:eastAsia="sk-SK"/>
              </w:rPr>
              <w:t>nou starostlivosť</w:t>
            </w:r>
            <w:r w:rsidRPr="00A57582">
              <w:rPr>
                <w:rFonts w:ascii="Times New Roman" w:eastAsia="Calibri" w:hAnsi="Times New Roman" w:cs="Times New Roman" w:hint="default"/>
                <w:sz w:val="24"/>
                <w:szCs w:val="24"/>
                <w:lang w:eastAsia="sk-SK"/>
              </w:rPr>
              <w:t>ou.</w:t>
            </w:r>
          </w:p>
        </w:tc>
      </w:tr>
      <w:tr>
        <w:tblPrEx>
          <w:tblW w:w="5180" w:type="pct"/>
          <w:jc w:val="center"/>
          <w:tblCellMar>
            <w:top w:w="28" w:type="dxa"/>
            <w:bottom w:w="28" w:type="dxa"/>
          </w:tblCellMar>
          <w:tblLook w:val="04A0"/>
        </w:tblPrEx>
        <w:trPr>
          <w:gridAfter w:val="1"/>
          <w:wAfter w:w="7" w:type="dxa"/>
          <w:trHeight w:val="624"/>
          <w:jc w:val="center"/>
        </w:trPr>
        <w:tc>
          <w:tcPr>
            <w:tcW w:w="2413" w:type="pct"/>
            <w:gridSpan w:val="2"/>
            <w:tcBorders>
              <w:top w:val="dotted" w:sz="4" w:space="0" w:color="auto"/>
              <w:left w:val="single" w:sz="4" w:space="0" w:color="auto"/>
              <w:bottom w:val="single"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Š</w:t>
            </w:r>
            <w:r w:rsidRPr="00A57582">
              <w:rPr>
                <w:rFonts w:ascii="Times New Roman" w:eastAsia="Calibri" w:hAnsi="Times New Roman" w:cs="Times New Roman" w:hint="default"/>
                <w:i/>
                <w:sz w:val="24"/>
                <w:szCs w:val="24"/>
                <w:lang w:eastAsia="sk-SK"/>
              </w:rPr>
              <w:t xml:space="preserve">pecifikujte </w:t>
            </w:r>
            <w:r w:rsidRPr="00A57582">
              <w:rPr>
                <w:rFonts w:ascii="Times New Roman" w:eastAsia="Calibri" w:hAnsi="Times New Roman" w:cs="Times New Roman" w:hint="default"/>
                <w:b/>
                <w:i/>
                <w:sz w:val="24"/>
                <w:szCs w:val="24"/>
                <w:lang w:eastAsia="sk-SK"/>
              </w:rPr>
              <w:t>pozití</w:t>
            </w:r>
            <w:r w:rsidRPr="00A57582">
              <w:rPr>
                <w:rFonts w:ascii="Times New Roman" w:eastAsia="Calibri" w:hAnsi="Times New Roman" w:cs="Times New Roman" w:hint="default"/>
                <w:b/>
                <w:i/>
                <w:sz w:val="24"/>
                <w:szCs w:val="24"/>
                <w:lang w:eastAsia="sk-SK"/>
              </w:rPr>
              <w:t>vne</w:t>
            </w:r>
            <w:r w:rsidRPr="00A57582">
              <w:rPr>
                <w:rFonts w:ascii="Times New Roman" w:eastAsia="Calibri" w:hAnsi="Times New Roman" w:cs="Times New Roman" w:hint="default"/>
                <w:i/>
                <w:sz w:val="24"/>
                <w:szCs w:val="24"/>
                <w:lang w:eastAsia="sk-SK"/>
              </w:rPr>
              <w:t xml:space="preserve"> ovplyvnené</w:t>
            </w:r>
            <w:r w:rsidRPr="00A57582">
              <w:rPr>
                <w:rFonts w:ascii="Times New Roman" w:eastAsia="Calibri" w:hAnsi="Times New Roman" w:cs="Times New Roman" w:hint="default"/>
                <w:i/>
                <w:sz w:val="24"/>
                <w:szCs w:val="24"/>
                <w:lang w:eastAsia="sk-SK"/>
              </w:rPr>
              <w:t xml:space="preserve"> skupiny:</w:t>
            </w:r>
          </w:p>
        </w:tc>
        <w:tc>
          <w:tcPr>
            <w:tcW w:w="2580" w:type="pct"/>
            <w:gridSpan w:val="2"/>
            <w:tcBorders>
              <w:top w:val="dotted" w:sz="4" w:space="0" w:color="auto"/>
              <w:left w:val="single" w:sz="4" w:space="0" w:color="auto"/>
              <w:bottom w:val="single"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sz w:val="24"/>
                <w:szCs w:val="24"/>
                <w:lang w:eastAsia="sk-SK"/>
              </w:rPr>
            </w:pPr>
            <w:r w:rsidRPr="00A57582">
              <w:rPr>
                <w:rFonts w:ascii="Times New Roman" w:eastAsia="Calibri" w:hAnsi="Times New Roman" w:cs="Times New Roman" w:hint="default"/>
                <w:sz w:val="24"/>
                <w:szCs w:val="24"/>
                <w:lang w:eastAsia="sk-SK"/>
              </w:rPr>
              <w:t>Daň</w:t>
            </w:r>
            <w:r w:rsidRPr="00A57582">
              <w:rPr>
                <w:rFonts w:ascii="Times New Roman" w:eastAsia="Calibri" w:hAnsi="Times New Roman" w:cs="Times New Roman" w:hint="default"/>
                <w:sz w:val="24"/>
                <w:szCs w:val="24"/>
                <w:lang w:eastAsia="sk-SK"/>
              </w:rPr>
              <w:t>ovní</w:t>
            </w:r>
            <w:r w:rsidRPr="00A57582">
              <w:rPr>
                <w:rFonts w:ascii="Times New Roman" w:eastAsia="Calibri" w:hAnsi="Times New Roman" w:cs="Times New Roman" w:hint="default"/>
                <w:sz w:val="24"/>
                <w:szCs w:val="24"/>
                <w:lang w:eastAsia="sk-SK"/>
              </w:rPr>
              <w:t xml:space="preserve">ci </w:t>
            </w:r>
            <w:r w:rsidRPr="00A57582">
              <w:rPr>
                <w:rFonts w:ascii="Times New Roman" w:eastAsia="Calibri" w:hAnsi="Times New Roman" w:cs="Times New Roman" w:hint="default"/>
                <w:sz w:val="24"/>
                <w:szCs w:val="24"/>
                <w:lang w:eastAsia="sk-SK"/>
              </w:rPr>
              <w:t>–</w:t>
            </w:r>
            <w:r w:rsidRPr="00A57582">
              <w:rPr>
                <w:rFonts w:ascii="Times New Roman" w:eastAsia="Calibri" w:hAnsi="Times New Roman" w:cs="Times New Roman" w:hint="default"/>
                <w:sz w:val="24"/>
                <w:szCs w:val="24"/>
                <w:lang w:eastAsia="sk-SK"/>
              </w:rPr>
              <w:t xml:space="preserve"> fyzické</w:t>
            </w:r>
            <w:r w:rsidRPr="00A57582">
              <w:rPr>
                <w:rFonts w:ascii="Times New Roman" w:eastAsia="Calibri" w:hAnsi="Times New Roman" w:cs="Times New Roman" w:hint="default"/>
                <w:sz w:val="24"/>
                <w:szCs w:val="24"/>
                <w:lang w:eastAsia="sk-SK"/>
              </w:rPr>
              <w:t xml:space="preserve"> osoby, ktoré</w:t>
            </w:r>
            <w:r w:rsidRPr="00A57582">
              <w:rPr>
                <w:rFonts w:ascii="Times New Roman" w:eastAsia="Calibri" w:hAnsi="Times New Roman" w:cs="Times New Roman" w:hint="default"/>
                <w:sz w:val="24"/>
                <w:szCs w:val="24"/>
                <w:lang w:eastAsia="sk-SK"/>
              </w:rPr>
              <w:t xml:space="preserve"> využ</w:t>
            </w:r>
            <w:r w:rsidRPr="00A57582">
              <w:rPr>
                <w:rFonts w:ascii="Times New Roman" w:eastAsia="Calibri" w:hAnsi="Times New Roman" w:cs="Times New Roman" w:hint="default"/>
                <w:sz w:val="24"/>
                <w:szCs w:val="24"/>
                <w:lang w:eastAsia="sk-SK"/>
              </w:rPr>
              <w:t>ijú</w:t>
            </w:r>
            <w:r w:rsidRPr="00A57582">
              <w:rPr>
                <w:rFonts w:ascii="Times New Roman" w:eastAsia="Calibri" w:hAnsi="Times New Roman" w:cs="Times New Roman" w:hint="default"/>
                <w:sz w:val="24"/>
                <w:szCs w:val="24"/>
                <w:lang w:eastAsia="sk-SK"/>
              </w:rPr>
              <w:t xml:space="preserve"> kú</w:t>
            </w:r>
            <w:r w:rsidRPr="00A57582">
              <w:rPr>
                <w:rFonts w:ascii="Times New Roman" w:eastAsia="Calibri" w:hAnsi="Times New Roman" w:cs="Times New Roman" w:hint="default"/>
                <w:sz w:val="24"/>
                <w:szCs w:val="24"/>
                <w:lang w:eastAsia="sk-SK"/>
              </w:rPr>
              <w:t>peľ</w:t>
            </w:r>
            <w:r w:rsidRPr="00A57582">
              <w:rPr>
                <w:rFonts w:ascii="Times New Roman" w:eastAsia="Calibri" w:hAnsi="Times New Roman" w:cs="Times New Roman" w:hint="default"/>
                <w:sz w:val="24"/>
                <w:szCs w:val="24"/>
                <w:lang w:eastAsia="sk-SK"/>
              </w:rPr>
              <w:t>nú</w:t>
            </w:r>
            <w:r w:rsidRPr="00A57582">
              <w:rPr>
                <w:rFonts w:ascii="Times New Roman" w:eastAsia="Calibri" w:hAnsi="Times New Roman" w:cs="Times New Roman" w:hint="default"/>
                <w:sz w:val="24"/>
                <w:szCs w:val="24"/>
                <w:lang w:eastAsia="sk-SK"/>
              </w:rPr>
              <w:t xml:space="preserve"> starostlivosť.</w:t>
            </w:r>
          </w:p>
        </w:tc>
      </w:tr>
      <w:tr>
        <w:tblPrEx>
          <w:tblW w:w="5180" w:type="pct"/>
          <w:jc w:val="center"/>
          <w:tblCellMar>
            <w:top w:w="28" w:type="dxa"/>
            <w:bottom w:w="28" w:type="dxa"/>
          </w:tblCellMar>
          <w:tblLook w:val="04A0"/>
        </w:tblPrEx>
        <w:trPr>
          <w:gridAfter w:val="1"/>
          <w:wAfter w:w="7" w:type="dxa"/>
          <w:trHeight w:val="759"/>
          <w:jc w:val="center"/>
        </w:trPr>
        <w:tc>
          <w:tcPr>
            <w:tcW w:w="2413" w:type="pct"/>
            <w:gridSpan w:val="2"/>
            <w:tcBorders>
              <w:top w:val="single" w:sz="4" w:space="0" w:color="auto"/>
              <w:left w:val="single" w:sz="4" w:space="0" w:color="auto"/>
              <w:bottom w:val="dotted"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Popíš</w:t>
            </w:r>
            <w:r w:rsidRPr="00A57582">
              <w:rPr>
                <w:rFonts w:ascii="Times New Roman" w:eastAsia="Calibri" w:hAnsi="Times New Roman" w:cs="Times New Roman" w:hint="default"/>
                <w:i/>
                <w:sz w:val="24"/>
                <w:szCs w:val="24"/>
                <w:lang w:eastAsia="sk-SK"/>
              </w:rPr>
              <w:t xml:space="preserve">te </w:t>
            </w:r>
            <w:r w:rsidRPr="00A57582">
              <w:rPr>
                <w:rFonts w:ascii="Times New Roman" w:eastAsia="Calibri" w:hAnsi="Times New Roman" w:cs="Times New Roman" w:hint="default"/>
                <w:b/>
                <w:i/>
                <w:sz w:val="24"/>
                <w:szCs w:val="24"/>
                <w:lang w:eastAsia="sk-SK"/>
              </w:rPr>
              <w:t>negatí</w:t>
            </w:r>
            <w:r w:rsidRPr="00A57582">
              <w:rPr>
                <w:rFonts w:ascii="Times New Roman" w:eastAsia="Calibri" w:hAnsi="Times New Roman" w:cs="Times New Roman" w:hint="default"/>
                <w:b/>
                <w:i/>
                <w:sz w:val="24"/>
                <w:szCs w:val="24"/>
                <w:lang w:eastAsia="sk-SK"/>
              </w:rPr>
              <w:t xml:space="preserve">vny </w:t>
            </w:r>
            <w:r w:rsidRPr="00A57582">
              <w:rPr>
                <w:rFonts w:ascii="Times New Roman" w:eastAsia="Calibri" w:hAnsi="Times New Roman" w:cs="Times New Roman" w:hint="default"/>
                <w:i/>
                <w:sz w:val="24"/>
                <w:szCs w:val="24"/>
                <w:lang w:eastAsia="sk-SK"/>
              </w:rPr>
              <w:t>vplyv na hospodá</w:t>
            </w:r>
            <w:r w:rsidRPr="00A57582">
              <w:rPr>
                <w:rFonts w:ascii="Times New Roman" w:eastAsia="Calibri" w:hAnsi="Times New Roman" w:cs="Times New Roman" w:hint="default"/>
                <w:i/>
                <w:sz w:val="24"/>
                <w:szCs w:val="24"/>
                <w:lang w:eastAsia="sk-SK"/>
              </w:rPr>
              <w:t>renie domá</w:t>
            </w:r>
            <w:r w:rsidRPr="00A57582">
              <w:rPr>
                <w:rFonts w:ascii="Times New Roman" w:eastAsia="Calibri" w:hAnsi="Times New Roman" w:cs="Times New Roman" w:hint="default"/>
                <w:i/>
                <w:sz w:val="24"/>
                <w:szCs w:val="24"/>
                <w:lang w:eastAsia="sk-SK"/>
              </w:rPr>
              <w:t>cností</w:t>
            </w:r>
            <w:r w:rsidRPr="00A57582">
              <w:rPr>
                <w:rFonts w:ascii="Times New Roman" w:eastAsia="Calibri" w:hAnsi="Times New Roman" w:cs="Times New Roman" w:hint="default"/>
                <w:i/>
                <w:sz w:val="24"/>
                <w:szCs w:val="24"/>
                <w:lang w:eastAsia="sk-SK"/>
              </w:rPr>
              <w:t xml:space="preserve"> s </w:t>
            </w:r>
            <w:r w:rsidRPr="00A57582">
              <w:rPr>
                <w:rFonts w:ascii="Times New Roman" w:eastAsia="Calibri" w:hAnsi="Times New Roman" w:cs="Times New Roman" w:hint="default"/>
                <w:i/>
                <w:sz w:val="24"/>
                <w:szCs w:val="24"/>
                <w:lang w:eastAsia="sk-SK"/>
              </w:rPr>
              <w:t>uvedení</w:t>
            </w:r>
            <w:r w:rsidRPr="00A57582">
              <w:rPr>
                <w:rFonts w:ascii="Times New Roman" w:eastAsia="Calibri" w:hAnsi="Times New Roman" w:cs="Times New Roman" w:hint="default"/>
                <w:i/>
                <w:sz w:val="24"/>
                <w:szCs w:val="24"/>
                <w:lang w:eastAsia="sk-SK"/>
              </w:rPr>
              <w:t>m, č</w:t>
            </w:r>
            <w:r w:rsidRPr="00A57582">
              <w:rPr>
                <w:rFonts w:ascii="Times New Roman" w:eastAsia="Calibri" w:hAnsi="Times New Roman" w:cs="Times New Roman" w:hint="default"/>
                <w:i/>
                <w:sz w:val="24"/>
                <w:szCs w:val="24"/>
                <w:lang w:eastAsia="sk-SK"/>
              </w:rPr>
              <w:t xml:space="preserve">i ide </w:t>
            </w:r>
            <w:r w:rsidRPr="00A57582">
              <w:rPr>
                <w:rFonts w:ascii="Times New Roman" w:eastAsia="Calibri" w:hAnsi="Times New Roman" w:cs="Times New Roman" w:hint="default"/>
                <w:i/>
                <w:sz w:val="24"/>
                <w:szCs w:val="24"/>
                <w:lang w:eastAsia="sk-SK"/>
              </w:rPr>
              <w:t>o </w:t>
            </w:r>
            <w:r w:rsidRPr="00A57582">
              <w:rPr>
                <w:rFonts w:ascii="Times New Roman" w:eastAsia="Calibri" w:hAnsi="Times New Roman" w:cs="Times New Roman" w:hint="default"/>
                <w:i/>
                <w:sz w:val="24"/>
                <w:szCs w:val="24"/>
                <w:lang w:eastAsia="sk-SK"/>
              </w:rPr>
              <w:t>zníž</w:t>
            </w:r>
            <w:r w:rsidRPr="00A57582">
              <w:rPr>
                <w:rFonts w:ascii="Times New Roman" w:eastAsia="Calibri" w:hAnsi="Times New Roman" w:cs="Times New Roman" w:hint="default"/>
                <w:i/>
                <w:sz w:val="24"/>
                <w:szCs w:val="24"/>
                <w:lang w:eastAsia="sk-SK"/>
              </w:rPr>
              <w:t>enie prí</w:t>
            </w:r>
            <w:r w:rsidRPr="00A57582">
              <w:rPr>
                <w:rFonts w:ascii="Times New Roman" w:eastAsia="Calibri" w:hAnsi="Times New Roman" w:cs="Times New Roman" w:hint="default"/>
                <w:i/>
                <w:sz w:val="24"/>
                <w:szCs w:val="24"/>
                <w:lang w:eastAsia="sk-SK"/>
              </w:rPr>
              <w:t>jmov alebo zvýš</w:t>
            </w:r>
            <w:r w:rsidRPr="00A57582">
              <w:rPr>
                <w:rFonts w:ascii="Times New Roman" w:eastAsia="Calibri" w:hAnsi="Times New Roman" w:cs="Times New Roman" w:hint="default"/>
                <w:i/>
                <w:sz w:val="24"/>
                <w:szCs w:val="24"/>
                <w:lang w:eastAsia="sk-SK"/>
              </w:rPr>
              <w:t>enie vý</w:t>
            </w:r>
            <w:r w:rsidRPr="00A57582">
              <w:rPr>
                <w:rFonts w:ascii="Times New Roman" w:eastAsia="Calibri" w:hAnsi="Times New Roman" w:cs="Times New Roman" w:hint="default"/>
                <w:i/>
                <w:sz w:val="24"/>
                <w:szCs w:val="24"/>
                <w:lang w:eastAsia="sk-SK"/>
              </w:rPr>
              <w:t>davkov:</w:t>
            </w:r>
          </w:p>
        </w:tc>
        <w:tc>
          <w:tcPr>
            <w:tcW w:w="2580" w:type="pct"/>
            <w:gridSpan w:val="2"/>
            <w:tcBorders>
              <w:top w:val="single" w:sz="4" w:space="0" w:color="auto"/>
              <w:left w:val="single" w:sz="4" w:space="0" w:color="auto"/>
              <w:bottom w:val="dotted"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624"/>
          <w:jc w:val="center"/>
        </w:trPr>
        <w:tc>
          <w:tcPr>
            <w:tcW w:w="2413" w:type="pct"/>
            <w:gridSpan w:val="2"/>
            <w:tcBorders>
              <w:top w:val="dotted" w:sz="4" w:space="0" w:color="auto"/>
              <w:left w:val="single" w:sz="4" w:space="0" w:color="auto"/>
              <w:bottom w:val="single"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Š</w:t>
            </w:r>
            <w:r w:rsidRPr="00A57582">
              <w:rPr>
                <w:rFonts w:ascii="Times New Roman" w:eastAsia="Calibri" w:hAnsi="Times New Roman" w:cs="Times New Roman" w:hint="default"/>
                <w:i/>
                <w:sz w:val="24"/>
                <w:szCs w:val="24"/>
                <w:lang w:eastAsia="sk-SK"/>
              </w:rPr>
              <w:t xml:space="preserve">pecifikujte </w:t>
            </w:r>
            <w:r w:rsidRPr="00A57582">
              <w:rPr>
                <w:rFonts w:ascii="Times New Roman" w:eastAsia="Calibri" w:hAnsi="Times New Roman" w:cs="Times New Roman" w:hint="default"/>
                <w:b/>
                <w:i/>
                <w:sz w:val="24"/>
                <w:szCs w:val="24"/>
                <w:lang w:eastAsia="sk-SK"/>
              </w:rPr>
              <w:t>negatí</w:t>
            </w:r>
            <w:r w:rsidRPr="00A57582">
              <w:rPr>
                <w:rFonts w:ascii="Times New Roman" w:eastAsia="Calibri" w:hAnsi="Times New Roman" w:cs="Times New Roman" w:hint="default"/>
                <w:b/>
                <w:i/>
                <w:sz w:val="24"/>
                <w:szCs w:val="24"/>
                <w:lang w:eastAsia="sk-SK"/>
              </w:rPr>
              <w:t>vne</w:t>
            </w:r>
            <w:r w:rsidRPr="00A57582">
              <w:rPr>
                <w:rFonts w:ascii="Times New Roman" w:eastAsia="Calibri" w:hAnsi="Times New Roman" w:cs="Times New Roman" w:hint="default"/>
                <w:i/>
                <w:sz w:val="24"/>
                <w:szCs w:val="24"/>
                <w:lang w:eastAsia="sk-SK"/>
              </w:rPr>
              <w:t xml:space="preserve"> ovplyvnené</w:t>
            </w:r>
            <w:r w:rsidRPr="00A57582">
              <w:rPr>
                <w:rFonts w:ascii="Times New Roman" w:eastAsia="Calibri" w:hAnsi="Times New Roman" w:cs="Times New Roman" w:hint="default"/>
                <w:i/>
                <w:sz w:val="24"/>
                <w:szCs w:val="24"/>
                <w:lang w:eastAsia="sk-SK"/>
              </w:rPr>
              <w:t xml:space="preserve"> skupiny:</w:t>
            </w:r>
          </w:p>
        </w:tc>
        <w:tc>
          <w:tcPr>
            <w:tcW w:w="2580" w:type="pct"/>
            <w:gridSpan w:val="2"/>
            <w:tcBorders>
              <w:top w:val="dotted" w:sz="4" w:space="0" w:color="auto"/>
              <w:left w:val="single" w:sz="4" w:space="0" w:color="auto"/>
              <w:bottom w:val="single" w:sz="4" w:space="0" w:color="auto"/>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680"/>
          <w:jc w:val="center"/>
        </w:trPr>
        <w:tc>
          <w:tcPr>
            <w:tcW w:w="2413" w:type="pct"/>
            <w:gridSpan w:val="2"/>
            <w:tcBorders>
              <w:top w:val="single" w:sz="4" w:space="0" w:color="auto"/>
              <w:left w:val="single" w:sz="4" w:space="0" w:color="auto"/>
              <w:bottom w:val="nil"/>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Š</w:t>
            </w:r>
            <w:r w:rsidRPr="00A57582">
              <w:rPr>
                <w:rFonts w:ascii="Times New Roman" w:eastAsia="Calibri" w:hAnsi="Times New Roman" w:cs="Times New Roman" w:hint="default"/>
                <w:i/>
                <w:sz w:val="24"/>
                <w:szCs w:val="24"/>
                <w:lang w:eastAsia="sk-SK"/>
              </w:rPr>
              <w:t>pecifikujte ovplyvnené</w:t>
            </w:r>
            <w:r w:rsidRPr="00A57582">
              <w:rPr>
                <w:rFonts w:ascii="Times New Roman" w:eastAsia="Calibri" w:hAnsi="Times New Roman" w:cs="Times New Roman" w:hint="default"/>
                <w:i/>
                <w:sz w:val="24"/>
                <w:szCs w:val="24"/>
                <w:lang w:eastAsia="sk-SK"/>
              </w:rPr>
              <w:t xml:space="preserve"> skupiny </w:t>
            </w:r>
            <w:r w:rsidRPr="00A57582">
              <w:rPr>
                <w:rFonts w:ascii="Times New Roman" w:eastAsia="Calibri" w:hAnsi="Times New Roman" w:cs="Times New Roman"/>
                <w:b/>
                <w:i/>
                <w:sz w:val="24"/>
                <w:szCs w:val="24"/>
                <w:lang w:eastAsia="sk-SK"/>
              </w:rPr>
              <w:t>v </w:t>
            </w:r>
            <w:r w:rsidRPr="00A57582">
              <w:rPr>
                <w:rFonts w:ascii="Times New Roman" w:eastAsia="Calibri" w:hAnsi="Times New Roman" w:cs="Times New Roman" w:hint="default"/>
                <w:b/>
                <w:i/>
                <w:sz w:val="24"/>
                <w:szCs w:val="24"/>
                <w:lang w:eastAsia="sk-SK"/>
              </w:rPr>
              <w:t>riziku chudoby alebo sociá</w:t>
            </w:r>
            <w:r w:rsidRPr="00A57582">
              <w:rPr>
                <w:rFonts w:ascii="Times New Roman" w:eastAsia="Calibri" w:hAnsi="Times New Roman" w:cs="Times New Roman" w:hint="default"/>
                <w:b/>
                <w:i/>
                <w:sz w:val="24"/>
                <w:szCs w:val="24"/>
                <w:lang w:eastAsia="sk-SK"/>
              </w:rPr>
              <w:t>lneho vylúč</w:t>
            </w:r>
            <w:r w:rsidRPr="00A57582">
              <w:rPr>
                <w:rFonts w:ascii="Times New Roman" w:eastAsia="Calibri" w:hAnsi="Times New Roman" w:cs="Times New Roman" w:hint="default"/>
                <w:b/>
                <w:i/>
                <w:sz w:val="24"/>
                <w:szCs w:val="24"/>
                <w:lang w:eastAsia="sk-SK"/>
              </w:rPr>
              <w:t>enia</w:t>
            </w:r>
            <w:r w:rsidRPr="00A57582">
              <w:rPr>
                <w:rFonts w:ascii="Times New Roman" w:eastAsia="Calibri" w:hAnsi="Times New Roman" w:cs="Times New Roman"/>
                <w:i/>
                <w:sz w:val="24"/>
                <w:szCs w:val="24"/>
                <w:lang w:eastAsia="sk-SK"/>
              </w:rPr>
              <w:t xml:space="preserve"> a </w:t>
            </w:r>
            <w:r w:rsidRPr="00A57582">
              <w:rPr>
                <w:rFonts w:ascii="Times New Roman" w:eastAsia="Calibri" w:hAnsi="Times New Roman" w:cs="Times New Roman" w:hint="default"/>
                <w:i/>
                <w:sz w:val="24"/>
                <w:szCs w:val="24"/>
                <w:lang w:eastAsia="sk-SK"/>
              </w:rPr>
              <w:t>popíš</w:t>
            </w:r>
            <w:r w:rsidRPr="00A57582">
              <w:rPr>
                <w:rFonts w:ascii="Times New Roman" w:eastAsia="Calibri" w:hAnsi="Times New Roman" w:cs="Times New Roman" w:hint="default"/>
                <w:i/>
                <w:sz w:val="24"/>
                <w:szCs w:val="24"/>
                <w:lang w:eastAsia="sk-SK"/>
              </w:rPr>
              <w:t>te vplyv:</w:t>
            </w:r>
          </w:p>
        </w:tc>
        <w:tc>
          <w:tcPr>
            <w:tcW w:w="2580" w:type="pct"/>
            <w:gridSpan w:val="2"/>
            <w:tcBorders>
              <w:top w:val="single" w:sz="4" w:space="0" w:color="auto"/>
              <w:left w:val="single" w:sz="4" w:space="0" w:color="auto"/>
              <w:bottom w:val="nil"/>
              <w:right w:val="single" w:sz="4" w:space="0" w:color="auto"/>
            </w:tcBorders>
            <w:textDirection w:val="lrTb"/>
            <w:vAlign w:val="top"/>
          </w:tcPr>
          <w:p w:rsidR="00CA2924" w:rsidRPr="00A57582" w:rsidP="007B2961">
            <w:pPr>
              <w:bidi w:val="0"/>
              <w:spacing w:after="0" w:line="240" w:lineRule="auto"/>
              <w:rPr>
                <w:rFonts w:ascii="Times New Roman" w:eastAsia="Calibri" w:hAnsi="Times New Roman" w:cs="Times New Roman" w:hint="default"/>
                <w:sz w:val="24"/>
                <w:szCs w:val="24"/>
                <w:lang w:eastAsia="sk-SK"/>
              </w:rPr>
            </w:pPr>
            <w:r w:rsidRPr="00A57582">
              <w:rPr>
                <w:rFonts w:ascii="Times New Roman" w:eastAsia="Calibri" w:hAnsi="Times New Roman" w:cs="Times New Roman" w:hint="default"/>
                <w:sz w:val="24"/>
                <w:szCs w:val="24"/>
                <w:lang w:eastAsia="sk-SK"/>
              </w:rPr>
              <w:t>Ná</w:t>
            </w:r>
            <w:r w:rsidRPr="00A57582">
              <w:rPr>
                <w:rFonts w:ascii="Times New Roman" w:eastAsia="Calibri" w:hAnsi="Times New Roman" w:cs="Times New Roman" w:hint="default"/>
                <w:sz w:val="24"/>
                <w:szCs w:val="24"/>
                <w:lang w:eastAsia="sk-SK"/>
              </w:rPr>
              <w:t>vrhom nie sú</w:t>
            </w:r>
            <w:r w:rsidRPr="00A57582">
              <w:rPr>
                <w:rFonts w:ascii="Times New Roman" w:eastAsia="Calibri" w:hAnsi="Times New Roman" w:cs="Times New Roman" w:hint="default"/>
                <w:sz w:val="24"/>
                <w:szCs w:val="24"/>
                <w:lang w:eastAsia="sk-SK"/>
              </w:rPr>
              <w:t xml:space="preserve"> ovplyvnené</w:t>
            </w:r>
            <w:r w:rsidRPr="00A57582">
              <w:rPr>
                <w:rFonts w:ascii="Times New Roman" w:eastAsia="Calibri" w:hAnsi="Times New Roman" w:cs="Times New Roman" w:hint="default"/>
                <w:sz w:val="24"/>
                <w:szCs w:val="24"/>
                <w:lang w:eastAsia="sk-SK"/>
              </w:rPr>
              <w:t xml:space="preserve"> skupiny obyvateľ</w:t>
            </w:r>
            <w:r w:rsidRPr="00A57582">
              <w:rPr>
                <w:rFonts w:ascii="Times New Roman" w:eastAsia="Calibri" w:hAnsi="Times New Roman" w:cs="Times New Roman" w:hint="default"/>
                <w:sz w:val="24"/>
                <w:szCs w:val="24"/>
                <w:lang w:eastAsia="sk-SK"/>
              </w:rPr>
              <w:t>stva v </w:t>
            </w:r>
            <w:r w:rsidRPr="00A57582">
              <w:rPr>
                <w:rFonts w:ascii="Times New Roman" w:eastAsia="Calibri" w:hAnsi="Times New Roman" w:cs="Times New Roman" w:hint="default"/>
                <w:sz w:val="24"/>
                <w:szCs w:val="24"/>
                <w:lang w:eastAsia="sk-SK"/>
              </w:rPr>
              <w:t>riziku chudoby alebo sociá</w:t>
            </w:r>
            <w:r w:rsidRPr="00A57582">
              <w:rPr>
                <w:rFonts w:ascii="Times New Roman" w:eastAsia="Calibri" w:hAnsi="Times New Roman" w:cs="Times New Roman" w:hint="default"/>
                <w:sz w:val="24"/>
                <w:szCs w:val="24"/>
                <w:lang w:eastAsia="sk-SK"/>
              </w:rPr>
              <w:t>lneho vylúč</w:t>
            </w:r>
            <w:r w:rsidRPr="00A57582">
              <w:rPr>
                <w:rFonts w:ascii="Times New Roman" w:eastAsia="Calibri" w:hAnsi="Times New Roman" w:cs="Times New Roman" w:hint="default"/>
                <w:sz w:val="24"/>
                <w:szCs w:val="24"/>
                <w:lang w:eastAsia="sk-SK"/>
              </w:rPr>
              <w:t xml:space="preserve">enia. </w:t>
            </w:r>
          </w:p>
        </w:tc>
      </w:tr>
      <w:tr>
        <w:tblPrEx>
          <w:tblW w:w="5180" w:type="pct"/>
          <w:jc w:val="center"/>
          <w:tblCellMar>
            <w:top w:w="28" w:type="dxa"/>
            <w:bottom w:w="28" w:type="dxa"/>
          </w:tblCellMar>
          <w:tblLook w:val="04A0"/>
        </w:tblPrEx>
        <w:trPr>
          <w:gridAfter w:val="1"/>
          <w:wAfter w:w="7" w:type="dxa"/>
          <w:trHeight w:val="680"/>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Kvantifikujte rast alebo pokles príjmov/výdavkov za jednotlivé ovplyvnené skupiny domácností / skupiny jednotlivcov a počet obyvateľstva/domácností ovplyvnených predkladaným materiálom.</w:t>
            </w:r>
          </w:p>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V prípade vyššieho počtu ovplyvnených skupín doplňte do tabuľky ďalšie riadky.</w:t>
            </w:r>
          </w:p>
          <w:p w:rsidR="0044777A" w:rsidRPr="00A57582" w:rsidP="007B2961">
            <w:pPr>
              <w:tabs>
                <w:tab w:val="left" w:pos="3505"/>
              </w:tabs>
              <w:bidi w:val="0"/>
              <w:spacing w:after="0" w:line="240" w:lineRule="auto"/>
              <w:rPr>
                <w:rFonts w:ascii="Times New Roman" w:hAnsi="Times New Roman" w:cs="Times New Roman"/>
                <w:sz w:val="24"/>
                <w:szCs w:val="24"/>
                <w:lang w:eastAsia="sk-SK"/>
              </w:rPr>
            </w:pPr>
            <w:r w:rsidRPr="00A57582">
              <w:rPr>
                <w:rFonts w:ascii="Times New Roman" w:hAnsi="Times New Roman" w:cs="Times New Roman"/>
                <w:i/>
                <w:sz w:val="24"/>
                <w:szCs w:val="24"/>
                <w:lang w:eastAsia="sk-SK"/>
              </w:rPr>
              <w:t>V prípade, ak neuvádzate kvantifikáciu, uveďte dôvod.</w:t>
            </w:r>
          </w:p>
        </w:tc>
      </w:tr>
      <w:tr>
        <w:tblPrEx>
          <w:tblW w:w="5180" w:type="pct"/>
          <w:jc w:val="center"/>
          <w:tblCellMar>
            <w:top w:w="28" w:type="dxa"/>
            <w:bottom w:w="28" w:type="dxa"/>
          </w:tblCellMar>
          <w:tblLook w:val="04A0"/>
        </w:tblPrEx>
        <w:trPr>
          <w:gridAfter w:val="1"/>
          <w:wAfter w:w="7" w:type="dxa"/>
          <w:trHeight w:val="680"/>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Ovplyvnená skupina č. 1:</w:t>
            </w:r>
          </w:p>
        </w:tc>
      </w:tr>
      <w:tr>
        <w:tblPrEx>
          <w:tblW w:w="5180" w:type="pct"/>
          <w:jc w:val="center"/>
          <w:tblCellMar>
            <w:top w:w="28" w:type="dxa"/>
            <w:bottom w:w="28" w:type="dxa"/>
          </w:tblCellMar>
          <w:tblLook w:val="04A0"/>
        </w:tblPrEx>
        <w:trPr>
          <w:gridAfter w:val="1"/>
          <w:wAfter w:w="7" w:type="dxa"/>
          <w:trHeight w:val="503"/>
          <w:jc w:val="center"/>
        </w:trPr>
        <w:tc>
          <w:tcPr>
            <w:tcW w:w="2496" w:type="pct"/>
            <w:gridSpan w:val="3"/>
            <w:tcBorders>
              <w:top w:val="single" w:sz="4" w:space="0" w:color="auto"/>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Pozití</w:t>
            </w:r>
            <w:r w:rsidRPr="00A57582">
              <w:rPr>
                <w:rFonts w:ascii="Times New Roman" w:eastAsia="Calibri" w:hAnsi="Times New Roman" w:cs="Times New Roman" w:hint="default"/>
                <w:i/>
                <w:sz w:val="24"/>
                <w:szCs w:val="24"/>
                <w:lang w:eastAsia="sk-SK"/>
              </w:rPr>
              <w:t>vny vplyv - priemerný</w:t>
            </w:r>
            <w:r w:rsidRPr="00A57582">
              <w:rPr>
                <w:rFonts w:ascii="Times New Roman" w:eastAsia="Calibri" w:hAnsi="Times New Roman" w:cs="Times New Roman" w:hint="default"/>
                <w:i/>
                <w:sz w:val="24"/>
                <w:szCs w:val="24"/>
                <w:lang w:eastAsia="sk-SK"/>
              </w:rPr>
              <w:t xml:space="preserve"> rast prí</w:t>
            </w:r>
            <w:r w:rsidRPr="00A57582">
              <w:rPr>
                <w:rFonts w:ascii="Times New Roman" w:eastAsia="Calibri" w:hAnsi="Times New Roman" w:cs="Times New Roman" w:hint="default"/>
                <w:i/>
                <w:sz w:val="24"/>
                <w:szCs w:val="24"/>
                <w:lang w:eastAsia="sk-SK"/>
              </w:rPr>
              <w:t>jmov/ pokles vý</w:t>
            </w:r>
            <w:r w:rsidRPr="00A57582">
              <w:rPr>
                <w:rFonts w:ascii="Times New Roman" w:eastAsia="Calibri" w:hAnsi="Times New Roman" w:cs="Times New Roman" w:hint="default"/>
                <w:i/>
                <w:sz w:val="24"/>
                <w:szCs w:val="24"/>
                <w:lang w:eastAsia="sk-SK"/>
              </w:rPr>
              <w:t xml:space="preserve">davkov v skupine v </w:t>
            </w:r>
            <w:r w:rsidRPr="00A57582">
              <w:rPr>
                <w:rFonts w:ascii="Times New Roman" w:eastAsia="Calibri" w:hAnsi="Times New Roman" w:cs="Times New Roman" w:hint="default"/>
                <w:i/>
                <w:sz w:val="24"/>
                <w:szCs w:val="24"/>
                <w:lang w:eastAsia="sk-SK"/>
              </w:rPr>
              <w:t>eurá</w:t>
            </w:r>
            <w:r w:rsidRPr="00A57582">
              <w:rPr>
                <w:rFonts w:ascii="Times New Roman" w:eastAsia="Calibri" w:hAnsi="Times New Roman" w:cs="Times New Roman" w:hint="default"/>
                <w:i/>
                <w:sz w:val="24"/>
                <w:szCs w:val="24"/>
                <w:lang w:eastAsia="sk-SK"/>
              </w:rPr>
              <w:t>ch a/alebo v % / obdobie:</w:t>
            </w:r>
          </w:p>
        </w:tc>
        <w:tc>
          <w:tcPr>
            <w:tcW w:w="2497" w:type="pct"/>
            <w:tcBorders>
              <w:top w:val="single" w:sz="4" w:space="0" w:color="auto"/>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hint="default"/>
                <w:sz w:val="24"/>
                <w:szCs w:val="24"/>
                <w:lang w:eastAsia="sk-SK"/>
              </w:rPr>
            </w:pPr>
            <w:r w:rsidRPr="00A57582">
              <w:rPr>
                <w:rFonts w:ascii="Times New Roman" w:eastAsia="Calibri" w:hAnsi="Times New Roman" w:cs="Times New Roman"/>
                <w:sz w:val="24"/>
                <w:szCs w:val="24"/>
                <w:lang w:eastAsia="sk-SK"/>
              </w:rPr>
              <w:t>Zmena v </w:t>
            </w:r>
            <w:r w:rsidRPr="00A57582">
              <w:rPr>
                <w:rFonts w:ascii="Times New Roman" w:eastAsia="Calibri" w:hAnsi="Times New Roman" w:cs="Times New Roman" w:hint="default"/>
                <w:sz w:val="24"/>
                <w:szCs w:val="24"/>
                <w:lang w:eastAsia="sk-SK"/>
              </w:rPr>
              <w:t>oblasti podpory využí</w:t>
            </w:r>
            <w:r w:rsidRPr="00A57582">
              <w:rPr>
                <w:rFonts w:ascii="Times New Roman" w:eastAsia="Calibri" w:hAnsi="Times New Roman" w:cs="Times New Roman" w:hint="default"/>
                <w:sz w:val="24"/>
                <w:szCs w:val="24"/>
                <w:lang w:eastAsia="sk-SK"/>
              </w:rPr>
              <w:t>vania kú</w:t>
            </w:r>
            <w:r w:rsidRPr="00A57582">
              <w:rPr>
                <w:rFonts w:ascii="Times New Roman" w:eastAsia="Calibri" w:hAnsi="Times New Roman" w:cs="Times New Roman" w:hint="default"/>
                <w:sz w:val="24"/>
                <w:szCs w:val="24"/>
                <w:lang w:eastAsia="sk-SK"/>
              </w:rPr>
              <w:t>peľ</w:t>
            </w:r>
            <w:r w:rsidRPr="00A57582">
              <w:rPr>
                <w:rFonts w:ascii="Times New Roman" w:eastAsia="Calibri" w:hAnsi="Times New Roman" w:cs="Times New Roman" w:hint="default"/>
                <w:sz w:val="24"/>
                <w:szCs w:val="24"/>
                <w:lang w:eastAsia="sk-SK"/>
              </w:rPr>
              <w:t>nej starostlivosti sa bude vzť</w:t>
            </w:r>
            <w:r w:rsidRPr="00A57582">
              <w:rPr>
                <w:rFonts w:ascii="Times New Roman" w:eastAsia="Calibri" w:hAnsi="Times New Roman" w:cs="Times New Roman" w:hint="default"/>
                <w:sz w:val="24"/>
                <w:szCs w:val="24"/>
                <w:lang w:eastAsia="sk-SK"/>
              </w:rPr>
              <w:t>ahovať</w:t>
            </w:r>
            <w:r w:rsidRPr="00A57582">
              <w:rPr>
                <w:rFonts w:ascii="Times New Roman" w:eastAsia="Calibri" w:hAnsi="Times New Roman" w:cs="Times New Roman" w:hint="default"/>
                <w:sz w:val="24"/>
                <w:szCs w:val="24"/>
                <w:lang w:eastAsia="sk-SK"/>
              </w:rPr>
              <w:t xml:space="preserve"> na kaž</w:t>
            </w:r>
            <w:r w:rsidRPr="00A57582">
              <w:rPr>
                <w:rFonts w:ascii="Times New Roman" w:eastAsia="Calibri" w:hAnsi="Times New Roman" w:cs="Times New Roman" w:hint="default"/>
                <w:sz w:val="24"/>
                <w:szCs w:val="24"/>
                <w:lang w:eastAsia="sk-SK"/>
              </w:rPr>
              <w:t>dú</w:t>
            </w:r>
            <w:r w:rsidRPr="00A57582">
              <w:rPr>
                <w:rFonts w:ascii="Times New Roman" w:eastAsia="Calibri" w:hAnsi="Times New Roman" w:cs="Times New Roman" w:hint="default"/>
                <w:sz w:val="24"/>
                <w:szCs w:val="24"/>
                <w:lang w:eastAsia="sk-SK"/>
              </w:rPr>
              <w:t xml:space="preserve"> fyzickú</w:t>
            </w:r>
            <w:r w:rsidRPr="00A57582">
              <w:rPr>
                <w:rFonts w:ascii="Times New Roman" w:eastAsia="Calibri" w:hAnsi="Times New Roman" w:cs="Times New Roman" w:hint="default"/>
                <w:sz w:val="24"/>
                <w:szCs w:val="24"/>
                <w:lang w:eastAsia="sk-SK"/>
              </w:rPr>
              <w:t xml:space="preserve"> osobu, ktorá</w:t>
            </w:r>
            <w:r w:rsidRPr="00A57582">
              <w:rPr>
                <w:rFonts w:ascii="Times New Roman" w:eastAsia="Calibri" w:hAnsi="Times New Roman" w:cs="Times New Roman" w:hint="default"/>
                <w:sz w:val="24"/>
                <w:szCs w:val="24"/>
                <w:lang w:eastAsia="sk-SK"/>
              </w:rPr>
              <w:t xml:space="preserve"> využ</w:t>
            </w:r>
            <w:r w:rsidRPr="00A57582">
              <w:rPr>
                <w:rFonts w:ascii="Times New Roman" w:eastAsia="Calibri" w:hAnsi="Times New Roman" w:cs="Times New Roman" w:hint="default"/>
                <w:sz w:val="24"/>
                <w:szCs w:val="24"/>
                <w:lang w:eastAsia="sk-SK"/>
              </w:rPr>
              <w:t>ije kú</w:t>
            </w:r>
            <w:r w:rsidRPr="00A57582">
              <w:rPr>
                <w:rFonts w:ascii="Times New Roman" w:eastAsia="Calibri" w:hAnsi="Times New Roman" w:cs="Times New Roman" w:hint="default"/>
                <w:sz w:val="24"/>
                <w:szCs w:val="24"/>
                <w:lang w:eastAsia="sk-SK"/>
              </w:rPr>
              <w:t>peľ</w:t>
            </w:r>
            <w:r w:rsidRPr="00A57582">
              <w:rPr>
                <w:rFonts w:ascii="Times New Roman" w:eastAsia="Calibri" w:hAnsi="Times New Roman" w:cs="Times New Roman" w:hint="default"/>
                <w:sz w:val="24"/>
                <w:szCs w:val="24"/>
                <w:lang w:eastAsia="sk-SK"/>
              </w:rPr>
              <w:t>nú</w:t>
            </w:r>
            <w:r w:rsidRPr="00A57582">
              <w:rPr>
                <w:rFonts w:ascii="Times New Roman" w:eastAsia="Calibri" w:hAnsi="Times New Roman" w:cs="Times New Roman" w:hint="default"/>
                <w:sz w:val="24"/>
                <w:szCs w:val="24"/>
                <w:lang w:eastAsia="sk-SK"/>
              </w:rPr>
              <w:t xml:space="preserve"> starostlivosť</w:t>
            </w:r>
            <w:r w:rsidRPr="00A57582">
              <w:rPr>
                <w:rFonts w:ascii="Times New Roman" w:eastAsia="Calibri" w:hAnsi="Times New Roman" w:cs="Times New Roman" w:hint="default"/>
                <w:sz w:val="24"/>
                <w:szCs w:val="24"/>
                <w:lang w:eastAsia="sk-SK"/>
              </w:rPr>
              <w:t>. Z </w:t>
            </w:r>
            <w:r w:rsidRPr="00A57582">
              <w:rPr>
                <w:rFonts w:ascii="Times New Roman" w:eastAsia="Calibri" w:hAnsi="Times New Roman" w:cs="Times New Roman" w:hint="default"/>
                <w:sz w:val="24"/>
                <w:szCs w:val="24"/>
                <w:lang w:eastAsia="sk-SK"/>
              </w:rPr>
              <w:t>dô</w:t>
            </w:r>
            <w:r w:rsidRPr="00A57582">
              <w:rPr>
                <w:rFonts w:ascii="Times New Roman" w:eastAsia="Calibri" w:hAnsi="Times New Roman" w:cs="Times New Roman" w:hint="default"/>
                <w:sz w:val="24"/>
                <w:szCs w:val="24"/>
                <w:lang w:eastAsia="sk-SK"/>
              </w:rPr>
              <w:t>vodu, ž</w:t>
            </w:r>
            <w:r w:rsidRPr="00A57582">
              <w:rPr>
                <w:rFonts w:ascii="Times New Roman" w:eastAsia="Calibri" w:hAnsi="Times New Roman" w:cs="Times New Roman" w:hint="default"/>
                <w:sz w:val="24"/>
                <w:szCs w:val="24"/>
                <w:lang w:eastAsia="sk-SK"/>
              </w:rPr>
              <w:t>e nie je mož</w:t>
            </w:r>
            <w:r w:rsidRPr="00A57582">
              <w:rPr>
                <w:rFonts w:ascii="Times New Roman" w:eastAsia="Calibri" w:hAnsi="Times New Roman" w:cs="Times New Roman" w:hint="default"/>
                <w:sz w:val="24"/>
                <w:szCs w:val="24"/>
                <w:lang w:eastAsia="sk-SK"/>
              </w:rPr>
              <w:t>né</w:t>
            </w:r>
            <w:r w:rsidRPr="00A57582">
              <w:rPr>
                <w:rFonts w:ascii="Times New Roman" w:eastAsia="Calibri" w:hAnsi="Times New Roman" w:cs="Times New Roman" w:hint="default"/>
                <w:sz w:val="24"/>
                <w:szCs w:val="24"/>
                <w:lang w:eastAsia="sk-SK"/>
              </w:rPr>
              <w:t xml:space="preserve"> predpokladať</w:t>
            </w:r>
            <w:r w:rsidRPr="00A57582">
              <w:rPr>
                <w:rFonts w:ascii="Times New Roman" w:eastAsia="Calibri" w:hAnsi="Times New Roman" w:cs="Times New Roman" w:hint="default"/>
                <w:sz w:val="24"/>
                <w:szCs w:val="24"/>
                <w:lang w:eastAsia="sk-SK"/>
              </w:rPr>
              <w:t xml:space="preserve"> poč</w:t>
            </w:r>
            <w:r w:rsidRPr="00A57582">
              <w:rPr>
                <w:rFonts w:ascii="Times New Roman" w:eastAsia="Calibri" w:hAnsi="Times New Roman" w:cs="Times New Roman" w:hint="default"/>
                <w:sz w:val="24"/>
                <w:szCs w:val="24"/>
                <w:lang w:eastAsia="sk-SK"/>
              </w:rPr>
              <w:t>et obyvateľ</w:t>
            </w:r>
            <w:r w:rsidRPr="00A57582">
              <w:rPr>
                <w:rFonts w:ascii="Times New Roman" w:eastAsia="Calibri" w:hAnsi="Times New Roman" w:cs="Times New Roman" w:hint="default"/>
                <w:sz w:val="24"/>
                <w:szCs w:val="24"/>
                <w:lang w:eastAsia="sk-SK"/>
              </w:rPr>
              <w:t>ov, ktorí</w:t>
            </w:r>
            <w:r w:rsidRPr="00A57582">
              <w:rPr>
                <w:rFonts w:ascii="Times New Roman" w:eastAsia="Calibri" w:hAnsi="Times New Roman" w:cs="Times New Roman" w:hint="default"/>
                <w:sz w:val="24"/>
                <w:szCs w:val="24"/>
                <w:lang w:eastAsia="sk-SK"/>
              </w:rPr>
              <w:t xml:space="preserve"> využ</w:t>
            </w:r>
            <w:r w:rsidRPr="00A57582">
              <w:rPr>
                <w:rFonts w:ascii="Times New Roman" w:eastAsia="Calibri" w:hAnsi="Times New Roman" w:cs="Times New Roman" w:hint="default"/>
                <w:sz w:val="24"/>
                <w:szCs w:val="24"/>
                <w:lang w:eastAsia="sk-SK"/>
              </w:rPr>
              <w:t>ijú</w:t>
            </w:r>
            <w:r w:rsidRPr="00A57582">
              <w:rPr>
                <w:rFonts w:ascii="Times New Roman" w:eastAsia="Calibri" w:hAnsi="Times New Roman" w:cs="Times New Roman" w:hint="default"/>
                <w:sz w:val="24"/>
                <w:szCs w:val="24"/>
                <w:lang w:eastAsia="sk-SK"/>
              </w:rPr>
              <w:t xml:space="preserve"> tú</w:t>
            </w:r>
            <w:r w:rsidRPr="00A57582">
              <w:rPr>
                <w:rFonts w:ascii="Times New Roman" w:eastAsia="Calibri" w:hAnsi="Times New Roman" w:cs="Times New Roman" w:hint="default"/>
                <w:sz w:val="24"/>
                <w:szCs w:val="24"/>
                <w:lang w:eastAsia="sk-SK"/>
              </w:rPr>
              <w:t>to mož</w:t>
            </w:r>
            <w:r w:rsidRPr="00A57582">
              <w:rPr>
                <w:rFonts w:ascii="Times New Roman" w:eastAsia="Calibri" w:hAnsi="Times New Roman" w:cs="Times New Roman" w:hint="default"/>
                <w:sz w:val="24"/>
                <w:szCs w:val="24"/>
                <w:lang w:eastAsia="sk-SK"/>
              </w:rPr>
              <w:t>nosť</w:t>
            </w:r>
            <w:r w:rsidRPr="00A57582">
              <w:rPr>
                <w:rFonts w:ascii="Times New Roman" w:eastAsia="Calibri" w:hAnsi="Times New Roman" w:cs="Times New Roman" w:hint="default"/>
                <w:sz w:val="24"/>
                <w:szCs w:val="24"/>
                <w:lang w:eastAsia="sk-SK"/>
              </w:rPr>
              <w:t>, nie</w:t>
            </w:r>
            <w:r w:rsidRPr="00A57582">
              <w:rPr>
                <w:rFonts w:ascii="Times New Roman" w:eastAsia="Calibri" w:hAnsi="Times New Roman" w:cs="Times New Roman" w:hint="default"/>
                <w:sz w:val="24"/>
                <w:szCs w:val="24"/>
                <w:lang w:eastAsia="sk-SK"/>
              </w:rPr>
              <w:t xml:space="preserve"> je mož</w:t>
            </w:r>
            <w:r w:rsidRPr="00A57582">
              <w:rPr>
                <w:rFonts w:ascii="Times New Roman" w:eastAsia="Calibri" w:hAnsi="Times New Roman" w:cs="Times New Roman" w:hint="default"/>
                <w:sz w:val="24"/>
                <w:szCs w:val="24"/>
                <w:lang w:eastAsia="sk-SK"/>
              </w:rPr>
              <w:t>né</w:t>
            </w:r>
            <w:r w:rsidRPr="00A57582">
              <w:rPr>
                <w:rFonts w:ascii="Times New Roman" w:eastAsia="Calibri" w:hAnsi="Times New Roman" w:cs="Times New Roman" w:hint="default"/>
                <w:sz w:val="24"/>
                <w:szCs w:val="24"/>
                <w:lang w:eastAsia="sk-SK"/>
              </w:rPr>
              <w:t xml:space="preserve"> vyčí</w:t>
            </w:r>
            <w:r w:rsidRPr="00A57582">
              <w:rPr>
                <w:rFonts w:ascii="Times New Roman" w:eastAsia="Calibri" w:hAnsi="Times New Roman" w:cs="Times New Roman" w:hint="default"/>
                <w:sz w:val="24"/>
                <w:szCs w:val="24"/>
                <w:lang w:eastAsia="sk-SK"/>
              </w:rPr>
              <w:t>sliť</w:t>
            </w:r>
            <w:r w:rsidRPr="00A57582">
              <w:rPr>
                <w:rFonts w:ascii="Times New Roman" w:eastAsia="Calibri" w:hAnsi="Times New Roman" w:cs="Times New Roman" w:hint="default"/>
                <w:sz w:val="24"/>
                <w:szCs w:val="24"/>
                <w:lang w:eastAsia="sk-SK"/>
              </w:rPr>
              <w:t xml:space="preserve"> priemerný</w:t>
            </w:r>
            <w:r w:rsidRPr="00A57582">
              <w:rPr>
                <w:rFonts w:ascii="Times New Roman" w:eastAsia="Calibri" w:hAnsi="Times New Roman" w:cs="Times New Roman" w:hint="default"/>
                <w:sz w:val="24"/>
                <w:szCs w:val="24"/>
                <w:lang w:eastAsia="sk-SK"/>
              </w:rPr>
              <w:t xml:space="preserve"> rast prí</w:t>
            </w:r>
            <w:r w:rsidRPr="00A57582">
              <w:rPr>
                <w:rFonts w:ascii="Times New Roman" w:eastAsia="Calibri" w:hAnsi="Times New Roman" w:cs="Times New Roman" w:hint="default"/>
                <w:sz w:val="24"/>
                <w:szCs w:val="24"/>
                <w:lang w:eastAsia="sk-SK"/>
              </w:rPr>
              <w:t xml:space="preserve">jmov </w:t>
            </w:r>
          </w:p>
        </w:tc>
      </w:tr>
      <w:tr>
        <w:tblPrEx>
          <w:tblW w:w="5180" w:type="pct"/>
          <w:jc w:val="center"/>
          <w:tblCellMar>
            <w:top w:w="28" w:type="dxa"/>
            <w:bottom w:w="28" w:type="dxa"/>
          </w:tblCellMar>
          <w:tblLook w:val="04A0"/>
        </w:tblPrEx>
        <w:trPr>
          <w:gridAfter w:val="1"/>
          <w:wAfter w:w="7" w:type="dxa"/>
          <w:trHeight w:val="497"/>
          <w:jc w:val="center"/>
        </w:trPr>
        <w:tc>
          <w:tcPr>
            <w:tcW w:w="2496" w:type="pct"/>
            <w:gridSpan w:val="3"/>
            <w:tcBorders>
              <w:top w:val="single" w:sz="4" w:space="0" w:color="BFBFBF"/>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Negatí</w:t>
            </w:r>
            <w:r w:rsidRPr="00A57582">
              <w:rPr>
                <w:rFonts w:ascii="Times New Roman" w:eastAsia="Calibri" w:hAnsi="Times New Roman" w:cs="Times New Roman" w:hint="default"/>
                <w:i/>
                <w:sz w:val="24"/>
                <w:szCs w:val="24"/>
                <w:lang w:eastAsia="sk-SK"/>
              </w:rPr>
              <w:t>vny vplyv - priemerný</w:t>
            </w:r>
            <w:r w:rsidRPr="00A57582">
              <w:rPr>
                <w:rFonts w:ascii="Times New Roman" w:eastAsia="Calibri" w:hAnsi="Times New Roman" w:cs="Times New Roman" w:hint="default"/>
                <w:i/>
                <w:sz w:val="24"/>
                <w:szCs w:val="24"/>
                <w:lang w:eastAsia="sk-SK"/>
              </w:rPr>
              <w:t xml:space="preserve"> pokles prí</w:t>
            </w:r>
            <w:r w:rsidRPr="00A57582">
              <w:rPr>
                <w:rFonts w:ascii="Times New Roman" w:eastAsia="Calibri" w:hAnsi="Times New Roman" w:cs="Times New Roman" w:hint="default"/>
                <w:i/>
                <w:sz w:val="24"/>
                <w:szCs w:val="24"/>
                <w:lang w:eastAsia="sk-SK"/>
              </w:rPr>
              <w:t>jmov/ rast vý</w:t>
            </w:r>
            <w:r w:rsidRPr="00A57582">
              <w:rPr>
                <w:rFonts w:ascii="Times New Roman" w:eastAsia="Calibri" w:hAnsi="Times New Roman" w:cs="Times New Roman" w:hint="default"/>
                <w:i/>
                <w:sz w:val="24"/>
                <w:szCs w:val="24"/>
                <w:lang w:eastAsia="sk-SK"/>
              </w:rPr>
              <w:t>davkov v </w:t>
            </w:r>
            <w:r w:rsidRPr="00A57582">
              <w:rPr>
                <w:rFonts w:ascii="Times New Roman" w:eastAsia="Calibri" w:hAnsi="Times New Roman" w:cs="Times New Roman" w:hint="default"/>
                <w:i/>
                <w:sz w:val="24"/>
                <w:szCs w:val="24"/>
                <w:lang w:eastAsia="sk-SK"/>
              </w:rPr>
              <w:t>skupine v eurá</w:t>
            </w:r>
            <w:r w:rsidRPr="00A57582">
              <w:rPr>
                <w:rFonts w:ascii="Times New Roman" w:eastAsia="Calibri" w:hAnsi="Times New Roman" w:cs="Times New Roman" w:hint="default"/>
                <w:i/>
                <w:sz w:val="24"/>
                <w:szCs w:val="24"/>
                <w:lang w:eastAsia="sk-SK"/>
              </w:rPr>
              <w:t xml:space="preserve">ch a/alebo v % / obdobie: </w:t>
            </w:r>
          </w:p>
        </w:tc>
        <w:tc>
          <w:tcPr>
            <w:tcW w:w="2497" w:type="pct"/>
            <w:tcBorders>
              <w:top w:val="single" w:sz="4" w:space="0" w:color="BFBFBF"/>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363"/>
          <w:jc w:val="center"/>
        </w:trPr>
        <w:tc>
          <w:tcPr>
            <w:tcW w:w="2496" w:type="pct"/>
            <w:gridSpan w:val="3"/>
            <w:tcBorders>
              <w:top w:val="single" w:sz="4" w:space="0" w:color="BFBFBF"/>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Veľ</w:t>
            </w:r>
            <w:r w:rsidRPr="00A57582">
              <w:rPr>
                <w:rFonts w:ascii="Times New Roman" w:eastAsia="Calibri" w:hAnsi="Times New Roman" w:cs="Times New Roman" w:hint="default"/>
                <w:i/>
                <w:sz w:val="24"/>
                <w:szCs w:val="24"/>
                <w:lang w:eastAsia="sk-SK"/>
              </w:rPr>
              <w:t>kosť</w:t>
            </w:r>
            <w:r w:rsidRPr="00A57582">
              <w:rPr>
                <w:rFonts w:ascii="Times New Roman" w:eastAsia="Calibri" w:hAnsi="Times New Roman" w:cs="Times New Roman" w:hint="default"/>
                <w:i/>
                <w:sz w:val="24"/>
                <w:szCs w:val="24"/>
                <w:lang w:eastAsia="sk-SK"/>
              </w:rPr>
              <w:t xml:space="preserve"> skupiny (poč</w:t>
            </w:r>
            <w:r w:rsidRPr="00A57582">
              <w:rPr>
                <w:rFonts w:ascii="Times New Roman" w:eastAsia="Calibri" w:hAnsi="Times New Roman" w:cs="Times New Roman" w:hint="default"/>
                <w:i/>
                <w:sz w:val="24"/>
                <w:szCs w:val="24"/>
                <w:lang w:eastAsia="sk-SK"/>
              </w:rPr>
              <w:t>et obyvateľ</w:t>
            </w:r>
            <w:r w:rsidRPr="00A57582">
              <w:rPr>
                <w:rFonts w:ascii="Times New Roman" w:eastAsia="Calibri" w:hAnsi="Times New Roman" w:cs="Times New Roman" w:hint="default"/>
                <w:i/>
                <w:sz w:val="24"/>
                <w:szCs w:val="24"/>
                <w:lang w:eastAsia="sk-SK"/>
              </w:rPr>
              <w:t>ov):</w:t>
            </w:r>
          </w:p>
        </w:tc>
        <w:tc>
          <w:tcPr>
            <w:tcW w:w="2497" w:type="pct"/>
            <w:tcBorders>
              <w:top w:val="single" w:sz="4" w:space="0" w:color="BFBFBF"/>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265"/>
          <w:jc w:val="center"/>
        </w:trPr>
        <w:tc>
          <w:tcPr>
            <w:tcW w:w="4993" w:type="pct"/>
            <w:gridSpan w:val="4"/>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i/>
                <w:sz w:val="24"/>
                <w:szCs w:val="24"/>
                <w:lang w:eastAsia="sk-SK"/>
              </w:rPr>
            </w:pPr>
            <w:r w:rsidRPr="00A57582">
              <w:rPr>
                <w:rFonts w:ascii="Times New Roman" w:eastAsia="Calibri" w:hAnsi="Times New Roman" w:cs="Times New Roman" w:hint="default"/>
                <w:b/>
                <w:i/>
                <w:sz w:val="24"/>
                <w:szCs w:val="24"/>
                <w:lang w:eastAsia="sk-SK"/>
              </w:rPr>
              <w:t>Ovplyvnená</w:t>
            </w:r>
            <w:r w:rsidRPr="00A57582">
              <w:rPr>
                <w:rFonts w:ascii="Times New Roman" w:eastAsia="Calibri" w:hAnsi="Times New Roman" w:cs="Times New Roman" w:hint="default"/>
                <w:b/>
                <w:i/>
                <w:sz w:val="24"/>
                <w:szCs w:val="24"/>
                <w:lang w:eastAsia="sk-SK"/>
              </w:rPr>
              <w:t xml:space="preserve"> skupina č</w:t>
            </w:r>
            <w:r w:rsidRPr="00A57582">
              <w:rPr>
                <w:rFonts w:ascii="Times New Roman" w:eastAsia="Calibri" w:hAnsi="Times New Roman" w:cs="Times New Roman" w:hint="default"/>
                <w:b/>
                <w:i/>
                <w:sz w:val="24"/>
                <w:szCs w:val="24"/>
                <w:lang w:eastAsia="sk-SK"/>
              </w:rPr>
              <w:t>. 2:</w:t>
            </w:r>
          </w:p>
        </w:tc>
      </w:tr>
      <w:tr>
        <w:tblPrEx>
          <w:tblW w:w="5180" w:type="pct"/>
          <w:jc w:val="center"/>
          <w:tblCellMar>
            <w:top w:w="28" w:type="dxa"/>
            <w:bottom w:w="28" w:type="dxa"/>
          </w:tblCellMar>
          <w:tblLook w:val="04A0"/>
        </w:tblPrEx>
        <w:trPr>
          <w:gridAfter w:val="1"/>
          <w:wAfter w:w="7" w:type="dxa"/>
          <w:trHeight w:val="587"/>
          <w:jc w:val="center"/>
        </w:trPr>
        <w:tc>
          <w:tcPr>
            <w:tcW w:w="2496" w:type="pct"/>
            <w:gridSpan w:val="3"/>
            <w:tcBorders>
              <w:top w:val="single" w:sz="4" w:space="0" w:color="auto"/>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Pozití</w:t>
            </w:r>
            <w:r w:rsidRPr="00A57582">
              <w:rPr>
                <w:rFonts w:ascii="Times New Roman" w:eastAsia="Calibri" w:hAnsi="Times New Roman" w:cs="Times New Roman" w:hint="default"/>
                <w:i/>
                <w:sz w:val="24"/>
                <w:szCs w:val="24"/>
                <w:lang w:eastAsia="sk-SK"/>
              </w:rPr>
              <w:t>vny vplyv - priemerný</w:t>
            </w:r>
            <w:r w:rsidRPr="00A57582">
              <w:rPr>
                <w:rFonts w:ascii="Times New Roman" w:eastAsia="Calibri" w:hAnsi="Times New Roman" w:cs="Times New Roman" w:hint="default"/>
                <w:i/>
                <w:sz w:val="24"/>
                <w:szCs w:val="24"/>
                <w:lang w:eastAsia="sk-SK"/>
              </w:rPr>
              <w:t xml:space="preserve"> rast </w:t>
            </w:r>
            <w:r w:rsidRPr="00A57582">
              <w:rPr>
                <w:rFonts w:ascii="Times New Roman" w:eastAsia="Calibri" w:hAnsi="Times New Roman" w:cs="Times New Roman" w:hint="default"/>
                <w:i/>
                <w:sz w:val="24"/>
                <w:szCs w:val="24"/>
                <w:lang w:eastAsia="sk-SK"/>
              </w:rPr>
              <w:t>prí</w:t>
            </w:r>
            <w:r w:rsidRPr="00A57582">
              <w:rPr>
                <w:rFonts w:ascii="Times New Roman" w:eastAsia="Calibri" w:hAnsi="Times New Roman" w:cs="Times New Roman" w:hint="default"/>
                <w:i/>
                <w:sz w:val="24"/>
                <w:szCs w:val="24"/>
                <w:lang w:eastAsia="sk-SK"/>
              </w:rPr>
              <w:t>jmov/pokles vý</w:t>
            </w:r>
            <w:r w:rsidRPr="00A57582">
              <w:rPr>
                <w:rFonts w:ascii="Times New Roman" w:eastAsia="Calibri" w:hAnsi="Times New Roman" w:cs="Times New Roman" w:hint="default"/>
                <w:i/>
                <w:sz w:val="24"/>
                <w:szCs w:val="24"/>
                <w:lang w:eastAsia="sk-SK"/>
              </w:rPr>
              <w:t>davkov v </w:t>
            </w:r>
            <w:r w:rsidRPr="00A57582">
              <w:rPr>
                <w:rFonts w:ascii="Times New Roman" w:eastAsia="Calibri" w:hAnsi="Times New Roman" w:cs="Times New Roman" w:hint="default"/>
                <w:i/>
                <w:sz w:val="24"/>
                <w:szCs w:val="24"/>
                <w:lang w:eastAsia="sk-SK"/>
              </w:rPr>
              <w:t>skupine v eurá</w:t>
            </w:r>
            <w:r w:rsidRPr="00A57582">
              <w:rPr>
                <w:rFonts w:ascii="Times New Roman" w:eastAsia="Calibri" w:hAnsi="Times New Roman" w:cs="Times New Roman" w:hint="default"/>
                <w:i/>
                <w:sz w:val="24"/>
                <w:szCs w:val="24"/>
                <w:lang w:eastAsia="sk-SK"/>
              </w:rPr>
              <w:t>ch a/alebo v % / obdobie:</w:t>
            </w:r>
          </w:p>
        </w:tc>
        <w:tc>
          <w:tcPr>
            <w:tcW w:w="2497" w:type="pct"/>
            <w:tcBorders>
              <w:top w:val="single" w:sz="4" w:space="0" w:color="auto"/>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497"/>
          <w:jc w:val="center"/>
        </w:trPr>
        <w:tc>
          <w:tcPr>
            <w:tcW w:w="2496" w:type="pct"/>
            <w:gridSpan w:val="3"/>
            <w:tcBorders>
              <w:top w:val="single" w:sz="4" w:space="0" w:color="BFBFBF"/>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Negatí</w:t>
            </w:r>
            <w:r w:rsidRPr="00A57582">
              <w:rPr>
                <w:rFonts w:ascii="Times New Roman" w:eastAsia="Calibri" w:hAnsi="Times New Roman" w:cs="Times New Roman" w:hint="default"/>
                <w:i/>
                <w:sz w:val="24"/>
                <w:szCs w:val="24"/>
                <w:lang w:eastAsia="sk-SK"/>
              </w:rPr>
              <w:t>vny vplyv - priemerný</w:t>
            </w:r>
            <w:r w:rsidRPr="00A57582">
              <w:rPr>
                <w:rFonts w:ascii="Times New Roman" w:eastAsia="Calibri" w:hAnsi="Times New Roman" w:cs="Times New Roman" w:hint="default"/>
                <w:i/>
                <w:sz w:val="24"/>
                <w:szCs w:val="24"/>
                <w:lang w:eastAsia="sk-SK"/>
              </w:rPr>
              <w:t xml:space="preserve"> pokles prí</w:t>
            </w:r>
            <w:r w:rsidRPr="00A57582">
              <w:rPr>
                <w:rFonts w:ascii="Times New Roman" w:eastAsia="Calibri" w:hAnsi="Times New Roman" w:cs="Times New Roman" w:hint="default"/>
                <w:i/>
                <w:sz w:val="24"/>
                <w:szCs w:val="24"/>
                <w:lang w:eastAsia="sk-SK"/>
              </w:rPr>
              <w:t>jmov/ rast vý</w:t>
            </w:r>
            <w:r w:rsidRPr="00A57582">
              <w:rPr>
                <w:rFonts w:ascii="Times New Roman" w:eastAsia="Calibri" w:hAnsi="Times New Roman" w:cs="Times New Roman" w:hint="default"/>
                <w:i/>
                <w:sz w:val="24"/>
                <w:szCs w:val="24"/>
                <w:lang w:eastAsia="sk-SK"/>
              </w:rPr>
              <w:t>davkov v </w:t>
            </w:r>
            <w:r w:rsidRPr="00A57582">
              <w:rPr>
                <w:rFonts w:ascii="Times New Roman" w:eastAsia="Calibri" w:hAnsi="Times New Roman" w:cs="Times New Roman" w:hint="default"/>
                <w:i/>
                <w:sz w:val="24"/>
                <w:szCs w:val="24"/>
                <w:lang w:eastAsia="sk-SK"/>
              </w:rPr>
              <w:t>skupine v eurá</w:t>
            </w:r>
            <w:r w:rsidRPr="00A57582">
              <w:rPr>
                <w:rFonts w:ascii="Times New Roman" w:eastAsia="Calibri" w:hAnsi="Times New Roman" w:cs="Times New Roman" w:hint="default"/>
                <w:i/>
                <w:sz w:val="24"/>
                <w:szCs w:val="24"/>
                <w:lang w:eastAsia="sk-SK"/>
              </w:rPr>
              <w:t xml:space="preserve">ch a/alebo v % / obdobie: </w:t>
            </w:r>
          </w:p>
        </w:tc>
        <w:tc>
          <w:tcPr>
            <w:tcW w:w="2497" w:type="pct"/>
            <w:tcBorders>
              <w:top w:val="single" w:sz="4" w:space="0" w:color="BFBFBF"/>
              <w:left w:val="single" w:sz="4" w:space="0" w:color="auto"/>
              <w:bottom w:val="single" w:sz="4" w:space="0" w:color="BFBFBF"/>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363"/>
          <w:jc w:val="center"/>
        </w:trPr>
        <w:tc>
          <w:tcPr>
            <w:tcW w:w="2496" w:type="pct"/>
            <w:gridSpan w:val="3"/>
            <w:tcBorders>
              <w:top w:val="single" w:sz="4" w:space="0" w:color="BFBFBF"/>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Veľ</w:t>
            </w:r>
            <w:r w:rsidRPr="00A57582">
              <w:rPr>
                <w:rFonts w:ascii="Times New Roman" w:eastAsia="Calibri" w:hAnsi="Times New Roman" w:cs="Times New Roman" w:hint="default"/>
                <w:i/>
                <w:sz w:val="24"/>
                <w:szCs w:val="24"/>
                <w:lang w:eastAsia="sk-SK"/>
              </w:rPr>
              <w:t>kosť</w:t>
            </w:r>
            <w:r w:rsidRPr="00A57582">
              <w:rPr>
                <w:rFonts w:ascii="Times New Roman" w:eastAsia="Calibri" w:hAnsi="Times New Roman" w:cs="Times New Roman" w:hint="default"/>
                <w:i/>
                <w:sz w:val="24"/>
                <w:szCs w:val="24"/>
                <w:lang w:eastAsia="sk-SK"/>
              </w:rPr>
              <w:t xml:space="preserve"> skupiny (poč</w:t>
            </w:r>
            <w:r w:rsidRPr="00A57582">
              <w:rPr>
                <w:rFonts w:ascii="Times New Roman" w:eastAsia="Calibri" w:hAnsi="Times New Roman" w:cs="Times New Roman" w:hint="default"/>
                <w:i/>
                <w:sz w:val="24"/>
                <w:szCs w:val="24"/>
                <w:lang w:eastAsia="sk-SK"/>
              </w:rPr>
              <w:t>et obyvateľ</w:t>
            </w:r>
            <w:r w:rsidRPr="00A57582">
              <w:rPr>
                <w:rFonts w:ascii="Times New Roman" w:eastAsia="Calibri" w:hAnsi="Times New Roman" w:cs="Times New Roman" w:hint="default"/>
                <w:i/>
                <w:sz w:val="24"/>
                <w:szCs w:val="24"/>
                <w:lang w:eastAsia="sk-SK"/>
              </w:rPr>
              <w:t>ov):</w:t>
            </w:r>
          </w:p>
        </w:tc>
        <w:tc>
          <w:tcPr>
            <w:tcW w:w="2497" w:type="pct"/>
            <w:tcBorders>
              <w:top w:val="single" w:sz="4" w:space="0" w:color="BFBFBF"/>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670"/>
          <w:jc w:val="center"/>
        </w:trPr>
        <w:tc>
          <w:tcPr>
            <w:tcW w:w="2496" w:type="pct"/>
            <w:gridSpan w:val="3"/>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Dô</w:t>
            </w:r>
            <w:r w:rsidRPr="00A57582">
              <w:rPr>
                <w:rFonts w:ascii="Times New Roman" w:eastAsia="Calibri" w:hAnsi="Times New Roman" w:cs="Times New Roman" w:hint="default"/>
                <w:i/>
                <w:sz w:val="24"/>
                <w:szCs w:val="24"/>
                <w:lang w:eastAsia="sk-SK"/>
              </w:rPr>
              <w:t>vod chý</w:t>
            </w:r>
            <w:r w:rsidRPr="00A57582">
              <w:rPr>
                <w:rFonts w:ascii="Times New Roman" w:eastAsia="Calibri" w:hAnsi="Times New Roman" w:cs="Times New Roman" w:hint="default"/>
                <w:i/>
                <w:sz w:val="24"/>
                <w:szCs w:val="24"/>
                <w:lang w:eastAsia="sk-SK"/>
              </w:rPr>
              <w:t>bajú</w:t>
            </w:r>
            <w:r w:rsidRPr="00A57582">
              <w:rPr>
                <w:rFonts w:ascii="Times New Roman" w:eastAsia="Calibri" w:hAnsi="Times New Roman" w:cs="Times New Roman" w:hint="default"/>
                <w:i/>
                <w:sz w:val="24"/>
                <w:szCs w:val="24"/>
                <w:lang w:eastAsia="sk-SK"/>
              </w:rPr>
              <w:t>cej kvantifiká</w:t>
            </w:r>
            <w:r w:rsidRPr="00A57582">
              <w:rPr>
                <w:rFonts w:ascii="Times New Roman" w:eastAsia="Calibri" w:hAnsi="Times New Roman" w:cs="Times New Roman" w:hint="default"/>
                <w:i/>
                <w:sz w:val="24"/>
                <w:szCs w:val="24"/>
                <w:lang w:eastAsia="sk-SK"/>
              </w:rPr>
              <w:t>cie:</w:t>
            </w:r>
          </w:p>
        </w:tc>
        <w:tc>
          <w:tcPr>
            <w:tcW w:w="2497" w:type="pct"/>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670"/>
          <w:jc w:val="center"/>
        </w:trPr>
        <w:tc>
          <w:tcPr>
            <w:tcW w:w="2496" w:type="pct"/>
            <w:gridSpan w:val="3"/>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V prí</w:t>
            </w:r>
            <w:r w:rsidRPr="00A57582">
              <w:rPr>
                <w:rFonts w:ascii="Times New Roman" w:eastAsia="Calibri" w:hAnsi="Times New Roman" w:cs="Times New Roman" w:hint="default"/>
                <w:i/>
                <w:sz w:val="24"/>
                <w:szCs w:val="24"/>
                <w:lang w:eastAsia="sk-SK"/>
              </w:rPr>
              <w:t xml:space="preserve">pade </w:t>
            </w:r>
            <w:r w:rsidRPr="00A57582">
              <w:rPr>
                <w:rFonts w:ascii="Times New Roman" w:eastAsia="Calibri" w:hAnsi="Times New Roman" w:cs="Times New Roman" w:hint="default"/>
                <w:i/>
                <w:sz w:val="24"/>
                <w:szCs w:val="24"/>
                <w:lang w:eastAsia="sk-SK"/>
              </w:rPr>
              <w:t>vý</w:t>
            </w:r>
            <w:r w:rsidRPr="00A57582">
              <w:rPr>
                <w:rFonts w:ascii="Times New Roman" w:eastAsia="Calibri" w:hAnsi="Times New Roman" w:cs="Times New Roman" w:hint="default"/>
                <w:i/>
                <w:sz w:val="24"/>
                <w:szCs w:val="24"/>
                <w:lang w:eastAsia="sk-SK"/>
              </w:rPr>
              <w:t>znamný</w:t>
            </w:r>
            <w:r w:rsidRPr="00A57582">
              <w:rPr>
                <w:rFonts w:ascii="Times New Roman" w:eastAsia="Calibri" w:hAnsi="Times New Roman" w:cs="Times New Roman" w:hint="default"/>
                <w:i/>
                <w:sz w:val="24"/>
                <w:szCs w:val="24"/>
                <w:lang w:eastAsia="sk-SK"/>
              </w:rPr>
              <w:t>ch vplyvov na prí</w:t>
            </w:r>
            <w:r w:rsidRPr="00A57582">
              <w:rPr>
                <w:rFonts w:ascii="Times New Roman" w:eastAsia="Calibri" w:hAnsi="Times New Roman" w:cs="Times New Roman" w:hint="default"/>
                <w:i/>
                <w:sz w:val="24"/>
                <w:szCs w:val="24"/>
                <w:lang w:eastAsia="sk-SK"/>
              </w:rPr>
              <w:t>jmy alebo vý</w:t>
            </w:r>
            <w:r w:rsidRPr="00A57582">
              <w:rPr>
                <w:rFonts w:ascii="Times New Roman" w:eastAsia="Calibri" w:hAnsi="Times New Roman" w:cs="Times New Roman" w:hint="default"/>
                <w:i/>
                <w:sz w:val="24"/>
                <w:szCs w:val="24"/>
                <w:lang w:eastAsia="sk-SK"/>
              </w:rPr>
              <w:t>davky vyšš</w:t>
            </w:r>
            <w:r w:rsidRPr="00A57582">
              <w:rPr>
                <w:rFonts w:ascii="Times New Roman" w:eastAsia="Calibri" w:hAnsi="Times New Roman" w:cs="Times New Roman" w:hint="default"/>
                <w:i/>
                <w:sz w:val="24"/>
                <w:szCs w:val="24"/>
                <w:lang w:eastAsia="sk-SK"/>
              </w:rPr>
              <w:t>ie š</w:t>
            </w:r>
            <w:r w:rsidRPr="00A57582">
              <w:rPr>
                <w:rFonts w:ascii="Times New Roman" w:eastAsia="Calibri" w:hAnsi="Times New Roman" w:cs="Times New Roman" w:hint="default"/>
                <w:i/>
                <w:sz w:val="24"/>
                <w:szCs w:val="24"/>
                <w:lang w:eastAsia="sk-SK"/>
              </w:rPr>
              <w:t>pecifikovaný</w:t>
            </w:r>
            <w:r w:rsidRPr="00A57582">
              <w:rPr>
                <w:rFonts w:ascii="Times New Roman" w:eastAsia="Calibri" w:hAnsi="Times New Roman" w:cs="Times New Roman" w:hint="default"/>
                <w:i/>
                <w:sz w:val="24"/>
                <w:szCs w:val="24"/>
                <w:lang w:eastAsia="sk-SK"/>
              </w:rPr>
              <w:t>ch domá</w:t>
            </w:r>
            <w:r w:rsidRPr="00A57582">
              <w:rPr>
                <w:rFonts w:ascii="Times New Roman" w:eastAsia="Calibri" w:hAnsi="Times New Roman" w:cs="Times New Roman" w:hint="default"/>
                <w:i/>
                <w:sz w:val="24"/>
                <w:szCs w:val="24"/>
                <w:lang w:eastAsia="sk-SK"/>
              </w:rPr>
              <w:t>cností</w:t>
            </w:r>
            <w:r w:rsidRPr="00A57582">
              <w:rPr>
                <w:rFonts w:ascii="Times New Roman" w:eastAsia="Calibri" w:hAnsi="Times New Roman" w:cs="Times New Roman" w:hint="default"/>
                <w:i/>
                <w:sz w:val="24"/>
                <w:szCs w:val="24"/>
                <w:lang w:eastAsia="sk-SK"/>
              </w:rPr>
              <w:t xml:space="preserve"> v </w:t>
            </w:r>
            <w:r w:rsidRPr="00A57582">
              <w:rPr>
                <w:rFonts w:ascii="Times New Roman" w:eastAsia="Calibri" w:hAnsi="Times New Roman" w:cs="Times New Roman" w:hint="default"/>
                <w:i/>
                <w:sz w:val="24"/>
                <w:szCs w:val="24"/>
                <w:lang w:eastAsia="sk-SK"/>
              </w:rPr>
              <w:t>riziku chudoby, identifikujte a kvantifikujte vplyv na chudobu obyvateľ</w:t>
            </w:r>
            <w:r w:rsidRPr="00A57582">
              <w:rPr>
                <w:rFonts w:ascii="Times New Roman" w:eastAsia="Calibri" w:hAnsi="Times New Roman" w:cs="Times New Roman" w:hint="default"/>
                <w:i/>
                <w:sz w:val="24"/>
                <w:szCs w:val="24"/>
                <w:lang w:eastAsia="sk-SK"/>
              </w:rPr>
              <w:t>stva (napr. mieru rizika chudoby, podiel rastu/poklesu vý</w:t>
            </w:r>
            <w:r w:rsidRPr="00A57582">
              <w:rPr>
                <w:rFonts w:ascii="Times New Roman" w:eastAsia="Calibri" w:hAnsi="Times New Roman" w:cs="Times New Roman" w:hint="default"/>
                <w:i/>
                <w:sz w:val="24"/>
                <w:szCs w:val="24"/>
                <w:lang w:eastAsia="sk-SK"/>
              </w:rPr>
              <w:t>davkov na celkový</w:t>
            </w:r>
            <w:r w:rsidRPr="00A57582">
              <w:rPr>
                <w:rFonts w:ascii="Times New Roman" w:eastAsia="Calibri" w:hAnsi="Times New Roman" w:cs="Times New Roman" w:hint="default"/>
                <w:i/>
                <w:sz w:val="24"/>
                <w:szCs w:val="24"/>
                <w:lang w:eastAsia="sk-SK"/>
              </w:rPr>
              <w:t>ch vý</w:t>
            </w:r>
            <w:r w:rsidRPr="00A57582">
              <w:rPr>
                <w:rFonts w:ascii="Times New Roman" w:eastAsia="Calibri" w:hAnsi="Times New Roman" w:cs="Times New Roman" w:hint="default"/>
                <w:i/>
                <w:sz w:val="24"/>
                <w:szCs w:val="24"/>
                <w:lang w:eastAsia="sk-SK"/>
              </w:rPr>
              <w:t>davkoch/prí</w:t>
            </w:r>
            <w:r w:rsidRPr="00A57582">
              <w:rPr>
                <w:rFonts w:ascii="Times New Roman" w:eastAsia="Calibri" w:hAnsi="Times New Roman" w:cs="Times New Roman" w:hint="default"/>
                <w:i/>
                <w:sz w:val="24"/>
                <w:szCs w:val="24"/>
                <w:lang w:eastAsia="sk-SK"/>
              </w:rPr>
              <w:t>jme):</w:t>
            </w:r>
          </w:p>
        </w:tc>
        <w:tc>
          <w:tcPr>
            <w:tcW w:w="2497" w:type="pct"/>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trHeight w:val="339"/>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777A" w:rsidRPr="00A57582" w:rsidP="007B2961">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80" w:type="pct"/>
          <w:jc w:val="center"/>
          <w:tblCellMar>
            <w:top w:w="28" w:type="dxa"/>
            <w:bottom w:w="28" w:type="dxa"/>
          </w:tblCellMar>
          <w:tblLook w:val="04A0"/>
        </w:tblPrEx>
        <w:trPr>
          <w:gridAfter w:val="1"/>
          <w:wAfter w:w="7" w:type="dxa"/>
          <w:trHeight w:val="290"/>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 xml:space="preserve">Má návrh vplyv na prístup k zdrojom, právam, tovarom a službám? </w:t>
            </w:r>
          </w:p>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Špecifikujete ovplyvnené skupiny obyvateľstva a charakter zmeny v prístupnosti s ohľadom na dostupnosť finančnú, geografickú, kvalitu, organizovanie a pod. Uveďte veľkosť jednotlivých ovplyvnených skupín.</w:t>
            </w:r>
          </w:p>
        </w:tc>
      </w:tr>
      <w:tr>
        <w:tblPrEx>
          <w:tblW w:w="5180" w:type="pct"/>
          <w:jc w:val="center"/>
          <w:tblBorders>
            <w:top w:val="none" w:sz="0" w:space="0" w:color="auto"/>
            <w:bottom w:val="none" w:sz="0" w:space="0" w:color="auto"/>
          </w:tblBorders>
          <w:tblCellMar>
            <w:top w:w="28" w:type="dxa"/>
            <w:bottom w:w="28" w:type="dxa"/>
          </w:tblCellMar>
          <w:tblLook w:val="04A0"/>
        </w:tblPrEx>
        <w:trPr>
          <w:gridAfter w:val="1"/>
          <w:wAfter w:w="7" w:type="dxa"/>
          <w:trHeight w:val="557"/>
          <w:jc w:val="center"/>
        </w:trPr>
        <w:tc>
          <w:tcPr>
            <w:tcW w:w="1990" w:type="pct"/>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Rozumie sa najmä</w:t>
            </w:r>
            <w:r w:rsidRPr="00A57582">
              <w:rPr>
                <w:rFonts w:ascii="Times New Roman" w:eastAsia="Calibri" w:hAnsi="Times New Roman" w:cs="Times New Roman" w:hint="default"/>
                <w:i/>
                <w:sz w:val="24"/>
                <w:szCs w:val="24"/>
                <w:lang w:eastAsia="sk-SK"/>
              </w:rPr>
              <w:t xml:space="preserve"> na prí</w:t>
            </w:r>
            <w:r w:rsidRPr="00A57582">
              <w:rPr>
                <w:rFonts w:ascii="Times New Roman" w:eastAsia="Calibri" w:hAnsi="Times New Roman" w:cs="Times New Roman" w:hint="default"/>
                <w:i/>
                <w:sz w:val="24"/>
                <w:szCs w:val="24"/>
                <w:lang w:eastAsia="sk-SK"/>
              </w:rPr>
              <w:t>stup k:</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sociá</w:t>
            </w:r>
            <w:r w:rsidRPr="00A57582">
              <w:rPr>
                <w:rFonts w:ascii="Times New Roman" w:eastAsia="Calibri" w:hAnsi="Times New Roman" w:cs="Times New Roman" w:hint="default"/>
                <w:i/>
                <w:sz w:val="24"/>
                <w:szCs w:val="24"/>
                <w:lang w:eastAsia="sk-SK"/>
              </w:rPr>
              <w:t>lnej ochrane, sociá</w:t>
            </w:r>
            <w:r w:rsidRPr="00A57582">
              <w:rPr>
                <w:rFonts w:ascii="Times New Roman" w:eastAsia="Calibri" w:hAnsi="Times New Roman" w:cs="Times New Roman" w:hint="default"/>
                <w:i/>
                <w:sz w:val="24"/>
                <w:szCs w:val="24"/>
                <w:lang w:eastAsia="sk-SK"/>
              </w:rPr>
              <w:t>lno-prá</w:t>
            </w:r>
            <w:r w:rsidRPr="00A57582">
              <w:rPr>
                <w:rFonts w:ascii="Times New Roman" w:eastAsia="Calibri" w:hAnsi="Times New Roman" w:cs="Times New Roman" w:hint="default"/>
                <w:i/>
                <w:sz w:val="24"/>
                <w:szCs w:val="24"/>
                <w:lang w:eastAsia="sk-SK"/>
              </w:rPr>
              <w:t>vnej ochrane, sociá</w:t>
            </w:r>
            <w:r w:rsidRPr="00A57582">
              <w:rPr>
                <w:rFonts w:ascii="Times New Roman" w:eastAsia="Calibri" w:hAnsi="Times New Roman" w:cs="Times New Roman" w:hint="default"/>
                <w:i/>
                <w:sz w:val="24"/>
                <w:szCs w:val="24"/>
                <w:lang w:eastAsia="sk-SK"/>
              </w:rPr>
              <w:t>lnym služ</w:t>
            </w:r>
            <w:r w:rsidRPr="00A57582">
              <w:rPr>
                <w:rFonts w:ascii="Times New Roman" w:eastAsia="Calibri" w:hAnsi="Times New Roman" w:cs="Times New Roman" w:hint="default"/>
                <w:i/>
                <w:sz w:val="24"/>
                <w:szCs w:val="24"/>
                <w:lang w:eastAsia="sk-SK"/>
              </w:rPr>
              <w:t>bá</w:t>
            </w:r>
            <w:r w:rsidRPr="00A57582">
              <w:rPr>
                <w:rFonts w:ascii="Times New Roman" w:eastAsia="Calibri" w:hAnsi="Times New Roman" w:cs="Times New Roman" w:hint="default"/>
                <w:i/>
                <w:sz w:val="24"/>
                <w:szCs w:val="24"/>
                <w:lang w:eastAsia="sk-SK"/>
              </w:rPr>
              <w:t>m (vrá</w:t>
            </w:r>
            <w:r w:rsidRPr="00A57582">
              <w:rPr>
                <w:rFonts w:ascii="Times New Roman" w:eastAsia="Calibri" w:hAnsi="Times New Roman" w:cs="Times New Roman" w:hint="default"/>
                <w:i/>
                <w:sz w:val="24"/>
                <w:szCs w:val="24"/>
                <w:lang w:eastAsia="sk-SK"/>
              </w:rPr>
              <w:t>tane služ</w:t>
            </w:r>
            <w:r w:rsidRPr="00A57582">
              <w:rPr>
                <w:rFonts w:ascii="Times New Roman" w:eastAsia="Calibri" w:hAnsi="Times New Roman" w:cs="Times New Roman" w:hint="default"/>
                <w:i/>
                <w:sz w:val="24"/>
                <w:szCs w:val="24"/>
                <w:lang w:eastAsia="sk-SK"/>
              </w:rPr>
              <w:t>ieb starostlivosti o </w:t>
            </w:r>
            <w:r w:rsidRPr="00A57582">
              <w:rPr>
                <w:rFonts w:ascii="Times New Roman" w:eastAsia="Calibri" w:hAnsi="Times New Roman" w:cs="Times New Roman" w:hint="default"/>
                <w:i/>
                <w:sz w:val="24"/>
                <w:szCs w:val="24"/>
                <w:lang w:eastAsia="sk-SK"/>
              </w:rPr>
              <w:t>deti, starší</w:t>
            </w:r>
            <w:r w:rsidRPr="00A57582">
              <w:rPr>
                <w:rFonts w:ascii="Times New Roman" w:eastAsia="Calibri" w:hAnsi="Times New Roman" w:cs="Times New Roman" w:hint="default"/>
                <w:i/>
                <w:sz w:val="24"/>
                <w:szCs w:val="24"/>
                <w:lang w:eastAsia="sk-SK"/>
              </w:rPr>
              <w:t>ch ľ</w:t>
            </w:r>
            <w:r w:rsidRPr="00A57582">
              <w:rPr>
                <w:rFonts w:ascii="Times New Roman" w:eastAsia="Calibri" w:hAnsi="Times New Roman" w:cs="Times New Roman" w:hint="default"/>
                <w:i/>
                <w:sz w:val="24"/>
                <w:szCs w:val="24"/>
                <w:lang w:eastAsia="sk-SK"/>
              </w:rPr>
              <w:t>udí</w:t>
            </w:r>
            <w:r w:rsidRPr="00A57582">
              <w:rPr>
                <w:rFonts w:ascii="Times New Roman" w:eastAsia="Calibri" w:hAnsi="Times New Roman" w:cs="Times New Roman" w:hint="default"/>
                <w:i/>
                <w:sz w:val="24"/>
                <w:szCs w:val="24"/>
                <w:lang w:eastAsia="sk-SK"/>
              </w:rPr>
              <w:t xml:space="preserve"> a </w:t>
            </w:r>
            <w:r w:rsidRPr="00A57582">
              <w:rPr>
                <w:rFonts w:ascii="Times New Roman" w:eastAsia="Calibri" w:hAnsi="Times New Roman" w:cs="Times New Roman" w:hint="default"/>
                <w:i/>
                <w:sz w:val="24"/>
                <w:szCs w:val="24"/>
                <w:lang w:eastAsia="sk-SK"/>
              </w:rPr>
              <w:t>ľ</w:t>
            </w:r>
            <w:r w:rsidRPr="00A57582">
              <w:rPr>
                <w:rFonts w:ascii="Times New Roman" w:eastAsia="Calibri" w:hAnsi="Times New Roman" w:cs="Times New Roman" w:hint="default"/>
                <w:i/>
                <w:sz w:val="24"/>
                <w:szCs w:val="24"/>
                <w:lang w:eastAsia="sk-SK"/>
              </w:rPr>
              <w:t>udí</w:t>
            </w:r>
            <w:r w:rsidRPr="00A57582">
              <w:rPr>
                <w:rFonts w:ascii="Times New Roman" w:eastAsia="Calibri" w:hAnsi="Times New Roman" w:cs="Times New Roman" w:hint="default"/>
                <w:i/>
                <w:sz w:val="24"/>
                <w:szCs w:val="24"/>
                <w:lang w:eastAsia="sk-SK"/>
              </w:rPr>
              <w:t xml:space="preserve"> so zdravotný</w:t>
            </w:r>
            <w:r w:rsidRPr="00A57582">
              <w:rPr>
                <w:rFonts w:ascii="Times New Roman" w:eastAsia="Calibri" w:hAnsi="Times New Roman" w:cs="Times New Roman" w:hint="default"/>
                <w:i/>
                <w:sz w:val="24"/>
                <w:szCs w:val="24"/>
                <w:lang w:eastAsia="sk-SK"/>
              </w:rPr>
              <w:t>m postihnutí</w:t>
            </w:r>
            <w:r w:rsidRPr="00A57582">
              <w:rPr>
                <w:rFonts w:ascii="Times New Roman" w:eastAsia="Calibri" w:hAnsi="Times New Roman" w:cs="Times New Roman" w:hint="default"/>
                <w:i/>
                <w:sz w:val="24"/>
                <w:szCs w:val="24"/>
                <w:lang w:eastAsia="sk-SK"/>
              </w:rPr>
              <w:t xml:space="preserve">m), </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kvalitnej prá</w:t>
            </w:r>
            <w:r w:rsidRPr="00A57582">
              <w:rPr>
                <w:rFonts w:ascii="Times New Roman" w:eastAsia="Calibri" w:hAnsi="Times New Roman" w:cs="Times New Roman" w:hint="default"/>
                <w:i/>
                <w:sz w:val="24"/>
                <w:szCs w:val="24"/>
                <w:lang w:eastAsia="sk-SK"/>
              </w:rPr>
              <w:t>ci, ochrane zdravia, dô</w:t>
            </w:r>
            <w:r w:rsidRPr="00A57582">
              <w:rPr>
                <w:rFonts w:ascii="Times New Roman" w:eastAsia="Calibri" w:hAnsi="Times New Roman" w:cs="Times New Roman" w:hint="default"/>
                <w:i/>
                <w:sz w:val="24"/>
                <w:szCs w:val="24"/>
                <w:lang w:eastAsia="sk-SK"/>
              </w:rPr>
              <w:t>stojnosti a </w:t>
            </w:r>
            <w:r w:rsidRPr="00A57582">
              <w:rPr>
                <w:rFonts w:ascii="Times New Roman" w:eastAsia="Calibri" w:hAnsi="Times New Roman" w:cs="Times New Roman" w:hint="default"/>
                <w:i/>
                <w:sz w:val="24"/>
                <w:szCs w:val="24"/>
                <w:lang w:eastAsia="sk-SK"/>
              </w:rPr>
              <w:t>bezpeč</w:t>
            </w:r>
            <w:r w:rsidRPr="00A57582">
              <w:rPr>
                <w:rFonts w:ascii="Times New Roman" w:eastAsia="Calibri" w:hAnsi="Times New Roman" w:cs="Times New Roman" w:hint="default"/>
                <w:i/>
                <w:sz w:val="24"/>
                <w:szCs w:val="24"/>
                <w:lang w:eastAsia="sk-SK"/>
              </w:rPr>
              <w:t>nosti pri prá</w:t>
            </w:r>
            <w:r w:rsidRPr="00A57582">
              <w:rPr>
                <w:rFonts w:ascii="Times New Roman" w:eastAsia="Calibri" w:hAnsi="Times New Roman" w:cs="Times New Roman" w:hint="default"/>
                <w:i/>
                <w:sz w:val="24"/>
                <w:szCs w:val="24"/>
                <w:lang w:eastAsia="sk-SK"/>
              </w:rPr>
              <w:t>ci pre zamestnancov a </w:t>
            </w:r>
            <w:r w:rsidRPr="00A57582">
              <w:rPr>
                <w:rFonts w:ascii="Times New Roman" w:eastAsia="Calibri" w:hAnsi="Times New Roman" w:cs="Times New Roman" w:hint="default"/>
                <w:i/>
                <w:sz w:val="24"/>
                <w:szCs w:val="24"/>
                <w:lang w:eastAsia="sk-SK"/>
              </w:rPr>
              <w:t>existujú</w:t>
            </w:r>
            <w:r w:rsidRPr="00A57582">
              <w:rPr>
                <w:rFonts w:ascii="Times New Roman" w:eastAsia="Calibri" w:hAnsi="Times New Roman" w:cs="Times New Roman" w:hint="default"/>
                <w:i/>
                <w:sz w:val="24"/>
                <w:szCs w:val="24"/>
                <w:lang w:eastAsia="sk-SK"/>
              </w:rPr>
              <w:t>cim za</w:t>
            </w:r>
            <w:r w:rsidRPr="00A57582">
              <w:rPr>
                <w:rFonts w:ascii="Times New Roman" w:eastAsia="Calibri" w:hAnsi="Times New Roman" w:cs="Times New Roman" w:hint="default"/>
                <w:i/>
                <w:sz w:val="24"/>
                <w:szCs w:val="24"/>
                <w:lang w:eastAsia="sk-SK"/>
              </w:rPr>
              <w:t>mestnanecký</w:t>
            </w:r>
            <w:r w:rsidRPr="00A57582">
              <w:rPr>
                <w:rFonts w:ascii="Times New Roman" w:eastAsia="Calibri" w:hAnsi="Times New Roman" w:cs="Times New Roman" w:hint="default"/>
                <w:i/>
                <w:sz w:val="24"/>
                <w:szCs w:val="24"/>
                <w:lang w:eastAsia="sk-SK"/>
              </w:rPr>
              <w:t>m prá</w:t>
            </w:r>
            <w:r w:rsidRPr="00A57582">
              <w:rPr>
                <w:rFonts w:ascii="Times New Roman" w:eastAsia="Calibri" w:hAnsi="Times New Roman" w:cs="Times New Roman" w:hint="default"/>
                <w:i/>
                <w:sz w:val="24"/>
                <w:szCs w:val="24"/>
                <w:lang w:eastAsia="sk-SK"/>
              </w:rPr>
              <w:t>vam,</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pomoci pri ú</w:t>
            </w:r>
            <w:r w:rsidRPr="00A57582">
              <w:rPr>
                <w:rFonts w:ascii="Times New Roman" w:eastAsia="Calibri" w:hAnsi="Times New Roman" w:cs="Times New Roman" w:hint="default"/>
                <w:i/>
                <w:sz w:val="24"/>
                <w:szCs w:val="24"/>
                <w:lang w:eastAsia="sk-SK"/>
              </w:rPr>
              <w:t>hrade vý</w:t>
            </w:r>
            <w:r w:rsidRPr="00A57582">
              <w:rPr>
                <w:rFonts w:ascii="Times New Roman" w:eastAsia="Calibri" w:hAnsi="Times New Roman" w:cs="Times New Roman" w:hint="default"/>
                <w:i/>
                <w:sz w:val="24"/>
                <w:szCs w:val="24"/>
                <w:lang w:eastAsia="sk-SK"/>
              </w:rPr>
              <w:t>davkov sú</w:t>
            </w:r>
            <w:r w:rsidRPr="00A57582">
              <w:rPr>
                <w:rFonts w:ascii="Times New Roman" w:eastAsia="Calibri" w:hAnsi="Times New Roman" w:cs="Times New Roman" w:hint="default"/>
                <w:i/>
                <w:sz w:val="24"/>
                <w:szCs w:val="24"/>
                <w:lang w:eastAsia="sk-SK"/>
              </w:rPr>
              <w:t>visiacich so </w:t>
            </w:r>
            <w:r w:rsidRPr="00A57582">
              <w:rPr>
                <w:rFonts w:ascii="Times New Roman" w:eastAsia="Calibri" w:hAnsi="Times New Roman" w:cs="Times New Roman" w:hint="default"/>
                <w:i/>
                <w:sz w:val="24"/>
                <w:szCs w:val="24"/>
                <w:lang w:eastAsia="sk-SK"/>
              </w:rPr>
              <w:t>zdravotný</w:t>
            </w:r>
            <w:r w:rsidRPr="00A57582">
              <w:rPr>
                <w:rFonts w:ascii="Times New Roman" w:eastAsia="Calibri" w:hAnsi="Times New Roman" w:cs="Times New Roman" w:hint="default"/>
                <w:i/>
                <w:sz w:val="24"/>
                <w:szCs w:val="24"/>
                <w:lang w:eastAsia="sk-SK"/>
              </w:rPr>
              <w:t>m postihnutí</w:t>
            </w:r>
            <w:r w:rsidRPr="00A57582">
              <w:rPr>
                <w:rFonts w:ascii="Times New Roman" w:eastAsia="Calibri" w:hAnsi="Times New Roman" w:cs="Times New Roman" w:hint="default"/>
                <w:i/>
                <w:sz w:val="24"/>
                <w:szCs w:val="24"/>
                <w:lang w:eastAsia="sk-SK"/>
              </w:rPr>
              <w:t xml:space="preserve">m, </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zamestnaniu, na trh prá</w:t>
            </w:r>
            <w:r w:rsidRPr="00A57582">
              <w:rPr>
                <w:rFonts w:ascii="Times New Roman" w:eastAsia="Calibri" w:hAnsi="Times New Roman" w:cs="Times New Roman" w:hint="default"/>
                <w:i/>
                <w:sz w:val="24"/>
                <w:szCs w:val="24"/>
                <w:lang w:eastAsia="sk-SK"/>
              </w:rPr>
              <w:t>ce (napr. uľ</w:t>
            </w:r>
            <w:r w:rsidRPr="00A57582">
              <w:rPr>
                <w:rFonts w:ascii="Times New Roman" w:eastAsia="Calibri" w:hAnsi="Times New Roman" w:cs="Times New Roman" w:hint="default"/>
                <w:i/>
                <w:sz w:val="24"/>
                <w:szCs w:val="24"/>
                <w:lang w:eastAsia="sk-SK"/>
              </w:rPr>
              <w:t>ahč</w:t>
            </w:r>
            <w:r w:rsidRPr="00A57582">
              <w:rPr>
                <w:rFonts w:ascii="Times New Roman" w:eastAsia="Calibri" w:hAnsi="Times New Roman" w:cs="Times New Roman" w:hint="default"/>
                <w:i/>
                <w:sz w:val="24"/>
                <w:szCs w:val="24"/>
                <w:lang w:eastAsia="sk-SK"/>
              </w:rPr>
              <w:t>enie zosú</w:t>
            </w:r>
            <w:r w:rsidRPr="00A57582">
              <w:rPr>
                <w:rFonts w:ascii="Times New Roman" w:eastAsia="Calibri" w:hAnsi="Times New Roman" w:cs="Times New Roman" w:hint="default"/>
                <w:i/>
                <w:sz w:val="24"/>
                <w:szCs w:val="24"/>
                <w:lang w:eastAsia="sk-SK"/>
              </w:rPr>
              <w:t>ladenia rodinný</w:t>
            </w:r>
            <w:r w:rsidRPr="00A57582">
              <w:rPr>
                <w:rFonts w:ascii="Times New Roman" w:eastAsia="Calibri" w:hAnsi="Times New Roman" w:cs="Times New Roman" w:hint="default"/>
                <w:i/>
                <w:sz w:val="24"/>
                <w:szCs w:val="24"/>
                <w:lang w:eastAsia="sk-SK"/>
              </w:rPr>
              <w:t>ch a </w:t>
            </w:r>
            <w:r w:rsidRPr="00A57582">
              <w:rPr>
                <w:rFonts w:ascii="Times New Roman" w:eastAsia="Calibri" w:hAnsi="Times New Roman" w:cs="Times New Roman" w:hint="default"/>
                <w:i/>
                <w:sz w:val="24"/>
                <w:szCs w:val="24"/>
                <w:lang w:eastAsia="sk-SK"/>
              </w:rPr>
              <w:t>pracovný</w:t>
            </w:r>
            <w:r w:rsidRPr="00A57582">
              <w:rPr>
                <w:rFonts w:ascii="Times New Roman" w:eastAsia="Calibri" w:hAnsi="Times New Roman" w:cs="Times New Roman" w:hint="default"/>
                <w:i/>
                <w:sz w:val="24"/>
                <w:szCs w:val="24"/>
                <w:lang w:eastAsia="sk-SK"/>
              </w:rPr>
              <w:t>ch povinností</w:t>
            </w:r>
            <w:r w:rsidRPr="00A57582">
              <w:rPr>
                <w:rFonts w:ascii="Times New Roman" w:eastAsia="Calibri" w:hAnsi="Times New Roman" w:cs="Times New Roman" w:hint="default"/>
                <w:i/>
                <w:sz w:val="24"/>
                <w:szCs w:val="24"/>
                <w:lang w:eastAsia="sk-SK"/>
              </w:rPr>
              <w:t>, služ</w:t>
            </w:r>
            <w:r w:rsidRPr="00A57582">
              <w:rPr>
                <w:rFonts w:ascii="Times New Roman" w:eastAsia="Calibri" w:hAnsi="Times New Roman" w:cs="Times New Roman" w:hint="default"/>
                <w:i/>
                <w:sz w:val="24"/>
                <w:szCs w:val="24"/>
                <w:lang w:eastAsia="sk-SK"/>
              </w:rPr>
              <w:t>by zamestnanosti), k </w:t>
            </w:r>
            <w:r w:rsidRPr="00A57582">
              <w:rPr>
                <w:rFonts w:ascii="Times New Roman" w:eastAsia="Calibri" w:hAnsi="Times New Roman" w:cs="Times New Roman" w:hint="default"/>
                <w:i/>
                <w:sz w:val="24"/>
                <w:szCs w:val="24"/>
                <w:lang w:eastAsia="sk-SK"/>
              </w:rPr>
              <w:t>š</w:t>
            </w:r>
            <w:r w:rsidRPr="00A57582">
              <w:rPr>
                <w:rFonts w:ascii="Times New Roman" w:eastAsia="Calibri" w:hAnsi="Times New Roman" w:cs="Times New Roman" w:hint="default"/>
                <w:i/>
                <w:sz w:val="24"/>
                <w:szCs w:val="24"/>
                <w:lang w:eastAsia="sk-SK"/>
              </w:rPr>
              <w:t>koleniam, odborné</w:t>
            </w:r>
            <w:r w:rsidRPr="00A57582">
              <w:rPr>
                <w:rFonts w:ascii="Times New Roman" w:eastAsia="Calibri" w:hAnsi="Times New Roman" w:cs="Times New Roman" w:hint="default"/>
                <w:i/>
                <w:sz w:val="24"/>
                <w:szCs w:val="24"/>
                <w:lang w:eastAsia="sk-SK"/>
              </w:rPr>
              <w:t>mu vzdelá</w:t>
            </w:r>
            <w:r w:rsidRPr="00A57582">
              <w:rPr>
                <w:rFonts w:ascii="Times New Roman" w:eastAsia="Calibri" w:hAnsi="Times New Roman" w:cs="Times New Roman" w:hint="default"/>
                <w:i/>
                <w:sz w:val="24"/>
                <w:szCs w:val="24"/>
                <w:lang w:eastAsia="sk-SK"/>
              </w:rPr>
              <w:t>vaniu a prí</w:t>
            </w:r>
            <w:r w:rsidRPr="00A57582">
              <w:rPr>
                <w:rFonts w:ascii="Times New Roman" w:eastAsia="Calibri" w:hAnsi="Times New Roman" w:cs="Times New Roman" w:hint="default"/>
                <w:i/>
                <w:sz w:val="24"/>
                <w:szCs w:val="24"/>
                <w:lang w:eastAsia="sk-SK"/>
              </w:rPr>
              <w:t>prave na trh pr</w:t>
            </w:r>
            <w:r w:rsidRPr="00A57582">
              <w:rPr>
                <w:rFonts w:ascii="Times New Roman" w:eastAsia="Calibri" w:hAnsi="Times New Roman" w:cs="Times New Roman" w:hint="default"/>
                <w:i/>
                <w:sz w:val="24"/>
                <w:szCs w:val="24"/>
                <w:lang w:eastAsia="sk-SK"/>
              </w:rPr>
              <w:t>á</w:t>
            </w:r>
            <w:r w:rsidRPr="00A57582">
              <w:rPr>
                <w:rFonts w:ascii="Times New Roman" w:eastAsia="Calibri" w:hAnsi="Times New Roman" w:cs="Times New Roman" w:hint="default"/>
                <w:i/>
                <w:sz w:val="24"/>
                <w:szCs w:val="24"/>
                <w:lang w:eastAsia="sk-SK"/>
              </w:rPr>
              <w:t>ce,</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zdravotnej starostlivosti vrá</w:t>
            </w:r>
            <w:r w:rsidRPr="00A57582">
              <w:rPr>
                <w:rFonts w:ascii="Times New Roman" w:eastAsia="Calibri" w:hAnsi="Times New Roman" w:cs="Times New Roman" w:hint="default"/>
                <w:i/>
                <w:sz w:val="24"/>
                <w:szCs w:val="24"/>
                <w:lang w:eastAsia="sk-SK"/>
              </w:rPr>
              <w:t>tane cenovo dostupný</w:t>
            </w:r>
            <w:r w:rsidRPr="00A57582">
              <w:rPr>
                <w:rFonts w:ascii="Times New Roman" w:eastAsia="Calibri" w:hAnsi="Times New Roman" w:cs="Times New Roman" w:hint="default"/>
                <w:i/>
                <w:sz w:val="24"/>
                <w:szCs w:val="24"/>
                <w:lang w:eastAsia="sk-SK"/>
              </w:rPr>
              <w:t>ch pomô</w:t>
            </w:r>
            <w:r w:rsidRPr="00A57582">
              <w:rPr>
                <w:rFonts w:ascii="Times New Roman" w:eastAsia="Calibri" w:hAnsi="Times New Roman" w:cs="Times New Roman" w:hint="default"/>
                <w:i/>
                <w:sz w:val="24"/>
                <w:szCs w:val="24"/>
                <w:lang w:eastAsia="sk-SK"/>
              </w:rPr>
              <w:t>cok pre obč</w:t>
            </w:r>
            <w:r w:rsidRPr="00A57582">
              <w:rPr>
                <w:rFonts w:ascii="Times New Roman" w:eastAsia="Calibri" w:hAnsi="Times New Roman" w:cs="Times New Roman" w:hint="default"/>
                <w:i/>
                <w:sz w:val="24"/>
                <w:szCs w:val="24"/>
                <w:lang w:eastAsia="sk-SK"/>
              </w:rPr>
              <w:t>anov so zdravotný</w:t>
            </w:r>
            <w:r w:rsidRPr="00A57582">
              <w:rPr>
                <w:rFonts w:ascii="Times New Roman" w:eastAsia="Calibri" w:hAnsi="Times New Roman" w:cs="Times New Roman" w:hint="default"/>
                <w:i/>
                <w:sz w:val="24"/>
                <w:szCs w:val="24"/>
                <w:lang w:eastAsia="sk-SK"/>
              </w:rPr>
              <w:t>m postihnutí</w:t>
            </w:r>
            <w:r w:rsidRPr="00A57582">
              <w:rPr>
                <w:rFonts w:ascii="Times New Roman" w:eastAsia="Calibri" w:hAnsi="Times New Roman" w:cs="Times New Roman" w:hint="default"/>
                <w:i/>
                <w:sz w:val="24"/>
                <w:szCs w:val="24"/>
                <w:lang w:eastAsia="sk-SK"/>
              </w:rPr>
              <w:t xml:space="preserve">m, </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k </w:t>
            </w:r>
            <w:r w:rsidRPr="00A57582">
              <w:rPr>
                <w:rFonts w:ascii="Times New Roman" w:eastAsia="Calibri" w:hAnsi="Times New Roman" w:cs="Times New Roman" w:hint="default"/>
                <w:i/>
                <w:sz w:val="24"/>
                <w:szCs w:val="24"/>
                <w:lang w:eastAsia="sk-SK"/>
              </w:rPr>
              <w:t>formá</w:t>
            </w:r>
            <w:r w:rsidRPr="00A57582">
              <w:rPr>
                <w:rFonts w:ascii="Times New Roman" w:eastAsia="Calibri" w:hAnsi="Times New Roman" w:cs="Times New Roman" w:hint="default"/>
                <w:i/>
                <w:sz w:val="24"/>
                <w:szCs w:val="24"/>
                <w:lang w:eastAsia="sk-SK"/>
              </w:rPr>
              <w:t>lnemu i </w:t>
            </w:r>
            <w:r w:rsidRPr="00A57582">
              <w:rPr>
                <w:rFonts w:ascii="Times New Roman" w:eastAsia="Calibri" w:hAnsi="Times New Roman" w:cs="Times New Roman" w:hint="default"/>
                <w:i/>
                <w:sz w:val="24"/>
                <w:szCs w:val="24"/>
                <w:lang w:eastAsia="sk-SK"/>
              </w:rPr>
              <w:t>neformá</w:t>
            </w:r>
            <w:r w:rsidRPr="00A57582">
              <w:rPr>
                <w:rFonts w:ascii="Times New Roman" w:eastAsia="Calibri" w:hAnsi="Times New Roman" w:cs="Times New Roman" w:hint="default"/>
                <w:i/>
                <w:sz w:val="24"/>
                <w:szCs w:val="24"/>
                <w:lang w:eastAsia="sk-SK"/>
              </w:rPr>
              <w:t>lnemu vzdelá</w:t>
            </w:r>
            <w:r w:rsidRPr="00A57582">
              <w:rPr>
                <w:rFonts w:ascii="Times New Roman" w:eastAsia="Calibri" w:hAnsi="Times New Roman" w:cs="Times New Roman" w:hint="default"/>
                <w:i/>
                <w:sz w:val="24"/>
                <w:szCs w:val="24"/>
                <w:lang w:eastAsia="sk-SK"/>
              </w:rPr>
              <w:t>vaniu a celo</w:t>
            </w:r>
            <w:r w:rsidRPr="00A57582">
              <w:rPr>
                <w:rFonts w:ascii="Times New Roman" w:eastAsia="Calibri" w:hAnsi="Times New Roman" w:cs="Times New Roman" w:hint="default"/>
                <w:i/>
                <w:sz w:val="24"/>
                <w:szCs w:val="24"/>
                <w:lang w:eastAsia="sk-SK"/>
              </w:rPr>
              <w:softHyphen/>
            </w:r>
            <w:r w:rsidRPr="00A57582">
              <w:rPr>
                <w:rFonts w:ascii="Times New Roman" w:eastAsia="Calibri" w:hAnsi="Times New Roman" w:cs="Times New Roman" w:hint="default"/>
                <w:i/>
                <w:sz w:val="24"/>
                <w:szCs w:val="24"/>
                <w:lang w:eastAsia="sk-SK"/>
              </w:rPr>
              <w:t>ž</w:t>
            </w:r>
            <w:r w:rsidRPr="00A57582">
              <w:rPr>
                <w:rFonts w:ascii="Times New Roman" w:eastAsia="Calibri" w:hAnsi="Times New Roman" w:cs="Times New Roman" w:hint="default"/>
                <w:i/>
                <w:sz w:val="24"/>
                <w:szCs w:val="24"/>
                <w:lang w:eastAsia="sk-SK"/>
              </w:rPr>
              <w:t>ivotné</w:t>
            </w:r>
            <w:r w:rsidRPr="00A57582">
              <w:rPr>
                <w:rFonts w:ascii="Times New Roman" w:eastAsia="Calibri" w:hAnsi="Times New Roman" w:cs="Times New Roman" w:hint="default"/>
                <w:i/>
                <w:sz w:val="24"/>
                <w:szCs w:val="24"/>
                <w:lang w:eastAsia="sk-SK"/>
              </w:rPr>
              <w:t>mu vzdelá</w:t>
            </w:r>
            <w:r w:rsidRPr="00A57582">
              <w:rPr>
                <w:rFonts w:ascii="Times New Roman" w:eastAsia="Calibri" w:hAnsi="Times New Roman" w:cs="Times New Roman" w:hint="default"/>
                <w:i/>
                <w:sz w:val="24"/>
                <w:szCs w:val="24"/>
                <w:lang w:eastAsia="sk-SK"/>
              </w:rPr>
              <w:t xml:space="preserve">vaniu, </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bý</w:t>
            </w:r>
            <w:r w:rsidRPr="00A57582">
              <w:rPr>
                <w:rFonts w:ascii="Times New Roman" w:eastAsia="Calibri" w:hAnsi="Times New Roman" w:cs="Times New Roman" w:hint="default"/>
                <w:i/>
                <w:sz w:val="24"/>
                <w:szCs w:val="24"/>
                <w:lang w:eastAsia="sk-SK"/>
              </w:rPr>
              <w:t>vaniu a </w:t>
            </w:r>
            <w:r w:rsidRPr="00A57582">
              <w:rPr>
                <w:rFonts w:ascii="Times New Roman" w:eastAsia="Calibri" w:hAnsi="Times New Roman" w:cs="Times New Roman" w:hint="default"/>
                <w:i/>
                <w:sz w:val="24"/>
                <w:szCs w:val="24"/>
                <w:lang w:eastAsia="sk-SK"/>
              </w:rPr>
              <w:t>sú</w:t>
            </w:r>
            <w:r w:rsidRPr="00A57582">
              <w:rPr>
                <w:rFonts w:ascii="Times New Roman" w:eastAsia="Calibri" w:hAnsi="Times New Roman" w:cs="Times New Roman" w:hint="default"/>
                <w:i/>
                <w:sz w:val="24"/>
                <w:szCs w:val="24"/>
                <w:lang w:eastAsia="sk-SK"/>
              </w:rPr>
              <w:t>visiacim zá</w:t>
            </w:r>
            <w:r w:rsidRPr="00A57582">
              <w:rPr>
                <w:rFonts w:ascii="Times New Roman" w:eastAsia="Calibri" w:hAnsi="Times New Roman" w:cs="Times New Roman" w:hint="default"/>
                <w:i/>
                <w:sz w:val="24"/>
                <w:szCs w:val="24"/>
                <w:lang w:eastAsia="sk-SK"/>
              </w:rPr>
              <w:t>kladný</w:t>
            </w:r>
            <w:r w:rsidRPr="00A57582">
              <w:rPr>
                <w:rFonts w:ascii="Times New Roman" w:eastAsia="Calibri" w:hAnsi="Times New Roman" w:cs="Times New Roman" w:hint="default"/>
                <w:i/>
                <w:sz w:val="24"/>
                <w:szCs w:val="24"/>
                <w:lang w:eastAsia="sk-SK"/>
              </w:rPr>
              <w:t>m komuná</w:t>
            </w:r>
            <w:r w:rsidRPr="00A57582">
              <w:rPr>
                <w:rFonts w:ascii="Times New Roman" w:eastAsia="Calibri" w:hAnsi="Times New Roman" w:cs="Times New Roman" w:hint="default"/>
                <w:i/>
                <w:sz w:val="24"/>
                <w:szCs w:val="24"/>
                <w:lang w:eastAsia="sk-SK"/>
              </w:rPr>
              <w:t>lnym služ</w:t>
            </w:r>
            <w:r w:rsidRPr="00A57582">
              <w:rPr>
                <w:rFonts w:ascii="Times New Roman" w:eastAsia="Calibri" w:hAnsi="Times New Roman" w:cs="Times New Roman" w:hint="default"/>
                <w:i/>
                <w:sz w:val="24"/>
                <w:szCs w:val="24"/>
                <w:lang w:eastAsia="sk-SK"/>
              </w:rPr>
              <w:t>bá</w:t>
            </w:r>
            <w:r w:rsidRPr="00A57582">
              <w:rPr>
                <w:rFonts w:ascii="Times New Roman" w:eastAsia="Calibri" w:hAnsi="Times New Roman" w:cs="Times New Roman" w:hint="default"/>
                <w:i/>
                <w:sz w:val="24"/>
                <w:szCs w:val="24"/>
                <w:lang w:eastAsia="sk-SK"/>
              </w:rPr>
              <w:t>m,</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doprave,</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ď</w:t>
            </w:r>
            <w:r w:rsidRPr="00A57582">
              <w:rPr>
                <w:rFonts w:ascii="Times New Roman" w:eastAsia="Calibri" w:hAnsi="Times New Roman" w:cs="Times New Roman" w:hint="default"/>
                <w:i/>
                <w:sz w:val="24"/>
                <w:szCs w:val="24"/>
                <w:lang w:eastAsia="sk-SK"/>
              </w:rPr>
              <w:t>alší</w:t>
            </w:r>
            <w:r w:rsidRPr="00A57582">
              <w:rPr>
                <w:rFonts w:ascii="Times New Roman" w:eastAsia="Calibri" w:hAnsi="Times New Roman" w:cs="Times New Roman" w:hint="default"/>
                <w:i/>
                <w:sz w:val="24"/>
                <w:szCs w:val="24"/>
                <w:lang w:eastAsia="sk-SK"/>
              </w:rPr>
              <w:t>m služ</w:t>
            </w:r>
            <w:r w:rsidRPr="00A57582">
              <w:rPr>
                <w:rFonts w:ascii="Times New Roman" w:eastAsia="Calibri" w:hAnsi="Times New Roman" w:cs="Times New Roman" w:hint="default"/>
                <w:i/>
                <w:sz w:val="24"/>
                <w:szCs w:val="24"/>
                <w:lang w:eastAsia="sk-SK"/>
              </w:rPr>
              <w:t>bá</w:t>
            </w:r>
            <w:r w:rsidRPr="00A57582">
              <w:rPr>
                <w:rFonts w:ascii="Times New Roman" w:eastAsia="Calibri" w:hAnsi="Times New Roman" w:cs="Times New Roman" w:hint="default"/>
                <w:i/>
                <w:sz w:val="24"/>
                <w:szCs w:val="24"/>
                <w:lang w:eastAsia="sk-SK"/>
              </w:rPr>
              <w:t>m najmä</w:t>
            </w:r>
            <w:r w:rsidRPr="00A57582">
              <w:rPr>
                <w:rFonts w:ascii="Times New Roman" w:eastAsia="Calibri" w:hAnsi="Times New Roman" w:cs="Times New Roman" w:hint="default"/>
                <w:i/>
                <w:sz w:val="24"/>
                <w:szCs w:val="24"/>
                <w:lang w:eastAsia="sk-SK"/>
              </w:rPr>
              <w:t xml:space="preserve"> služ</w:t>
            </w:r>
            <w:r w:rsidRPr="00A57582">
              <w:rPr>
                <w:rFonts w:ascii="Times New Roman" w:eastAsia="Calibri" w:hAnsi="Times New Roman" w:cs="Times New Roman" w:hint="default"/>
                <w:i/>
                <w:sz w:val="24"/>
                <w:szCs w:val="24"/>
                <w:lang w:eastAsia="sk-SK"/>
              </w:rPr>
              <w:t>bá</w:t>
            </w:r>
            <w:r w:rsidRPr="00A57582">
              <w:rPr>
                <w:rFonts w:ascii="Times New Roman" w:eastAsia="Calibri" w:hAnsi="Times New Roman" w:cs="Times New Roman" w:hint="default"/>
                <w:i/>
                <w:sz w:val="24"/>
                <w:szCs w:val="24"/>
                <w:lang w:eastAsia="sk-SK"/>
              </w:rPr>
              <w:t>m vš</w:t>
            </w:r>
            <w:r w:rsidRPr="00A57582">
              <w:rPr>
                <w:rFonts w:ascii="Times New Roman" w:eastAsia="Calibri" w:hAnsi="Times New Roman" w:cs="Times New Roman" w:hint="default"/>
                <w:i/>
                <w:sz w:val="24"/>
                <w:szCs w:val="24"/>
                <w:lang w:eastAsia="sk-SK"/>
              </w:rPr>
              <w:t>eobecné</w:t>
            </w:r>
            <w:r w:rsidRPr="00A57582">
              <w:rPr>
                <w:rFonts w:ascii="Times New Roman" w:eastAsia="Calibri" w:hAnsi="Times New Roman" w:cs="Times New Roman" w:hint="default"/>
                <w:i/>
                <w:sz w:val="24"/>
                <w:szCs w:val="24"/>
                <w:lang w:eastAsia="sk-SK"/>
              </w:rPr>
              <w:t>ho zá</w:t>
            </w:r>
            <w:r w:rsidRPr="00A57582">
              <w:rPr>
                <w:rFonts w:ascii="Times New Roman" w:eastAsia="Calibri" w:hAnsi="Times New Roman" w:cs="Times New Roman" w:hint="default"/>
                <w:i/>
                <w:sz w:val="24"/>
                <w:szCs w:val="24"/>
                <w:lang w:eastAsia="sk-SK"/>
              </w:rPr>
              <w:t>ujmu a tovarom,</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spravodlivosti, prá</w:t>
            </w:r>
            <w:r w:rsidRPr="00A57582">
              <w:rPr>
                <w:rFonts w:ascii="Times New Roman" w:eastAsia="Calibri" w:hAnsi="Times New Roman" w:cs="Times New Roman" w:hint="default"/>
                <w:i/>
                <w:sz w:val="24"/>
                <w:szCs w:val="24"/>
                <w:lang w:eastAsia="sk-SK"/>
              </w:rPr>
              <w:t>vnej ochrane, prá</w:t>
            </w:r>
            <w:r w:rsidRPr="00A57582">
              <w:rPr>
                <w:rFonts w:ascii="Times New Roman" w:eastAsia="Calibri" w:hAnsi="Times New Roman" w:cs="Times New Roman" w:hint="default"/>
                <w:i/>
                <w:sz w:val="24"/>
                <w:szCs w:val="24"/>
                <w:lang w:eastAsia="sk-SK"/>
              </w:rPr>
              <w:t>vnym služ</w:t>
            </w:r>
            <w:r w:rsidRPr="00A57582">
              <w:rPr>
                <w:rFonts w:ascii="Times New Roman" w:eastAsia="Calibri" w:hAnsi="Times New Roman" w:cs="Times New Roman" w:hint="default"/>
                <w:i/>
                <w:sz w:val="24"/>
                <w:szCs w:val="24"/>
                <w:lang w:eastAsia="sk-SK"/>
              </w:rPr>
              <w:t>bá</w:t>
            </w:r>
            <w:r w:rsidRPr="00A57582">
              <w:rPr>
                <w:rFonts w:ascii="Times New Roman" w:eastAsia="Calibri" w:hAnsi="Times New Roman" w:cs="Times New Roman" w:hint="default"/>
                <w:i/>
                <w:sz w:val="24"/>
                <w:szCs w:val="24"/>
                <w:lang w:eastAsia="sk-SK"/>
              </w:rPr>
              <w:t>m,</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informá</w:t>
            </w:r>
            <w:r w:rsidRPr="00A57582">
              <w:rPr>
                <w:rFonts w:ascii="Times New Roman" w:eastAsia="Calibri" w:hAnsi="Times New Roman" w:cs="Times New Roman" w:hint="default"/>
                <w:i/>
                <w:sz w:val="24"/>
                <w:szCs w:val="24"/>
                <w:lang w:eastAsia="sk-SK"/>
              </w:rPr>
              <w:t>ciá</w:t>
            </w:r>
            <w:r w:rsidRPr="00A57582">
              <w:rPr>
                <w:rFonts w:ascii="Times New Roman" w:eastAsia="Calibri" w:hAnsi="Times New Roman" w:cs="Times New Roman" w:hint="default"/>
                <w:i/>
                <w:sz w:val="24"/>
                <w:szCs w:val="24"/>
                <w:lang w:eastAsia="sk-SK"/>
              </w:rPr>
              <w:t>m</w:t>
            </w:r>
          </w:p>
          <w:p w:rsidR="0044777A" w:rsidRPr="00A57582" w:rsidP="0044777A">
            <w:pPr>
              <w:numPr>
                <w:numId w:val="15"/>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k </w:t>
            </w:r>
            <w:r w:rsidRPr="00A57582">
              <w:rPr>
                <w:rFonts w:ascii="Times New Roman" w:eastAsia="Calibri" w:hAnsi="Times New Roman" w:cs="Times New Roman" w:hint="default"/>
                <w:i/>
                <w:sz w:val="24"/>
                <w:szCs w:val="24"/>
                <w:lang w:eastAsia="sk-SK"/>
              </w:rPr>
              <w:t>iný</w:t>
            </w:r>
            <w:r w:rsidRPr="00A57582">
              <w:rPr>
                <w:rFonts w:ascii="Times New Roman" w:eastAsia="Calibri" w:hAnsi="Times New Roman" w:cs="Times New Roman" w:hint="default"/>
                <w:i/>
                <w:sz w:val="24"/>
                <w:szCs w:val="24"/>
                <w:lang w:eastAsia="sk-SK"/>
              </w:rPr>
              <w:t>m prá</w:t>
            </w:r>
            <w:r w:rsidRPr="00A57582">
              <w:rPr>
                <w:rFonts w:ascii="Times New Roman" w:eastAsia="Calibri" w:hAnsi="Times New Roman" w:cs="Times New Roman" w:hint="default"/>
                <w:i/>
                <w:sz w:val="24"/>
                <w:szCs w:val="24"/>
                <w:lang w:eastAsia="sk-SK"/>
              </w:rPr>
              <w:t>vam (napr. politický</w:t>
            </w:r>
            <w:r w:rsidRPr="00A57582">
              <w:rPr>
                <w:rFonts w:ascii="Times New Roman" w:eastAsia="Calibri" w:hAnsi="Times New Roman" w:cs="Times New Roman" w:hint="default"/>
                <w:i/>
                <w:sz w:val="24"/>
                <w:szCs w:val="24"/>
                <w:lang w:eastAsia="sk-SK"/>
              </w:rPr>
              <w:t>m).</w:t>
            </w:r>
          </w:p>
        </w:tc>
        <w:tc>
          <w:tcPr>
            <w:tcW w:w="3003" w:type="pct"/>
            <w:gridSpan w:val="3"/>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sz w:val="24"/>
                <w:szCs w:val="24"/>
                <w:lang w:eastAsia="sk-SK"/>
              </w:rPr>
            </w:pPr>
            <w:r w:rsidRPr="00A57582">
              <w:rPr>
                <w:rFonts w:ascii="Times New Roman" w:eastAsia="Calibri" w:hAnsi="Times New Roman" w:cs="Times New Roman"/>
                <w:sz w:val="24"/>
                <w:szCs w:val="24"/>
                <w:lang w:eastAsia="sk-SK"/>
              </w:rPr>
              <w:t>Bez vplyvu.</w:t>
            </w:r>
          </w:p>
          <w:p w:rsidR="0044777A" w:rsidRPr="00A57582" w:rsidP="007B2961">
            <w:pPr>
              <w:bidi w:val="0"/>
              <w:spacing w:after="0" w:line="240" w:lineRule="auto"/>
              <w:rPr>
                <w:rFonts w:ascii="Times New Roman" w:eastAsia="Calibri" w:hAnsi="Times New Roman" w:cs="Times New Roman"/>
                <w:sz w:val="24"/>
                <w:szCs w:val="24"/>
                <w:lang w:eastAsia="sk-SK"/>
              </w:rPr>
            </w:pPr>
          </w:p>
        </w:tc>
      </w:tr>
      <w:tr>
        <w:tblPrEx>
          <w:tblW w:w="5180" w:type="pct"/>
          <w:jc w:val="center"/>
          <w:tblBorders>
            <w:top w:val="none" w:sz="0" w:space="0" w:color="auto"/>
            <w:bottom w:val="none" w:sz="0" w:space="0" w:color="auto"/>
          </w:tblBorders>
          <w:tblCellMar>
            <w:top w:w="28" w:type="dxa"/>
            <w:bottom w:w="28" w:type="dxa"/>
          </w:tblCellMar>
          <w:tblLook w:val="04A0"/>
        </w:tblPrEx>
        <w:trPr>
          <w:gridAfter w:val="1"/>
          <w:wAfter w:w="7" w:type="dxa"/>
          <w:trHeight w:val="557"/>
          <w:jc w:val="center"/>
        </w:trPr>
        <w:tc>
          <w:tcPr>
            <w:tcW w:w="4993" w:type="pct"/>
            <w:gridSpan w:val="4"/>
            <w:tcBorders>
              <w:top w:val="single" w:sz="4" w:space="0" w:color="auto"/>
              <w:left w:val="single" w:sz="4" w:space="0" w:color="auto"/>
              <w:bottom w:val="single" w:sz="4" w:space="0" w:color="auto"/>
              <w:right w:val="single" w:sz="4" w:space="0" w:color="auto"/>
            </w:tcBorders>
            <w:textDirection w:val="lrTb"/>
            <w:vAlign w:val="top"/>
          </w:tcPr>
          <w:p w:rsidR="0044777A" w:rsidRPr="00A57582" w:rsidP="0044777A">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 xml:space="preserve">Má návrh významný vplyv na niektorú zo zraniteľných skupín obyvateľstva alebo skupín v riziku chudoby alebo sociálneho vylúčenia? </w:t>
            </w:r>
          </w:p>
          <w:p w:rsidR="0044777A" w:rsidRPr="00A57582" w:rsidP="0044777A">
            <w:pPr>
              <w:bidi w:val="0"/>
              <w:spacing w:after="0" w:line="240" w:lineRule="auto"/>
              <w:jc w:val="both"/>
              <w:rPr>
                <w:rFonts w:ascii="Times New Roman" w:hAnsi="Times New Roman" w:cs="Times New Roman"/>
                <w:sz w:val="24"/>
                <w:szCs w:val="24"/>
              </w:rPr>
            </w:pPr>
            <w:r w:rsidRPr="00A57582">
              <w:rPr>
                <w:rFonts w:ascii="Times New Roman" w:hAnsi="Times New Roman" w:cs="Times New Roman"/>
                <w:i/>
                <w:sz w:val="24"/>
                <w:szCs w:val="24"/>
                <w:lang w:eastAsia="sk-SK"/>
              </w:rPr>
              <w:t>Špecifikujte ovplyvnené skupiny v riziku chudoby a sociálneho vylúčenia a popíšte vplyv na ne. Je tento vplyv väčší ako vplyv na iné skupiny či subjekty? Uveďte veľkosť jednotlivých ovplyvnených skupín.</w:t>
            </w:r>
          </w:p>
        </w:tc>
      </w:tr>
      <w:tr>
        <w:tblPrEx>
          <w:tblW w:w="5180" w:type="pct"/>
          <w:jc w:val="center"/>
          <w:tblBorders>
            <w:top w:val="none" w:sz="0" w:space="0" w:color="auto"/>
          </w:tblBorders>
          <w:tblCellMar>
            <w:top w:w="28" w:type="dxa"/>
            <w:bottom w:w="28" w:type="dxa"/>
          </w:tblCellMar>
          <w:tblLook w:val="04A0"/>
        </w:tblPrEx>
        <w:trPr>
          <w:gridAfter w:val="1"/>
          <w:wAfter w:w="7" w:type="dxa"/>
          <w:trHeight w:val="677"/>
          <w:jc w:val="center"/>
        </w:trPr>
        <w:tc>
          <w:tcPr>
            <w:tcW w:w="1990" w:type="pct"/>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Zraniteľ</w:t>
            </w:r>
            <w:r w:rsidRPr="00A57582">
              <w:rPr>
                <w:rFonts w:ascii="Times New Roman" w:eastAsia="Calibri" w:hAnsi="Times New Roman" w:cs="Times New Roman" w:hint="default"/>
                <w:i/>
                <w:sz w:val="24"/>
                <w:szCs w:val="24"/>
                <w:lang w:eastAsia="sk-SK"/>
              </w:rPr>
              <w:t>né</w:t>
            </w:r>
            <w:r w:rsidRPr="00A57582">
              <w:rPr>
                <w:rFonts w:ascii="Times New Roman" w:eastAsia="Calibri" w:hAnsi="Times New Roman" w:cs="Times New Roman" w:hint="default"/>
                <w:i/>
                <w:sz w:val="24"/>
                <w:szCs w:val="24"/>
                <w:lang w:eastAsia="sk-SK"/>
              </w:rPr>
              <w:t xml:space="preserve"> skupiny alebo skupiny v </w:t>
            </w:r>
            <w:r w:rsidRPr="00A57582">
              <w:rPr>
                <w:rFonts w:ascii="Times New Roman" w:eastAsia="Calibri" w:hAnsi="Times New Roman" w:cs="Times New Roman" w:hint="default"/>
                <w:i/>
                <w:sz w:val="24"/>
                <w:szCs w:val="24"/>
                <w:lang w:eastAsia="sk-SK"/>
              </w:rPr>
              <w:t>riziku chudoby alebo sociá</w:t>
            </w:r>
            <w:r w:rsidRPr="00A57582">
              <w:rPr>
                <w:rFonts w:ascii="Times New Roman" w:eastAsia="Calibri" w:hAnsi="Times New Roman" w:cs="Times New Roman" w:hint="default"/>
                <w:i/>
                <w:sz w:val="24"/>
                <w:szCs w:val="24"/>
                <w:lang w:eastAsia="sk-SK"/>
              </w:rPr>
              <w:t>lneho vylúč</w:t>
            </w:r>
            <w:r w:rsidRPr="00A57582">
              <w:rPr>
                <w:rFonts w:ascii="Times New Roman" w:eastAsia="Calibri" w:hAnsi="Times New Roman" w:cs="Times New Roman" w:hint="default"/>
                <w:i/>
                <w:sz w:val="24"/>
                <w:szCs w:val="24"/>
                <w:lang w:eastAsia="sk-SK"/>
              </w:rPr>
              <w:t>enia sú</w:t>
            </w:r>
            <w:r w:rsidRPr="00A57582">
              <w:rPr>
                <w:rFonts w:ascii="Times New Roman" w:eastAsia="Calibri" w:hAnsi="Times New Roman" w:cs="Times New Roman" w:hint="default"/>
                <w:i/>
                <w:sz w:val="24"/>
                <w:szCs w:val="24"/>
                <w:lang w:eastAsia="sk-SK"/>
              </w:rPr>
              <w:t xml:space="preserve"> napr.:</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domá</w:t>
            </w:r>
            <w:r w:rsidRPr="00A57582">
              <w:rPr>
                <w:rFonts w:ascii="Times New Roman" w:eastAsia="Calibri" w:hAnsi="Times New Roman" w:cs="Times New Roman" w:hint="default"/>
                <w:i/>
                <w:sz w:val="24"/>
                <w:szCs w:val="24"/>
                <w:lang w:eastAsia="sk-SK"/>
              </w:rPr>
              <w:t>cnosti s ní</w:t>
            </w:r>
            <w:r w:rsidRPr="00A57582">
              <w:rPr>
                <w:rFonts w:ascii="Times New Roman" w:eastAsia="Calibri" w:hAnsi="Times New Roman" w:cs="Times New Roman" w:hint="default"/>
                <w:i/>
                <w:sz w:val="24"/>
                <w:szCs w:val="24"/>
                <w:lang w:eastAsia="sk-SK"/>
              </w:rPr>
              <w:t>zkym prí</w:t>
            </w:r>
            <w:r w:rsidRPr="00A57582">
              <w:rPr>
                <w:rFonts w:ascii="Times New Roman" w:eastAsia="Calibri" w:hAnsi="Times New Roman" w:cs="Times New Roman" w:hint="default"/>
                <w:i/>
                <w:sz w:val="24"/>
                <w:szCs w:val="24"/>
                <w:lang w:eastAsia="sk-SK"/>
              </w:rPr>
              <w:t>jmom (napr. ž</w:t>
            </w:r>
            <w:r w:rsidRPr="00A57582">
              <w:rPr>
                <w:rFonts w:ascii="Times New Roman" w:eastAsia="Calibri" w:hAnsi="Times New Roman" w:cs="Times New Roman" w:hint="default"/>
                <w:i/>
                <w:sz w:val="24"/>
                <w:szCs w:val="24"/>
                <w:lang w:eastAsia="sk-SK"/>
              </w:rPr>
              <w:t>ijú</w:t>
            </w:r>
            <w:r w:rsidRPr="00A57582">
              <w:rPr>
                <w:rFonts w:ascii="Times New Roman" w:eastAsia="Calibri" w:hAnsi="Times New Roman" w:cs="Times New Roman" w:hint="default"/>
                <w:i/>
                <w:sz w:val="24"/>
                <w:szCs w:val="24"/>
                <w:lang w:eastAsia="sk-SK"/>
              </w:rPr>
              <w:t>ce iba zo sociá</w:t>
            </w:r>
            <w:r w:rsidRPr="00A57582">
              <w:rPr>
                <w:rFonts w:ascii="Times New Roman" w:eastAsia="Calibri" w:hAnsi="Times New Roman" w:cs="Times New Roman" w:hint="default"/>
                <w:i/>
                <w:sz w:val="24"/>
                <w:szCs w:val="24"/>
                <w:lang w:eastAsia="sk-SK"/>
              </w:rPr>
              <w:t>lnych prí</w:t>
            </w:r>
            <w:r w:rsidRPr="00A57582">
              <w:rPr>
                <w:rFonts w:ascii="Times New Roman" w:eastAsia="Calibri" w:hAnsi="Times New Roman" w:cs="Times New Roman" w:hint="default"/>
                <w:i/>
                <w:sz w:val="24"/>
                <w:szCs w:val="24"/>
                <w:lang w:eastAsia="sk-SK"/>
              </w:rPr>
              <w:t>jmov, alebo z prí</w:t>
            </w:r>
            <w:r w:rsidRPr="00A57582">
              <w:rPr>
                <w:rFonts w:ascii="Times New Roman" w:eastAsia="Calibri" w:hAnsi="Times New Roman" w:cs="Times New Roman" w:hint="default"/>
                <w:i/>
                <w:sz w:val="24"/>
                <w:szCs w:val="24"/>
                <w:lang w:eastAsia="sk-SK"/>
              </w:rPr>
              <w:t xml:space="preserve">jmov pod </w:t>
            </w:r>
            <w:r w:rsidRPr="00A57582">
              <w:rPr>
                <w:rFonts w:ascii="Times New Roman" w:eastAsia="Calibri" w:hAnsi="Times New Roman" w:cs="Times New Roman" w:hint="default"/>
                <w:i/>
                <w:sz w:val="24"/>
                <w:szCs w:val="24"/>
                <w:lang w:eastAsia="sk-SK"/>
              </w:rPr>
              <w:t>hranicou rizika chudoby, alebo s prí</w:t>
            </w:r>
            <w:r w:rsidRPr="00A57582">
              <w:rPr>
                <w:rFonts w:ascii="Times New Roman" w:eastAsia="Calibri" w:hAnsi="Times New Roman" w:cs="Times New Roman" w:hint="default"/>
                <w:i/>
                <w:sz w:val="24"/>
                <w:szCs w:val="24"/>
                <w:lang w:eastAsia="sk-SK"/>
              </w:rPr>
              <w:t>jmom pod ž</w:t>
            </w:r>
            <w:r w:rsidRPr="00A57582">
              <w:rPr>
                <w:rFonts w:ascii="Times New Roman" w:eastAsia="Calibri" w:hAnsi="Times New Roman" w:cs="Times New Roman" w:hint="default"/>
                <w:i/>
                <w:sz w:val="24"/>
                <w:szCs w:val="24"/>
                <w:lang w:eastAsia="sk-SK"/>
              </w:rPr>
              <w:t>ivotný</w:t>
            </w:r>
            <w:r w:rsidRPr="00A57582">
              <w:rPr>
                <w:rFonts w:ascii="Times New Roman" w:eastAsia="Calibri" w:hAnsi="Times New Roman" w:cs="Times New Roman" w:hint="default"/>
                <w:i/>
                <w:sz w:val="24"/>
                <w:szCs w:val="24"/>
                <w:lang w:eastAsia="sk-SK"/>
              </w:rPr>
              <w:t>m minimom, alebo patriace medzi 25% domá</w:t>
            </w:r>
            <w:r w:rsidRPr="00A57582">
              <w:rPr>
                <w:rFonts w:ascii="Times New Roman" w:eastAsia="Calibri" w:hAnsi="Times New Roman" w:cs="Times New Roman" w:hint="default"/>
                <w:i/>
                <w:sz w:val="24"/>
                <w:szCs w:val="24"/>
                <w:lang w:eastAsia="sk-SK"/>
              </w:rPr>
              <w:t>cností</w:t>
            </w:r>
            <w:r w:rsidRPr="00A57582">
              <w:rPr>
                <w:rFonts w:ascii="Times New Roman" w:eastAsia="Calibri" w:hAnsi="Times New Roman" w:cs="Times New Roman" w:hint="default"/>
                <w:i/>
                <w:sz w:val="24"/>
                <w:szCs w:val="24"/>
                <w:lang w:eastAsia="sk-SK"/>
              </w:rPr>
              <w:t xml:space="preserve"> s najnižší</w:t>
            </w:r>
            <w:r w:rsidRPr="00A57582">
              <w:rPr>
                <w:rFonts w:ascii="Times New Roman" w:eastAsia="Calibri" w:hAnsi="Times New Roman" w:cs="Times New Roman" w:hint="default"/>
                <w:i/>
                <w:sz w:val="24"/>
                <w:szCs w:val="24"/>
                <w:lang w:eastAsia="sk-SK"/>
              </w:rPr>
              <w:t>m prí</w:t>
            </w:r>
            <w:r w:rsidRPr="00A57582">
              <w:rPr>
                <w:rFonts w:ascii="Times New Roman" w:eastAsia="Calibri" w:hAnsi="Times New Roman" w:cs="Times New Roman" w:hint="default"/>
                <w:i/>
                <w:sz w:val="24"/>
                <w:szCs w:val="24"/>
                <w:lang w:eastAsia="sk-SK"/>
              </w:rPr>
              <w:t>jmom),</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nezamestnaní</w:t>
            </w:r>
            <w:r w:rsidRPr="00A57582">
              <w:rPr>
                <w:rFonts w:ascii="Times New Roman" w:eastAsia="Calibri" w:hAnsi="Times New Roman" w:cs="Times New Roman" w:hint="default"/>
                <w:i/>
                <w:sz w:val="24"/>
                <w:szCs w:val="24"/>
                <w:lang w:eastAsia="sk-SK"/>
              </w:rPr>
              <w:t>, najmä</w:t>
            </w:r>
            <w:r w:rsidRPr="00A57582">
              <w:rPr>
                <w:rFonts w:ascii="Times New Roman" w:eastAsia="Calibri" w:hAnsi="Times New Roman" w:cs="Times New Roman" w:hint="default"/>
                <w:i/>
                <w:sz w:val="24"/>
                <w:szCs w:val="24"/>
                <w:lang w:eastAsia="sk-SK"/>
              </w:rPr>
              <w:t xml:space="preserve"> dlhodobo nezamestnaní</w:t>
            </w:r>
            <w:r w:rsidRPr="00A57582">
              <w:rPr>
                <w:rFonts w:ascii="Times New Roman" w:eastAsia="Calibri" w:hAnsi="Times New Roman" w:cs="Times New Roman" w:hint="default"/>
                <w:i/>
                <w:sz w:val="24"/>
                <w:szCs w:val="24"/>
                <w:lang w:eastAsia="sk-SK"/>
              </w:rPr>
              <w:t>, mladí</w:t>
            </w:r>
            <w:r w:rsidRPr="00A57582">
              <w:rPr>
                <w:rFonts w:ascii="Times New Roman" w:eastAsia="Calibri" w:hAnsi="Times New Roman" w:cs="Times New Roman" w:hint="default"/>
                <w:i/>
                <w:sz w:val="24"/>
                <w:szCs w:val="24"/>
                <w:lang w:eastAsia="sk-SK"/>
              </w:rPr>
              <w:t xml:space="preserve"> nezamestnaní</w:t>
            </w:r>
            <w:r w:rsidRPr="00A57582">
              <w:rPr>
                <w:rFonts w:ascii="Times New Roman" w:eastAsia="Calibri" w:hAnsi="Times New Roman" w:cs="Times New Roman" w:hint="default"/>
                <w:i/>
                <w:sz w:val="24"/>
                <w:szCs w:val="24"/>
                <w:lang w:eastAsia="sk-SK"/>
              </w:rPr>
              <w:t xml:space="preserve"> a nezamestnaní</w:t>
            </w:r>
            <w:r w:rsidRPr="00A57582">
              <w:rPr>
                <w:rFonts w:ascii="Times New Roman" w:eastAsia="Calibri" w:hAnsi="Times New Roman" w:cs="Times New Roman" w:hint="default"/>
                <w:i/>
                <w:sz w:val="24"/>
                <w:szCs w:val="24"/>
                <w:lang w:eastAsia="sk-SK"/>
              </w:rPr>
              <w:t xml:space="preserve"> nad 50 rokov,</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 xml:space="preserve">deti (0 </w:t>
            </w:r>
            <w:r w:rsidRPr="00A57582">
              <w:rPr>
                <w:rFonts w:ascii="Times New Roman" w:eastAsia="Calibri" w:hAnsi="Times New Roman" w:cs="Times New Roman" w:hint="default"/>
                <w:i/>
                <w:sz w:val="24"/>
                <w:szCs w:val="24"/>
                <w:lang w:eastAsia="sk-SK"/>
              </w:rPr>
              <w:t>–</w:t>
            </w:r>
            <w:r w:rsidRPr="00A57582">
              <w:rPr>
                <w:rFonts w:ascii="Times New Roman" w:eastAsia="Calibri" w:hAnsi="Times New Roman" w:cs="Times New Roman" w:hint="default"/>
                <w:i/>
                <w:sz w:val="24"/>
                <w:szCs w:val="24"/>
                <w:lang w:eastAsia="sk-SK"/>
              </w:rPr>
              <w:t xml:space="preserve"> 17),</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mladí</w:t>
            </w:r>
            <w:r w:rsidRPr="00A57582">
              <w:rPr>
                <w:rFonts w:ascii="Times New Roman" w:eastAsia="Calibri" w:hAnsi="Times New Roman" w:cs="Times New Roman" w:hint="default"/>
                <w:i/>
                <w:sz w:val="24"/>
                <w:szCs w:val="24"/>
                <w:lang w:eastAsia="sk-SK"/>
              </w:rPr>
              <w:t xml:space="preserve"> ľ</w:t>
            </w:r>
            <w:r w:rsidRPr="00A57582">
              <w:rPr>
                <w:rFonts w:ascii="Times New Roman" w:eastAsia="Calibri" w:hAnsi="Times New Roman" w:cs="Times New Roman" w:hint="default"/>
                <w:i/>
                <w:sz w:val="24"/>
                <w:szCs w:val="24"/>
                <w:lang w:eastAsia="sk-SK"/>
              </w:rPr>
              <w:t xml:space="preserve">udia (18 </w:t>
            </w:r>
            <w:r w:rsidRPr="00A57582">
              <w:rPr>
                <w:rFonts w:ascii="Times New Roman" w:eastAsia="Calibri" w:hAnsi="Times New Roman" w:cs="Times New Roman" w:hint="default"/>
                <w:i/>
                <w:sz w:val="24"/>
                <w:szCs w:val="24"/>
                <w:lang w:eastAsia="sk-SK"/>
              </w:rPr>
              <w:t>–</w:t>
            </w:r>
            <w:r w:rsidRPr="00A57582">
              <w:rPr>
                <w:rFonts w:ascii="Times New Roman" w:eastAsia="Calibri" w:hAnsi="Times New Roman" w:cs="Times New Roman" w:hint="default"/>
                <w:i/>
                <w:sz w:val="24"/>
                <w:szCs w:val="24"/>
                <w:lang w:eastAsia="sk-SK"/>
              </w:rPr>
              <w:t xml:space="preserve"> 25 rokov),</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starší</w:t>
            </w:r>
            <w:r w:rsidRPr="00A57582">
              <w:rPr>
                <w:rFonts w:ascii="Times New Roman" w:eastAsia="Calibri" w:hAnsi="Times New Roman" w:cs="Times New Roman" w:hint="default"/>
                <w:i/>
                <w:sz w:val="24"/>
                <w:szCs w:val="24"/>
                <w:lang w:eastAsia="sk-SK"/>
              </w:rPr>
              <w:t xml:space="preserve"> ľ</w:t>
            </w:r>
            <w:r w:rsidRPr="00A57582">
              <w:rPr>
                <w:rFonts w:ascii="Times New Roman" w:eastAsia="Calibri" w:hAnsi="Times New Roman" w:cs="Times New Roman" w:hint="default"/>
                <w:i/>
                <w:sz w:val="24"/>
                <w:szCs w:val="24"/>
                <w:lang w:eastAsia="sk-SK"/>
              </w:rPr>
              <w:t>udia, napr. ľ</w:t>
            </w:r>
            <w:r w:rsidRPr="00A57582">
              <w:rPr>
                <w:rFonts w:ascii="Times New Roman" w:eastAsia="Calibri" w:hAnsi="Times New Roman" w:cs="Times New Roman" w:hint="default"/>
                <w:i/>
                <w:sz w:val="24"/>
                <w:szCs w:val="24"/>
                <w:lang w:eastAsia="sk-SK"/>
              </w:rPr>
              <w:t>udia vo veku nad 65 rokov alebo dô</w:t>
            </w:r>
            <w:r w:rsidRPr="00A57582">
              <w:rPr>
                <w:rFonts w:ascii="Times New Roman" w:eastAsia="Calibri" w:hAnsi="Times New Roman" w:cs="Times New Roman" w:hint="default"/>
                <w:i/>
                <w:sz w:val="24"/>
                <w:szCs w:val="24"/>
                <w:lang w:eastAsia="sk-SK"/>
              </w:rPr>
              <w:t>chodcovia,</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ľ</w:t>
            </w:r>
            <w:r w:rsidRPr="00A57582">
              <w:rPr>
                <w:rFonts w:ascii="Times New Roman" w:eastAsia="Calibri" w:hAnsi="Times New Roman" w:cs="Times New Roman" w:hint="default"/>
                <w:i/>
                <w:sz w:val="24"/>
                <w:szCs w:val="24"/>
                <w:lang w:eastAsia="sk-SK"/>
              </w:rPr>
              <w:t>udia so zdravotný</w:t>
            </w:r>
            <w:r w:rsidRPr="00A57582">
              <w:rPr>
                <w:rFonts w:ascii="Times New Roman" w:eastAsia="Calibri" w:hAnsi="Times New Roman" w:cs="Times New Roman" w:hint="default"/>
                <w:i/>
                <w:sz w:val="24"/>
                <w:szCs w:val="24"/>
                <w:lang w:eastAsia="sk-SK"/>
              </w:rPr>
              <w:t>m postihnutí</w:t>
            </w:r>
            <w:r w:rsidRPr="00A57582">
              <w:rPr>
                <w:rFonts w:ascii="Times New Roman" w:eastAsia="Calibri" w:hAnsi="Times New Roman" w:cs="Times New Roman" w:hint="default"/>
                <w:i/>
                <w:sz w:val="24"/>
                <w:szCs w:val="24"/>
                <w:lang w:eastAsia="sk-SK"/>
              </w:rPr>
              <w:t>m,</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marginalizované</w:t>
            </w:r>
            <w:r w:rsidRPr="00A57582">
              <w:rPr>
                <w:rFonts w:ascii="Times New Roman" w:eastAsia="Calibri" w:hAnsi="Times New Roman" w:cs="Times New Roman" w:hint="default"/>
                <w:i/>
                <w:sz w:val="24"/>
                <w:szCs w:val="24"/>
                <w:lang w:eastAsia="sk-SK"/>
              </w:rPr>
              <w:t xml:space="preserve"> ró</w:t>
            </w:r>
            <w:r w:rsidRPr="00A57582">
              <w:rPr>
                <w:rFonts w:ascii="Times New Roman" w:eastAsia="Calibri" w:hAnsi="Times New Roman" w:cs="Times New Roman" w:hint="default"/>
                <w:i/>
                <w:sz w:val="24"/>
                <w:szCs w:val="24"/>
                <w:lang w:eastAsia="sk-SK"/>
              </w:rPr>
              <w:t xml:space="preserve">mske komunity </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domá</w:t>
            </w:r>
            <w:r w:rsidRPr="00A57582">
              <w:rPr>
                <w:rFonts w:ascii="Times New Roman" w:eastAsia="Calibri" w:hAnsi="Times New Roman" w:cs="Times New Roman" w:hint="default"/>
                <w:i/>
                <w:sz w:val="24"/>
                <w:szCs w:val="24"/>
                <w:lang w:eastAsia="sk-SK"/>
              </w:rPr>
              <w:t>cnosti s 3 a viac deť</w:t>
            </w:r>
            <w:r w:rsidRPr="00A57582">
              <w:rPr>
                <w:rFonts w:ascii="Times New Roman" w:eastAsia="Calibri" w:hAnsi="Times New Roman" w:cs="Times New Roman" w:hint="default"/>
                <w:i/>
                <w:sz w:val="24"/>
                <w:szCs w:val="24"/>
                <w:lang w:eastAsia="sk-SK"/>
              </w:rPr>
              <w:t>mi,</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jednorodič</w:t>
            </w:r>
            <w:r w:rsidRPr="00A57582">
              <w:rPr>
                <w:rFonts w:ascii="Times New Roman" w:eastAsia="Calibri" w:hAnsi="Times New Roman" w:cs="Times New Roman" w:hint="default"/>
                <w:i/>
                <w:sz w:val="24"/>
                <w:szCs w:val="24"/>
                <w:lang w:eastAsia="sk-SK"/>
              </w:rPr>
              <w:t>ovské</w:t>
            </w:r>
            <w:r w:rsidRPr="00A57582">
              <w:rPr>
                <w:rFonts w:ascii="Times New Roman" w:eastAsia="Calibri" w:hAnsi="Times New Roman" w:cs="Times New Roman" w:hint="default"/>
                <w:i/>
                <w:sz w:val="24"/>
                <w:szCs w:val="24"/>
                <w:lang w:eastAsia="sk-SK"/>
              </w:rPr>
              <w:t xml:space="preserve"> domá</w:t>
            </w:r>
            <w:r w:rsidRPr="00A57582">
              <w:rPr>
                <w:rFonts w:ascii="Times New Roman" w:eastAsia="Calibri" w:hAnsi="Times New Roman" w:cs="Times New Roman" w:hint="default"/>
                <w:i/>
                <w:sz w:val="24"/>
                <w:szCs w:val="24"/>
                <w:lang w:eastAsia="sk-SK"/>
              </w:rPr>
              <w:t>cnosti s deť</w:t>
            </w:r>
            <w:r w:rsidRPr="00A57582">
              <w:rPr>
                <w:rFonts w:ascii="Times New Roman" w:eastAsia="Calibri" w:hAnsi="Times New Roman" w:cs="Times New Roman" w:hint="default"/>
                <w:i/>
                <w:sz w:val="24"/>
                <w:szCs w:val="24"/>
                <w:lang w:eastAsia="sk-SK"/>
              </w:rPr>
              <w:t>mi (neú</w:t>
            </w:r>
            <w:r w:rsidRPr="00A57582">
              <w:rPr>
                <w:rFonts w:ascii="Times New Roman" w:eastAsia="Calibri" w:hAnsi="Times New Roman" w:cs="Times New Roman" w:hint="default"/>
                <w:i/>
                <w:sz w:val="24"/>
                <w:szCs w:val="24"/>
                <w:lang w:eastAsia="sk-SK"/>
              </w:rPr>
              <w:t>plné</w:t>
            </w:r>
            <w:r w:rsidRPr="00A57582">
              <w:rPr>
                <w:rFonts w:ascii="Times New Roman" w:eastAsia="Calibri" w:hAnsi="Times New Roman" w:cs="Times New Roman" w:hint="default"/>
                <w:i/>
                <w:sz w:val="24"/>
                <w:szCs w:val="24"/>
                <w:lang w:eastAsia="sk-SK"/>
              </w:rPr>
              <w:t xml:space="preserve"> rodiny, ktoré</w:t>
            </w:r>
            <w:r w:rsidRPr="00A57582">
              <w:rPr>
                <w:rFonts w:ascii="Times New Roman" w:eastAsia="Calibri" w:hAnsi="Times New Roman" w:cs="Times New Roman" w:hint="default"/>
                <w:i/>
                <w:sz w:val="24"/>
                <w:szCs w:val="24"/>
                <w:lang w:eastAsia="sk-SK"/>
              </w:rPr>
              <w:t xml:space="preserve"> tvoria najmä</w:t>
            </w:r>
            <w:r w:rsidRPr="00A57582">
              <w:rPr>
                <w:rFonts w:ascii="Times New Roman" w:eastAsia="Calibri" w:hAnsi="Times New Roman" w:cs="Times New Roman" w:hint="default"/>
                <w:i/>
                <w:sz w:val="24"/>
                <w:szCs w:val="24"/>
                <w:lang w:eastAsia="sk-SK"/>
              </w:rPr>
              <w:t xml:space="preserve"> osamelé</w:t>
            </w:r>
            <w:r w:rsidRPr="00A57582">
              <w:rPr>
                <w:rFonts w:ascii="Times New Roman" w:eastAsia="Calibri" w:hAnsi="Times New Roman" w:cs="Times New Roman" w:hint="default"/>
                <w:i/>
                <w:sz w:val="24"/>
                <w:szCs w:val="24"/>
                <w:lang w:eastAsia="sk-SK"/>
              </w:rPr>
              <w:t xml:space="preserve"> matky s </w:t>
            </w:r>
            <w:r w:rsidRPr="00A57582">
              <w:rPr>
                <w:rFonts w:ascii="Times New Roman" w:eastAsia="Calibri" w:hAnsi="Times New Roman" w:cs="Times New Roman" w:hint="default"/>
                <w:i/>
                <w:sz w:val="24"/>
                <w:szCs w:val="24"/>
                <w:lang w:eastAsia="sk-SK"/>
              </w:rPr>
              <w:t>deť</w:t>
            </w:r>
            <w:r w:rsidRPr="00A57582">
              <w:rPr>
                <w:rFonts w:ascii="Times New Roman" w:eastAsia="Calibri" w:hAnsi="Times New Roman" w:cs="Times New Roman" w:hint="default"/>
                <w:i/>
                <w:sz w:val="24"/>
                <w:szCs w:val="24"/>
                <w:lang w:eastAsia="sk-SK"/>
              </w:rPr>
              <w:t>mi),</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prí</w:t>
            </w:r>
            <w:r w:rsidRPr="00A57582">
              <w:rPr>
                <w:rFonts w:ascii="Times New Roman" w:eastAsia="Calibri" w:hAnsi="Times New Roman" w:cs="Times New Roman" w:hint="default"/>
                <w:i/>
                <w:sz w:val="24"/>
                <w:szCs w:val="24"/>
                <w:lang w:eastAsia="sk-SK"/>
              </w:rPr>
              <w:t>sluš</w:t>
            </w:r>
            <w:r w:rsidRPr="00A57582">
              <w:rPr>
                <w:rFonts w:ascii="Times New Roman" w:eastAsia="Calibri" w:hAnsi="Times New Roman" w:cs="Times New Roman" w:hint="default"/>
                <w:i/>
                <w:sz w:val="24"/>
                <w:szCs w:val="24"/>
                <w:lang w:eastAsia="sk-SK"/>
              </w:rPr>
              <w:t>ní</w:t>
            </w:r>
            <w:r w:rsidRPr="00A57582">
              <w:rPr>
                <w:rFonts w:ascii="Times New Roman" w:eastAsia="Calibri" w:hAnsi="Times New Roman" w:cs="Times New Roman" w:hint="default"/>
                <w:i/>
                <w:sz w:val="24"/>
                <w:szCs w:val="24"/>
                <w:lang w:eastAsia="sk-SK"/>
              </w:rPr>
              <w:t>ci tretí</w:t>
            </w:r>
            <w:r w:rsidRPr="00A57582">
              <w:rPr>
                <w:rFonts w:ascii="Times New Roman" w:eastAsia="Calibri" w:hAnsi="Times New Roman" w:cs="Times New Roman" w:hint="default"/>
                <w:i/>
                <w:sz w:val="24"/>
                <w:szCs w:val="24"/>
                <w:lang w:eastAsia="sk-SK"/>
              </w:rPr>
              <w:t>ch krají</w:t>
            </w:r>
            <w:r w:rsidRPr="00A57582">
              <w:rPr>
                <w:rFonts w:ascii="Times New Roman" w:eastAsia="Calibri" w:hAnsi="Times New Roman" w:cs="Times New Roman" w:hint="default"/>
                <w:i/>
                <w:sz w:val="24"/>
                <w:szCs w:val="24"/>
                <w:lang w:eastAsia="sk-SK"/>
              </w:rPr>
              <w:t>n, azylanti, ž</w:t>
            </w:r>
            <w:r w:rsidRPr="00A57582">
              <w:rPr>
                <w:rFonts w:ascii="Times New Roman" w:eastAsia="Calibri" w:hAnsi="Times New Roman" w:cs="Times New Roman" w:hint="default"/>
                <w:i/>
                <w:sz w:val="24"/>
                <w:szCs w:val="24"/>
                <w:lang w:eastAsia="sk-SK"/>
              </w:rPr>
              <w:t>iadatelia o azyl,</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iné</w:t>
            </w:r>
            <w:r w:rsidRPr="00A57582">
              <w:rPr>
                <w:rFonts w:ascii="Times New Roman" w:eastAsia="Calibri" w:hAnsi="Times New Roman" w:cs="Times New Roman" w:hint="default"/>
                <w:i/>
                <w:sz w:val="24"/>
                <w:szCs w:val="24"/>
                <w:lang w:eastAsia="sk-SK"/>
              </w:rPr>
              <w:t xml:space="preserve"> zraniteľ</w:t>
            </w:r>
            <w:r w:rsidRPr="00A57582">
              <w:rPr>
                <w:rFonts w:ascii="Times New Roman" w:eastAsia="Calibri" w:hAnsi="Times New Roman" w:cs="Times New Roman" w:hint="default"/>
                <w:i/>
                <w:sz w:val="24"/>
                <w:szCs w:val="24"/>
                <w:lang w:eastAsia="sk-SK"/>
              </w:rPr>
              <w:t>né</w:t>
            </w:r>
            <w:r w:rsidRPr="00A57582">
              <w:rPr>
                <w:rFonts w:ascii="Times New Roman" w:eastAsia="Calibri" w:hAnsi="Times New Roman" w:cs="Times New Roman" w:hint="default"/>
                <w:i/>
                <w:sz w:val="24"/>
                <w:szCs w:val="24"/>
                <w:lang w:eastAsia="sk-SK"/>
              </w:rPr>
              <w:t xml:space="preserve"> skupiny, ako sú</w:t>
            </w:r>
            <w:r w:rsidRPr="00A57582">
              <w:rPr>
                <w:rFonts w:ascii="Times New Roman" w:eastAsia="Calibri" w:hAnsi="Times New Roman" w:cs="Times New Roman" w:hint="default"/>
                <w:i/>
                <w:sz w:val="24"/>
                <w:szCs w:val="24"/>
                <w:lang w:eastAsia="sk-SK"/>
              </w:rPr>
              <w:t xml:space="preserve"> napr. bezdomovci, ľ</w:t>
            </w:r>
            <w:r w:rsidRPr="00A57582">
              <w:rPr>
                <w:rFonts w:ascii="Times New Roman" w:eastAsia="Calibri" w:hAnsi="Times New Roman" w:cs="Times New Roman" w:hint="default"/>
                <w:i/>
                <w:sz w:val="24"/>
                <w:szCs w:val="24"/>
                <w:lang w:eastAsia="sk-SK"/>
              </w:rPr>
              <w:t>udia opúšť</w:t>
            </w:r>
            <w:r w:rsidRPr="00A57582">
              <w:rPr>
                <w:rFonts w:ascii="Times New Roman" w:eastAsia="Calibri" w:hAnsi="Times New Roman" w:cs="Times New Roman" w:hint="default"/>
                <w:i/>
                <w:sz w:val="24"/>
                <w:szCs w:val="24"/>
                <w:lang w:eastAsia="sk-SK"/>
              </w:rPr>
              <w:t>ajú</w:t>
            </w:r>
            <w:r w:rsidRPr="00A57582">
              <w:rPr>
                <w:rFonts w:ascii="Times New Roman" w:eastAsia="Calibri" w:hAnsi="Times New Roman" w:cs="Times New Roman" w:hint="default"/>
                <w:i/>
                <w:sz w:val="24"/>
                <w:szCs w:val="24"/>
                <w:lang w:eastAsia="sk-SK"/>
              </w:rPr>
              <w:t>ci detské</w:t>
            </w:r>
            <w:r w:rsidRPr="00A57582">
              <w:rPr>
                <w:rFonts w:ascii="Times New Roman" w:eastAsia="Calibri" w:hAnsi="Times New Roman" w:cs="Times New Roman" w:hint="default"/>
                <w:i/>
                <w:sz w:val="24"/>
                <w:szCs w:val="24"/>
                <w:lang w:eastAsia="sk-SK"/>
              </w:rPr>
              <w:t xml:space="preserve"> domovy alebo iné</w:t>
            </w:r>
            <w:r w:rsidRPr="00A57582">
              <w:rPr>
                <w:rFonts w:ascii="Times New Roman" w:eastAsia="Calibri" w:hAnsi="Times New Roman" w:cs="Times New Roman" w:hint="default"/>
                <w:i/>
                <w:sz w:val="24"/>
                <w:szCs w:val="24"/>
                <w:lang w:eastAsia="sk-SK"/>
              </w:rPr>
              <w:t xml:space="preserve"> inš</w:t>
            </w:r>
            <w:r w:rsidRPr="00A57582">
              <w:rPr>
                <w:rFonts w:ascii="Times New Roman" w:eastAsia="Calibri" w:hAnsi="Times New Roman" w:cs="Times New Roman" w:hint="default"/>
                <w:i/>
                <w:sz w:val="24"/>
                <w:szCs w:val="24"/>
                <w:lang w:eastAsia="sk-SK"/>
              </w:rPr>
              <w:t>titucioná</w:t>
            </w:r>
            <w:r w:rsidRPr="00A57582">
              <w:rPr>
                <w:rFonts w:ascii="Times New Roman" w:eastAsia="Calibri" w:hAnsi="Times New Roman" w:cs="Times New Roman" w:hint="default"/>
                <w:i/>
                <w:sz w:val="24"/>
                <w:szCs w:val="24"/>
                <w:lang w:eastAsia="sk-SK"/>
              </w:rPr>
              <w:t>lne zariadenia</w:t>
            </w:r>
          </w:p>
        </w:tc>
        <w:tc>
          <w:tcPr>
            <w:tcW w:w="3003" w:type="pct"/>
            <w:gridSpan w:val="3"/>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sz w:val="24"/>
                <w:szCs w:val="24"/>
                <w:lang w:eastAsia="sk-SK"/>
              </w:rPr>
            </w:pPr>
            <w:r w:rsidRPr="00A57582">
              <w:rPr>
                <w:rFonts w:ascii="Times New Roman" w:eastAsia="Calibri" w:hAnsi="Times New Roman" w:cs="Times New Roman"/>
                <w:sz w:val="24"/>
                <w:szCs w:val="24"/>
                <w:lang w:eastAsia="sk-SK"/>
              </w:rPr>
              <w:t>Bez vplyvu.</w:t>
            </w:r>
          </w:p>
          <w:p w:rsidR="0044777A" w:rsidRPr="00A57582" w:rsidP="007B2961">
            <w:pPr>
              <w:bidi w:val="0"/>
              <w:spacing w:after="0" w:line="240" w:lineRule="auto"/>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777A" w:rsidRPr="00A57582" w:rsidP="007B2961">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4.3 Identifikujte a popíšte vplyv na rovnosť príležitostí.</w:t>
            </w:r>
          </w:p>
          <w:p w:rsidR="0044777A" w:rsidRPr="00A57582" w:rsidP="007B2961">
            <w:pPr>
              <w:bidi w:val="0"/>
              <w:spacing w:after="0" w:line="240" w:lineRule="auto"/>
              <w:ind w:left="340"/>
              <w:jc w:val="both"/>
              <w:rPr>
                <w:rFonts w:ascii="Times New Roman" w:hAnsi="Times New Roman" w:cs="Times New Roman"/>
                <w:sz w:val="24"/>
                <w:szCs w:val="24"/>
                <w:lang w:eastAsia="sk-SK"/>
              </w:rPr>
            </w:pPr>
            <w:r w:rsidRPr="00A57582">
              <w:rPr>
                <w:rFonts w:ascii="Times New Roman" w:hAnsi="Times New Roman" w:cs="Times New Roman"/>
                <w:b/>
                <w:sz w:val="24"/>
                <w:szCs w:val="24"/>
                <w:lang w:eastAsia="sk-SK"/>
              </w:rPr>
              <w:t>Identifikujte, popíšte a kvantifikujte vplyv na rodovú rovnosť.</w:t>
            </w: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44777A">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Bez vplyvu.</w:t>
            </w:r>
          </w:p>
          <w:p w:rsidR="0044777A" w:rsidRPr="00A57582" w:rsidP="0044777A">
            <w:pPr>
              <w:bidi w:val="0"/>
              <w:spacing w:after="0" w:line="240" w:lineRule="auto"/>
              <w:jc w:val="both"/>
              <w:rPr>
                <w:rFonts w:ascii="Times New Roman" w:hAnsi="Times New Roman" w:cs="Times New Roman"/>
                <w:i/>
                <w:sz w:val="24"/>
                <w:szCs w:val="24"/>
                <w:lang w:eastAsia="sk-SK"/>
              </w:rPr>
            </w:pPr>
          </w:p>
          <w:p w:rsidR="0044777A" w:rsidRPr="00A57582" w:rsidP="0044777A">
            <w:pPr>
              <w:bidi w:val="0"/>
              <w:spacing w:after="0" w:line="240" w:lineRule="auto"/>
              <w:jc w:val="both"/>
              <w:rPr>
                <w:rFonts w:ascii="Times New Roman" w:hAnsi="Times New Roman" w:cs="Times New Roman"/>
                <w:i/>
                <w:sz w:val="24"/>
                <w:szCs w:val="24"/>
                <w:lang w:eastAsia="sk-SK"/>
              </w:rPr>
            </w:pPr>
          </w:p>
          <w:p w:rsidR="0044777A" w:rsidRPr="00A57582" w:rsidP="0044777A">
            <w:pPr>
              <w:bidi w:val="0"/>
              <w:spacing w:after="0" w:line="240" w:lineRule="auto"/>
              <w:jc w:val="both"/>
              <w:rPr>
                <w:rFonts w:ascii="Times New Roman" w:hAnsi="Times New Roman" w:cs="Times New Roman"/>
                <w:i/>
                <w:sz w:val="24"/>
                <w:szCs w:val="24"/>
                <w:lang w:eastAsia="sk-SK"/>
              </w:rPr>
            </w:pPr>
          </w:p>
        </w:tc>
      </w:tr>
      <w:tr>
        <w:tblPrEx>
          <w:tblW w:w="5180" w:type="pct"/>
          <w:jc w:val="center"/>
          <w:tblCellMar>
            <w:top w:w="28" w:type="dxa"/>
            <w:bottom w:w="28" w:type="dxa"/>
          </w:tblCellMar>
          <w:tblLook w:val="04A0"/>
        </w:tblPrEx>
        <w:trPr>
          <w:gridAfter w:val="1"/>
          <w:wAfter w:w="7" w:type="dxa"/>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44777A">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Môže mať návrh odlišný vplyv na ženy a mužov? Podporuje návrh rovnosť medzi ženami a mužmi alebo naopak bude viesť k zväčšovaniu rodových nerovností? Popíšte vplyvy.</w:t>
            </w:r>
          </w:p>
        </w:tc>
      </w:tr>
      <w:tr>
        <w:tblPrEx>
          <w:tblW w:w="5180" w:type="pct"/>
          <w:jc w:val="center"/>
          <w:tblBorders>
            <w:top w:val="none" w:sz="0" w:space="0" w:color="auto"/>
            <w:bottom w:val="none" w:sz="0" w:space="0" w:color="auto"/>
          </w:tblBorders>
          <w:tblCellMar>
            <w:top w:w="28" w:type="dxa"/>
            <w:bottom w:w="28" w:type="dxa"/>
          </w:tblCellMar>
          <w:tblLook w:val="04A0"/>
        </w:tblPrEx>
        <w:trPr>
          <w:gridAfter w:val="1"/>
          <w:wAfter w:w="7" w:type="dxa"/>
          <w:trHeight w:val="1235"/>
          <w:jc w:val="center"/>
        </w:trPr>
        <w:tc>
          <w:tcPr>
            <w:tcW w:w="1990" w:type="pct"/>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Pri identifikovaní</w:t>
            </w:r>
            <w:r w:rsidRPr="00A57582">
              <w:rPr>
                <w:rFonts w:ascii="Times New Roman" w:eastAsia="Calibri" w:hAnsi="Times New Roman" w:cs="Times New Roman" w:hint="default"/>
                <w:i/>
                <w:sz w:val="24"/>
                <w:szCs w:val="24"/>
                <w:lang w:eastAsia="sk-SK"/>
              </w:rPr>
              <w:t xml:space="preserve"> rodový</w:t>
            </w:r>
            <w:r w:rsidRPr="00A57582">
              <w:rPr>
                <w:rFonts w:ascii="Times New Roman" w:eastAsia="Calibri" w:hAnsi="Times New Roman" w:cs="Times New Roman" w:hint="default"/>
                <w:i/>
                <w:sz w:val="24"/>
                <w:szCs w:val="24"/>
                <w:lang w:eastAsia="sk-SK"/>
              </w:rPr>
              <w:t>ch vplyvov treba vziať</w:t>
            </w:r>
            <w:r w:rsidRPr="00A57582">
              <w:rPr>
                <w:rFonts w:ascii="Times New Roman" w:eastAsia="Calibri" w:hAnsi="Times New Roman" w:cs="Times New Roman" w:hint="default"/>
                <w:i/>
                <w:sz w:val="24"/>
                <w:szCs w:val="24"/>
                <w:lang w:eastAsia="sk-SK"/>
              </w:rPr>
              <w:t xml:space="preserve"> do ú</w:t>
            </w:r>
            <w:r w:rsidRPr="00A57582">
              <w:rPr>
                <w:rFonts w:ascii="Times New Roman" w:eastAsia="Calibri" w:hAnsi="Times New Roman" w:cs="Times New Roman" w:hint="default"/>
                <w:i/>
                <w:sz w:val="24"/>
                <w:szCs w:val="24"/>
                <w:lang w:eastAsia="sk-SK"/>
              </w:rPr>
              <w:t>vahy existujú</w:t>
            </w:r>
            <w:r w:rsidRPr="00A57582">
              <w:rPr>
                <w:rFonts w:ascii="Times New Roman" w:eastAsia="Calibri" w:hAnsi="Times New Roman" w:cs="Times New Roman" w:hint="default"/>
                <w:i/>
                <w:sz w:val="24"/>
                <w:szCs w:val="24"/>
                <w:lang w:eastAsia="sk-SK"/>
              </w:rPr>
              <w:t>ce rozdiely medzi muž</w:t>
            </w:r>
            <w:r w:rsidRPr="00A57582">
              <w:rPr>
                <w:rFonts w:ascii="Times New Roman" w:eastAsia="Calibri" w:hAnsi="Times New Roman" w:cs="Times New Roman" w:hint="default"/>
                <w:i/>
                <w:sz w:val="24"/>
                <w:szCs w:val="24"/>
                <w:lang w:eastAsia="sk-SK"/>
              </w:rPr>
              <w:t>mi a </w:t>
            </w:r>
            <w:r w:rsidRPr="00A57582">
              <w:rPr>
                <w:rFonts w:ascii="Times New Roman" w:eastAsia="Calibri" w:hAnsi="Times New Roman" w:cs="Times New Roman" w:hint="default"/>
                <w:i/>
                <w:sz w:val="24"/>
                <w:szCs w:val="24"/>
                <w:lang w:eastAsia="sk-SK"/>
              </w:rPr>
              <w:t>ž</w:t>
            </w:r>
            <w:r w:rsidRPr="00A57582">
              <w:rPr>
                <w:rFonts w:ascii="Times New Roman" w:eastAsia="Calibri" w:hAnsi="Times New Roman" w:cs="Times New Roman" w:hint="default"/>
                <w:i/>
                <w:sz w:val="24"/>
                <w:szCs w:val="24"/>
                <w:lang w:eastAsia="sk-SK"/>
              </w:rPr>
              <w:t>enami, ktoré</w:t>
            </w:r>
            <w:r w:rsidRPr="00A57582">
              <w:rPr>
                <w:rFonts w:ascii="Times New Roman" w:eastAsia="Calibri" w:hAnsi="Times New Roman" w:cs="Times New Roman" w:hint="default"/>
                <w:i/>
                <w:sz w:val="24"/>
                <w:szCs w:val="24"/>
                <w:lang w:eastAsia="sk-SK"/>
              </w:rPr>
              <w:t xml:space="preserve"> sú</w:t>
            </w:r>
            <w:r w:rsidRPr="00A57582">
              <w:rPr>
                <w:rFonts w:ascii="Times New Roman" w:eastAsia="Calibri" w:hAnsi="Times New Roman" w:cs="Times New Roman" w:hint="default"/>
                <w:i/>
                <w:sz w:val="24"/>
                <w:szCs w:val="24"/>
                <w:lang w:eastAsia="sk-SK"/>
              </w:rPr>
              <w:t xml:space="preserve"> relevantné</w:t>
            </w:r>
            <w:r w:rsidRPr="00A57582">
              <w:rPr>
                <w:rFonts w:ascii="Times New Roman" w:eastAsia="Calibri" w:hAnsi="Times New Roman" w:cs="Times New Roman" w:hint="default"/>
                <w:i/>
                <w:sz w:val="24"/>
                <w:szCs w:val="24"/>
                <w:lang w:eastAsia="sk-SK"/>
              </w:rPr>
              <w:t xml:space="preserve"> k </w:t>
            </w:r>
            <w:r w:rsidRPr="00A57582">
              <w:rPr>
                <w:rFonts w:ascii="Times New Roman" w:eastAsia="Calibri" w:hAnsi="Times New Roman" w:cs="Times New Roman" w:hint="default"/>
                <w:i/>
                <w:sz w:val="24"/>
                <w:szCs w:val="24"/>
                <w:lang w:eastAsia="sk-SK"/>
              </w:rPr>
              <w:t>danej politike. Podpora rodovej rovnosti spočí</w:t>
            </w:r>
            <w:r w:rsidRPr="00A57582">
              <w:rPr>
                <w:rFonts w:ascii="Times New Roman" w:eastAsia="Calibri" w:hAnsi="Times New Roman" w:cs="Times New Roman" w:hint="default"/>
                <w:i/>
                <w:sz w:val="24"/>
                <w:szCs w:val="24"/>
                <w:lang w:eastAsia="sk-SK"/>
              </w:rPr>
              <w:t>va v </w:t>
            </w:r>
            <w:r w:rsidRPr="00A57582">
              <w:rPr>
                <w:rFonts w:ascii="Times New Roman" w:eastAsia="Calibri" w:hAnsi="Times New Roman" w:cs="Times New Roman" w:hint="default"/>
                <w:i/>
                <w:sz w:val="24"/>
                <w:szCs w:val="24"/>
                <w:lang w:eastAsia="sk-SK"/>
              </w:rPr>
              <w:t>odstraň</w:t>
            </w:r>
            <w:r w:rsidRPr="00A57582">
              <w:rPr>
                <w:rFonts w:ascii="Times New Roman" w:eastAsia="Calibri" w:hAnsi="Times New Roman" w:cs="Times New Roman" w:hint="default"/>
                <w:i/>
                <w:sz w:val="24"/>
                <w:szCs w:val="24"/>
                <w:lang w:eastAsia="sk-SK"/>
              </w:rPr>
              <w:t>ovaní</w:t>
            </w:r>
            <w:r w:rsidRPr="00A57582">
              <w:rPr>
                <w:rFonts w:ascii="Times New Roman" w:eastAsia="Calibri" w:hAnsi="Times New Roman" w:cs="Times New Roman" w:hint="default"/>
                <w:i/>
                <w:sz w:val="24"/>
                <w:szCs w:val="24"/>
                <w:lang w:eastAsia="sk-SK"/>
              </w:rPr>
              <w:t xml:space="preserve"> obmedzení</w:t>
            </w:r>
            <w:r w:rsidRPr="00A57582">
              <w:rPr>
                <w:rFonts w:ascii="Times New Roman" w:eastAsia="Calibri" w:hAnsi="Times New Roman" w:cs="Times New Roman" w:hint="default"/>
                <w:i/>
                <w:sz w:val="24"/>
                <w:szCs w:val="24"/>
                <w:lang w:eastAsia="sk-SK"/>
              </w:rPr>
              <w:t xml:space="preserve"> a barié</w:t>
            </w:r>
            <w:r w:rsidRPr="00A57582">
              <w:rPr>
                <w:rFonts w:ascii="Times New Roman" w:eastAsia="Calibri" w:hAnsi="Times New Roman" w:cs="Times New Roman" w:hint="default"/>
                <w:i/>
                <w:sz w:val="24"/>
                <w:szCs w:val="24"/>
                <w:lang w:eastAsia="sk-SK"/>
              </w:rPr>
              <w:t xml:space="preserve">r </w:t>
            </w:r>
            <w:r w:rsidRPr="00A57582">
              <w:rPr>
                <w:rFonts w:ascii="Times New Roman" w:eastAsia="Calibri" w:hAnsi="Times New Roman" w:cs="Times New Roman" w:hint="default"/>
                <w:i/>
                <w:sz w:val="24"/>
                <w:szCs w:val="24"/>
                <w:lang w:eastAsia="sk-SK"/>
              </w:rPr>
              <w:t>pre plnohodnotnú</w:t>
            </w:r>
            <w:r w:rsidRPr="00A57582">
              <w:rPr>
                <w:rFonts w:ascii="Times New Roman" w:eastAsia="Calibri" w:hAnsi="Times New Roman" w:cs="Times New Roman" w:hint="default"/>
                <w:i/>
                <w:sz w:val="24"/>
                <w:szCs w:val="24"/>
                <w:lang w:eastAsia="sk-SK"/>
              </w:rPr>
              <w:t xml:space="preserve"> úč</w:t>
            </w:r>
            <w:r w:rsidRPr="00A57582">
              <w:rPr>
                <w:rFonts w:ascii="Times New Roman" w:eastAsia="Calibri" w:hAnsi="Times New Roman" w:cs="Times New Roman" w:hint="default"/>
                <w:i/>
                <w:sz w:val="24"/>
                <w:szCs w:val="24"/>
                <w:lang w:eastAsia="sk-SK"/>
              </w:rPr>
              <w:t>asť</w:t>
            </w:r>
            <w:r w:rsidRPr="00A57582">
              <w:rPr>
                <w:rFonts w:ascii="Times New Roman" w:eastAsia="Calibri" w:hAnsi="Times New Roman" w:cs="Times New Roman" w:hint="default"/>
                <w:i/>
                <w:sz w:val="24"/>
                <w:szCs w:val="24"/>
                <w:lang w:eastAsia="sk-SK"/>
              </w:rPr>
              <w:t xml:space="preserve"> na ekonomickom, politickom a </w:t>
            </w:r>
            <w:r w:rsidRPr="00A57582">
              <w:rPr>
                <w:rFonts w:ascii="Times New Roman" w:eastAsia="Calibri" w:hAnsi="Times New Roman" w:cs="Times New Roman" w:hint="default"/>
                <w:i/>
                <w:sz w:val="24"/>
                <w:szCs w:val="24"/>
                <w:lang w:eastAsia="sk-SK"/>
              </w:rPr>
              <w:t>sociá</w:t>
            </w:r>
            <w:r w:rsidRPr="00A57582">
              <w:rPr>
                <w:rFonts w:ascii="Times New Roman" w:eastAsia="Calibri" w:hAnsi="Times New Roman" w:cs="Times New Roman" w:hint="default"/>
                <w:i/>
                <w:sz w:val="24"/>
                <w:szCs w:val="24"/>
                <w:lang w:eastAsia="sk-SK"/>
              </w:rPr>
              <w:t>lnom ž</w:t>
            </w:r>
            <w:r w:rsidRPr="00A57582">
              <w:rPr>
                <w:rFonts w:ascii="Times New Roman" w:eastAsia="Calibri" w:hAnsi="Times New Roman" w:cs="Times New Roman" w:hint="default"/>
                <w:i/>
                <w:sz w:val="24"/>
                <w:szCs w:val="24"/>
                <w:lang w:eastAsia="sk-SK"/>
              </w:rPr>
              <w:t>ivote spoloč</w:t>
            </w:r>
            <w:r w:rsidRPr="00A57582">
              <w:rPr>
                <w:rFonts w:ascii="Times New Roman" w:eastAsia="Calibri" w:hAnsi="Times New Roman" w:cs="Times New Roman" w:hint="default"/>
                <w:i/>
                <w:sz w:val="24"/>
                <w:szCs w:val="24"/>
                <w:lang w:eastAsia="sk-SK"/>
              </w:rPr>
              <w:t>nosti, ktoré</w:t>
            </w:r>
            <w:r w:rsidRPr="00A57582">
              <w:rPr>
                <w:rFonts w:ascii="Times New Roman" w:eastAsia="Calibri" w:hAnsi="Times New Roman" w:cs="Times New Roman" w:hint="default"/>
                <w:i/>
                <w:sz w:val="24"/>
                <w:szCs w:val="24"/>
                <w:lang w:eastAsia="sk-SK"/>
              </w:rPr>
              <w:t xml:space="preserve"> sú</w:t>
            </w:r>
            <w:r w:rsidRPr="00A57582">
              <w:rPr>
                <w:rFonts w:ascii="Times New Roman" w:eastAsia="Calibri" w:hAnsi="Times New Roman" w:cs="Times New Roman" w:hint="default"/>
                <w:i/>
                <w:sz w:val="24"/>
                <w:szCs w:val="24"/>
                <w:lang w:eastAsia="sk-SK"/>
              </w:rPr>
              <w:t>visia s rodový</w:t>
            </w:r>
            <w:r w:rsidRPr="00A57582">
              <w:rPr>
                <w:rFonts w:ascii="Times New Roman" w:eastAsia="Calibri" w:hAnsi="Times New Roman" w:cs="Times New Roman" w:hint="default"/>
                <w:i/>
                <w:sz w:val="24"/>
                <w:szCs w:val="24"/>
                <w:lang w:eastAsia="sk-SK"/>
              </w:rPr>
              <w:t>mi rolami č</w:t>
            </w:r>
            <w:r w:rsidRPr="00A57582">
              <w:rPr>
                <w:rFonts w:ascii="Times New Roman" w:eastAsia="Calibri" w:hAnsi="Times New Roman" w:cs="Times New Roman" w:hint="default"/>
                <w:i/>
                <w:sz w:val="24"/>
                <w:szCs w:val="24"/>
                <w:lang w:eastAsia="sk-SK"/>
              </w:rPr>
              <w:t>i pohlaví</w:t>
            </w:r>
            <w:r w:rsidRPr="00A57582">
              <w:rPr>
                <w:rFonts w:ascii="Times New Roman" w:eastAsia="Calibri" w:hAnsi="Times New Roman" w:cs="Times New Roman" w:hint="default"/>
                <w:i/>
                <w:sz w:val="24"/>
                <w:szCs w:val="24"/>
                <w:lang w:eastAsia="sk-SK"/>
              </w:rPr>
              <w:t>m. Hlavné</w:t>
            </w:r>
            <w:r w:rsidRPr="00A57582">
              <w:rPr>
                <w:rFonts w:ascii="Times New Roman" w:eastAsia="Calibri" w:hAnsi="Times New Roman" w:cs="Times New Roman" w:hint="default"/>
                <w:i/>
                <w:sz w:val="24"/>
                <w:szCs w:val="24"/>
                <w:lang w:eastAsia="sk-SK"/>
              </w:rPr>
              <w:t xml:space="preserve"> oblasti podpory rodovej rovnosti:</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podpora vyrovná</w:t>
            </w:r>
            <w:r w:rsidRPr="00A57582">
              <w:rPr>
                <w:rFonts w:ascii="Times New Roman" w:eastAsia="Calibri" w:hAnsi="Times New Roman" w:cs="Times New Roman" w:hint="default"/>
                <w:i/>
                <w:sz w:val="24"/>
                <w:szCs w:val="24"/>
                <w:lang w:eastAsia="sk-SK"/>
              </w:rPr>
              <w:t>vania ekonomickej nezá</w:t>
            </w:r>
            <w:r w:rsidRPr="00A57582">
              <w:rPr>
                <w:rFonts w:ascii="Times New Roman" w:eastAsia="Calibri" w:hAnsi="Times New Roman" w:cs="Times New Roman" w:hint="default"/>
                <w:i/>
                <w:sz w:val="24"/>
                <w:szCs w:val="24"/>
                <w:lang w:eastAsia="sk-SK"/>
              </w:rPr>
              <w:t xml:space="preserve">vislosti, </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zosú</w:t>
            </w:r>
            <w:r w:rsidRPr="00A57582">
              <w:rPr>
                <w:rFonts w:ascii="Times New Roman" w:eastAsia="Calibri" w:hAnsi="Times New Roman" w:cs="Times New Roman" w:hint="default"/>
                <w:i/>
                <w:sz w:val="24"/>
                <w:szCs w:val="24"/>
                <w:lang w:eastAsia="sk-SK"/>
              </w:rPr>
              <w:t>ladenie pracovné</w:t>
            </w:r>
            <w:r w:rsidRPr="00A57582">
              <w:rPr>
                <w:rFonts w:ascii="Times New Roman" w:eastAsia="Calibri" w:hAnsi="Times New Roman" w:cs="Times New Roman" w:hint="default"/>
                <w:i/>
                <w:sz w:val="24"/>
                <w:szCs w:val="24"/>
                <w:lang w:eastAsia="sk-SK"/>
              </w:rPr>
              <w:t>ho, sú</w:t>
            </w:r>
            <w:r w:rsidRPr="00A57582">
              <w:rPr>
                <w:rFonts w:ascii="Times New Roman" w:eastAsia="Calibri" w:hAnsi="Times New Roman" w:cs="Times New Roman" w:hint="default"/>
                <w:i/>
                <w:sz w:val="24"/>
                <w:szCs w:val="24"/>
                <w:lang w:eastAsia="sk-SK"/>
              </w:rPr>
              <w:t>kromné</w:t>
            </w:r>
            <w:r w:rsidRPr="00A57582">
              <w:rPr>
                <w:rFonts w:ascii="Times New Roman" w:eastAsia="Calibri" w:hAnsi="Times New Roman" w:cs="Times New Roman" w:hint="default"/>
                <w:i/>
                <w:sz w:val="24"/>
                <w:szCs w:val="24"/>
                <w:lang w:eastAsia="sk-SK"/>
              </w:rPr>
              <w:t>ho a rod</w:t>
            </w:r>
            <w:r w:rsidRPr="00A57582">
              <w:rPr>
                <w:rFonts w:ascii="Times New Roman" w:eastAsia="Calibri" w:hAnsi="Times New Roman" w:cs="Times New Roman" w:hint="default"/>
                <w:i/>
                <w:sz w:val="24"/>
                <w:szCs w:val="24"/>
                <w:lang w:eastAsia="sk-SK"/>
              </w:rPr>
              <w:t>inné</w:t>
            </w:r>
            <w:r w:rsidRPr="00A57582">
              <w:rPr>
                <w:rFonts w:ascii="Times New Roman" w:eastAsia="Calibri" w:hAnsi="Times New Roman" w:cs="Times New Roman" w:hint="default"/>
                <w:i/>
                <w:sz w:val="24"/>
                <w:szCs w:val="24"/>
                <w:lang w:eastAsia="sk-SK"/>
              </w:rPr>
              <w:t>ho ž</w:t>
            </w:r>
            <w:r w:rsidRPr="00A57582">
              <w:rPr>
                <w:rFonts w:ascii="Times New Roman" w:eastAsia="Calibri" w:hAnsi="Times New Roman" w:cs="Times New Roman" w:hint="default"/>
                <w:i/>
                <w:sz w:val="24"/>
                <w:szCs w:val="24"/>
                <w:lang w:eastAsia="sk-SK"/>
              </w:rPr>
              <w:t xml:space="preserve">ivota, </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podpora rovnej participá</w:t>
            </w:r>
            <w:r w:rsidRPr="00A57582">
              <w:rPr>
                <w:rFonts w:ascii="Times New Roman" w:eastAsia="Calibri" w:hAnsi="Times New Roman" w:cs="Times New Roman" w:hint="default"/>
                <w:i/>
                <w:sz w:val="24"/>
                <w:szCs w:val="24"/>
                <w:lang w:eastAsia="sk-SK"/>
              </w:rPr>
              <w:t>cie na rozhodovaní</w:t>
            </w:r>
            <w:r w:rsidRPr="00A57582">
              <w:rPr>
                <w:rFonts w:ascii="Times New Roman" w:eastAsia="Calibri" w:hAnsi="Times New Roman" w:cs="Times New Roman" w:hint="default"/>
                <w:i/>
                <w:sz w:val="24"/>
                <w:szCs w:val="24"/>
                <w:lang w:eastAsia="sk-SK"/>
              </w:rPr>
              <w:t xml:space="preserve">, </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boj proti rodovo podmienené</w:t>
            </w:r>
            <w:r w:rsidRPr="00A57582">
              <w:rPr>
                <w:rFonts w:ascii="Times New Roman" w:eastAsia="Calibri" w:hAnsi="Times New Roman" w:cs="Times New Roman" w:hint="default"/>
                <w:i/>
                <w:sz w:val="24"/>
                <w:szCs w:val="24"/>
                <w:lang w:eastAsia="sk-SK"/>
              </w:rPr>
              <w:t>mu ná</w:t>
            </w:r>
            <w:r w:rsidRPr="00A57582">
              <w:rPr>
                <w:rFonts w:ascii="Times New Roman" w:eastAsia="Calibri" w:hAnsi="Times New Roman" w:cs="Times New Roman" w:hint="default"/>
                <w:i/>
                <w:sz w:val="24"/>
                <w:szCs w:val="24"/>
                <w:lang w:eastAsia="sk-SK"/>
              </w:rPr>
              <w:t>siliu a obchodovaniu s </w:t>
            </w:r>
            <w:r w:rsidRPr="00A57582">
              <w:rPr>
                <w:rFonts w:ascii="Times New Roman" w:eastAsia="Calibri" w:hAnsi="Times New Roman" w:cs="Times New Roman" w:hint="default"/>
                <w:i/>
                <w:sz w:val="24"/>
                <w:szCs w:val="24"/>
                <w:lang w:eastAsia="sk-SK"/>
              </w:rPr>
              <w:t>ľ</w:t>
            </w:r>
            <w:r w:rsidRPr="00A57582">
              <w:rPr>
                <w:rFonts w:ascii="Times New Roman" w:eastAsia="Calibri" w:hAnsi="Times New Roman" w:cs="Times New Roman" w:hint="default"/>
                <w:i/>
                <w:sz w:val="24"/>
                <w:szCs w:val="24"/>
                <w:lang w:eastAsia="sk-SK"/>
              </w:rPr>
              <w:t>uď</w:t>
            </w:r>
            <w:r w:rsidRPr="00A57582">
              <w:rPr>
                <w:rFonts w:ascii="Times New Roman" w:eastAsia="Calibri" w:hAnsi="Times New Roman" w:cs="Times New Roman" w:hint="default"/>
                <w:i/>
                <w:sz w:val="24"/>
                <w:szCs w:val="24"/>
                <w:lang w:eastAsia="sk-SK"/>
              </w:rPr>
              <w:t xml:space="preserve">mi, </w:t>
            </w:r>
          </w:p>
          <w:p w:rsidR="0044777A" w:rsidRPr="00A57582" w:rsidP="0044777A">
            <w:pPr>
              <w:numPr>
                <w:numId w:val="16"/>
              </w:numPr>
              <w:bidi w:val="0"/>
              <w:spacing w:after="0" w:line="240" w:lineRule="auto"/>
              <w:jc w:val="both"/>
              <w:rPr>
                <w:rFonts w:ascii="Times New Roman" w:eastAsia="Calibri" w:hAnsi="Times New Roman" w:cs="Times New Roman" w:hint="default"/>
                <w:i/>
                <w:sz w:val="24"/>
                <w:szCs w:val="24"/>
                <w:lang w:eastAsia="sk-SK"/>
              </w:rPr>
            </w:pPr>
            <w:r w:rsidRPr="00A57582">
              <w:rPr>
                <w:rFonts w:ascii="Times New Roman" w:eastAsia="Calibri" w:hAnsi="Times New Roman" w:cs="Times New Roman" w:hint="default"/>
                <w:i/>
                <w:sz w:val="24"/>
                <w:szCs w:val="24"/>
                <w:lang w:eastAsia="sk-SK"/>
              </w:rPr>
              <w:t>eliminá</w:t>
            </w:r>
            <w:r w:rsidRPr="00A57582">
              <w:rPr>
                <w:rFonts w:ascii="Times New Roman" w:eastAsia="Calibri" w:hAnsi="Times New Roman" w:cs="Times New Roman" w:hint="default"/>
                <w:i/>
                <w:sz w:val="24"/>
                <w:szCs w:val="24"/>
                <w:lang w:eastAsia="sk-SK"/>
              </w:rPr>
              <w:t>cia rodový</w:t>
            </w:r>
            <w:r w:rsidRPr="00A57582">
              <w:rPr>
                <w:rFonts w:ascii="Times New Roman" w:eastAsia="Calibri" w:hAnsi="Times New Roman" w:cs="Times New Roman" w:hint="default"/>
                <w:i/>
                <w:sz w:val="24"/>
                <w:szCs w:val="24"/>
                <w:lang w:eastAsia="sk-SK"/>
              </w:rPr>
              <w:t>ch stereotypov.</w:t>
            </w:r>
          </w:p>
        </w:tc>
        <w:tc>
          <w:tcPr>
            <w:tcW w:w="3003" w:type="pct"/>
            <w:gridSpan w:val="3"/>
            <w:tcBorders>
              <w:top w:val="single" w:sz="4" w:space="0" w:color="auto"/>
              <w:left w:val="single" w:sz="4" w:space="0" w:color="auto"/>
              <w:bottom w:val="single" w:sz="4" w:space="0" w:color="auto"/>
              <w:right w:val="single" w:sz="4" w:space="0" w:color="auto"/>
            </w:tcBorders>
            <w:textDirection w:val="lrTb"/>
            <w:vAlign w:val="top"/>
          </w:tcPr>
          <w:p w:rsidR="0044777A" w:rsidRPr="00A57582" w:rsidP="007B2961">
            <w:pPr>
              <w:bidi w:val="0"/>
              <w:spacing w:after="0" w:line="240" w:lineRule="auto"/>
              <w:rPr>
                <w:rFonts w:ascii="Times New Roman" w:eastAsia="Calibri" w:hAnsi="Times New Roman" w:cs="Times New Roman"/>
                <w:sz w:val="24"/>
                <w:szCs w:val="24"/>
                <w:lang w:eastAsia="sk-SK"/>
              </w:rPr>
            </w:pPr>
            <w:r w:rsidRPr="00A57582">
              <w:rPr>
                <w:rFonts w:ascii="Times New Roman" w:eastAsia="Calibri" w:hAnsi="Times New Roman" w:cs="Times New Roman"/>
                <w:sz w:val="24"/>
                <w:szCs w:val="24"/>
                <w:lang w:eastAsia="sk-SK"/>
              </w:rPr>
              <w:t>Bez vplyvu.</w:t>
            </w:r>
          </w:p>
          <w:p w:rsidR="0044777A" w:rsidRPr="00A57582" w:rsidP="007B2961">
            <w:pPr>
              <w:bidi w:val="0"/>
              <w:spacing w:after="0" w:line="240" w:lineRule="auto"/>
              <w:rPr>
                <w:rFonts w:ascii="Times New Roman" w:eastAsia="Calibri" w:hAnsi="Times New Roman" w:cs="Times New Roman"/>
                <w:sz w:val="24"/>
                <w:szCs w:val="24"/>
                <w:lang w:eastAsia="sk-SK"/>
              </w:rPr>
            </w:pPr>
          </w:p>
          <w:p w:rsidR="0044777A" w:rsidRPr="00A57582" w:rsidP="007B2961">
            <w:pPr>
              <w:bidi w:val="0"/>
              <w:spacing w:after="0" w:line="240" w:lineRule="auto"/>
              <w:rPr>
                <w:rFonts w:ascii="Times New Roman" w:eastAsia="Calibri" w:hAnsi="Times New Roman" w:cs="Times New Roman"/>
                <w:sz w:val="24"/>
                <w:szCs w:val="24"/>
                <w:lang w:eastAsia="sk-SK"/>
              </w:rPr>
            </w:pPr>
          </w:p>
          <w:p w:rsidR="0044777A" w:rsidRPr="00A57582" w:rsidP="007B2961">
            <w:pPr>
              <w:bidi w:val="0"/>
              <w:spacing w:after="0" w:line="240" w:lineRule="auto"/>
              <w:rPr>
                <w:rFonts w:ascii="Times New Roman" w:eastAsia="Calibri" w:hAnsi="Times New Roman" w:cs="Times New Roman"/>
                <w:sz w:val="24"/>
                <w:szCs w:val="24"/>
                <w:lang w:eastAsia="sk-SK"/>
              </w:rPr>
            </w:pPr>
          </w:p>
          <w:p w:rsidR="0044777A" w:rsidRPr="00A57582" w:rsidP="007B2961">
            <w:pPr>
              <w:bidi w:val="0"/>
              <w:spacing w:after="0" w:line="240" w:lineRule="auto"/>
              <w:rPr>
                <w:rFonts w:ascii="Times New Roman" w:eastAsia="Calibri" w:hAnsi="Times New Roman" w:cs="Times New Roman"/>
                <w:sz w:val="24"/>
                <w:szCs w:val="24"/>
                <w:lang w:eastAsia="sk-SK"/>
              </w:rPr>
            </w:pPr>
          </w:p>
        </w:tc>
      </w:tr>
      <w:tr>
        <w:tblPrEx>
          <w:tblW w:w="5180" w:type="pct"/>
          <w:jc w:val="center"/>
          <w:tblCellMar>
            <w:top w:w="28" w:type="dxa"/>
            <w:bottom w:w="28" w:type="dxa"/>
          </w:tblCellMar>
          <w:tblLook w:val="04A0"/>
        </w:tblPrEx>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777A" w:rsidRPr="00A57582" w:rsidP="007B2961">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4.4 Identifikujte, popíšte a kvantifikujte vplyvy na zamestnanosť a na trh práce.</w:t>
            </w:r>
          </w:p>
          <w:p w:rsidR="0044777A" w:rsidRPr="00A57582" w:rsidP="007B2961">
            <w:pPr>
              <w:bidi w:val="0"/>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 xml:space="preserve">V prípade kladnej odpovede pripojte </w:t>
            </w:r>
            <w:r w:rsidRPr="00A57582">
              <w:rPr>
                <w:rFonts w:ascii="Times New Roman" w:hAnsi="Times New Roman" w:cs="Times New Roman"/>
                <w:b/>
                <w:i/>
                <w:sz w:val="24"/>
                <w:szCs w:val="24"/>
                <w:lang w:eastAsia="sk-SK"/>
              </w:rPr>
              <w:t>odôvodnenie</w:t>
            </w:r>
            <w:r w:rsidRPr="00A57582">
              <w:rPr>
                <w:rFonts w:ascii="Times New Roman" w:hAnsi="Times New Roman" w:cs="Times New Roman"/>
                <w:i/>
                <w:sz w:val="24"/>
                <w:szCs w:val="24"/>
                <w:lang w:eastAsia="sk-SK"/>
              </w:rPr>
              <w:t xml:space="preserve"> v súlade s Metodickým postupom pre analýzu sociálnych vplyvov.</w:t>
            </w:r>
          </w:p>
        </w:tc>
      </w:tr>
      <w:tr>
        <w:tblPrEx>
          <w:tblW w:w="5180" w:type="pct"/>
          <w:jc w:val="center"/>
          <w:tblCellMar>
            <w:top w:w="28" w:type="dxa"/>
            <w:bottom w:w="28" w:type="dxa"/>
          </w:tblCellMar>
          <w:tblLook w:val="04A0"/>
        </w:tblPrEx>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777A" w:rsidRPr="00A57582" w:rsidP="007B2961">
            <w:pPr>
              <w:bidi w:val="0"/>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Uľahčuje návrh vznik nových pracovných miest? Ak áno, ako? Ak je to možné, doplňte kvantifikáciu.</w:t>
            </w:r>
          </w:p>
        </w:tc>
      </w:tr>
      <w:tr>
        <w:tblPrEx>
          <w:tblW w:w="5180" w:type="pct"/>
          <w:jc w:val="center"/>
          <w:tblCellMar>
            <w:top w:w="28" w:type="dxa"/>
            <w:bottom w:w="28" w:type="dxa"/>
          </w:tblCellMar>
          <w:tblLook w:val="04A0"/>
        </w:tblPrEx>
        <w:trPr>
          <w:gridAfter w:val="1"/>
          <w:wAfter w:w="7" w:type="dxa"/>
          <w:trHeight w:val="567"/>
          <w:jc w:val="center"/>
        </w:trPr>
        <w:tc>
          <w:tcPr>
            <w:tcW w:w="1990" w:type="pct"/>
            <w:tcBorders>
              <w:top w:val="nil"/>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i/>
                <w:sz w:val="24"/>
                <w:szCs w:val="24"/>
              </w:rPr>
              <w:t>Identifikujte, v </w:t>
            </w:r>
            <w:r w:rsidRPr="00A57582">
              <w:rPr>
                <w:rFonts w:ascii="Times New Roman" w:eastAsia="Calibri" w:hAnsi="Times New Roman" w:cs="Times New Roman" w:hint="default"/>
                <w:i/>
                <w:sz w:val="24"/>
                <w:szCs w:val="24"/>
              </w:rPr>
              <w:t>ktorý</w:t>
            </w:r>
            <w:r w:rsidRPr="00A57582">
              <w:rPr>
                <w:rFonts w:ascii="Times New Roman" w:eastAsia="Calibri" w:hAnsi="Times New Roman" w:cs="Times New Roman" w:hint="default"/>
                <w:i/>
                <w:sz w:val="24"/>
                <w:szCs w:val="24"/>
              </w:rPr>
              <w:t>ch sektoroch a odvetviach ekonomiky, v ktorý</w:t>
            </w:r>
            <w:r w:rsidRPr="00A57582">
              <w:rPr>
                <w:rFonts w:ascii="Times New Roman" w:eastAsia="Calibri" w:hAnsi="Times New Roman" w:cs="Times New Roman" w:hint="default"/>
                <w:i/>
                <w:sz w:val="24"/>
                <w:szCs w:val="24"/>
              </w:rPr>
              <w:t>ch regió</w:t>
            </w:r>
            <w:r w:rsidRPr="00A57582">
              <w:rPr>
                <w:rFonts w:ascii="Times New Roman" w:eastAsia="Calibri" w:hAnsi="Times New Roman" w:cs="Times New Roman" w:hint="default"/>
                <w:i/>
                <w:sz w:val="24"/>
                <w:szCs w:val="24"/>
              </w:rPr>
              <w:t>noch, pre aké</w:t>
            </w:r>
            <w:r w:rsidRPr="00A57582">
              <w:rPr>
                <w:rFonts w:ascii="Times New Roman" w:eastAsia="Calibri" w:hAnsi="Times New Roman" w:cs="Times New Roman" w:hint="default"/>
                <w:i/>
                <w:sz w:val="24"/>
                <w:szCs w:val="24"/>
              </w:rPr>
              <w:t xml:space="preserve"> skupiny zamestnancov, </w:t>
            </w:r>
            <w:r w:rsidRPr="00A57582">
              <w:rPr>
                <w:rFonts w:ascii="Times New Roman" w:eastAsia="Calibri" w:hAnsi="Times New Roman" w:cs="Times New Roman" w:hint="default"/>
                <w:i/>
                <w:sz w:val="24"/>
                <w:szCs w:val="24"/>
              </w:rPr>
              <w:t>o aké</w:t>
            </w:r>
            <w:r w:rsidRPr="00A57582">
              <w:rPr>
                <w:rFonts w:ascii="Times New Roman" w:eastAsia="Calibri" w:hAnsi="Times New Roman" w:cs="Times New Roman" w:hint="default"/>
                <w:i/>
                <w:sz w:val="24"/>
                <w:szCs w:val="24"/>
              </w:rPr>
              <w:t xml:space="preserve"> typy zamestnania /pracovný</w:t>
            </w:r>
            <w:r w:rsidRPr="00A57582">
              <w:rPr>
                <w:rFonts w:ascii="Times New Roman" w:eastAsia="Calibri" w:hAnsi="Times New Roman" w:cs="Times New Roman" w:hint="default"/>
                <w:i/>
                <w:sz w:val="24"/>
                <w:szCs w:val="24"/>
              </w:rPr>
              <w:t>ch ú</w:t>
            </w:r>
            <w:r w:rsidRPr="00A57582">
              <w:rPr>
                <w:rFonts w:ascii="Times New Roman" w:eastAsia="Calibri" w:hAnsi="Times New Roman" w:cs="Times New Roman" w:hint="default"/>
                <w:i/>
                <w:sz w:val="24"/>
                <w:szCs w:val="24"/>
              </w:rPr>
              <w:t>vä</w:t>
            </w:r>
            <w:r w:rsidRPr="00A57582">
              <w:rPr>
                <w:rFonts w:ascii="Times New Roman" w:eastAsia="Calibri" w:hAnsi="Times New Roman" w:cs="Times New Roman" w:hint="default"/>
                <w:i/>
                <w:sz w:val="24"/>
                <w:szCs w:val="24"/>
              </w:rPr>
              <w:t>zkov pô</w:t>
            </w:r>
            <w:r w:rsidRPr="00A57582">
              <w:rPr>
                <w:rFonts w:ascii="Times New Roman" w:eastAsia="Calibri" w:hAnsi="Times New Roman" w:cs="Times New Roman" w:hint="default"/>
                <w:i/>
                <w:sz w:val="24"/>
                <w:szCs w:val="24"/>
              </w:rPr>
              <w:t xml:space="preserve">jde a pod. </w:t>
            </w:r>
          </w:p>
        </w:tc>
        <w:tc>
          <w:tcPr>
            <w:tcW w:w="3003" w:type="pct"/>
            <w:gridSpan w:val="3"/>
            <w:tcBorders>
              <w:top w:val="nil"/>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r>
        <w:tblPrEx>
          <w:tblW w:w="5180" w:type="pct"/>
          <w:jc w:val="center"/>
          <w:tblCellMar>
            <w:top w:w="28" w:type="dxa"/>
            <w:bottom w:w="28" w:type="dxa"/>
          </w:tblCellMar>
          <w:tblLook w:val="04A0"/>
        </w:tblPrEx>
        <w:trPr>
          <w:gridAfter w:val="1"/>
          <w:wAfter w:w="7" w:type="dxa"/>
          <w:trHeight w:val="270"/>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Vedie ná</w:t>
            </w:r>
            <w:r w:rsidRPr="00A57582">
              <w:rPr>
                <w:rFonts w:ascii="Times New Roman" w:eastAsia="Calibri" w:hAnsi="Times New Roman" w:cs="Times New Roman" w:hint="default"/>
                <w:i/>
                <w:sz w:val="24"/>
                <w:szCs w:val="24"/>
              </w:rPr>
              <w:t>vrh k zá</w:t>
            </w:r>
            <w:r w:rsidRPr="00A57582">
              <w:rPr>
                <w:rFonts w:ascii="Times New Roman" w:eastAsia="Calibri" w:hAnsi="Times New Roman" w:cs="Times New Roman" w:hint="default"/>
                <w:i/>
                <w:sz w:val="24"/>
                <w:szCs w:val="24"/>
              </w:rPr>
              <w:t>niku pracovný</w:t>
            </w:r>
            <w:r w:rsidRPr="00A57582">
              <w:rPr>
                <w:rFonts w:ascii="Times New Roman" w:eastAsia="Calibri" w:hAnsi="Times New Roman" w:cs="Times New Roman" w:hint="default"/>
                <w:i/>
                <w:sz w:val="24"/>
                <w:szCs w:val="24"/>
              </w:rPr>
              <w:t>ch miest?</w:t>
            </w:r>
            <w:r w:rsidRPr="00A57582">
              <w:rPr>
                <w:rFonts w:ascii="Times New Roman" w:eastAsia="Calibri" w:hAnsi="Times New Roman" w:cs="Times New Roman"/>
                <w:sz w:val="24"/>
                <w:szCs w:val="24"/>
              </w:rPr>
              <w:t xml:space="preserve"> </w:t>
            </w:r>
            <w:r w:rsidRPr="00A57582">
              <w:rPr>
                <w:rFonts w:ascii="Times New Roman" w:eastAsia="Calibri" w:hAnsi="Times New Roman" w:cs="Times New Roman" w:hint="default"/>
                <w:i/>
                <w:sz w:val="24"/>
                <w:szCs w:val="24"/>
              </w:rPr>
              <w:t>Ak á</w:t>
            </w:r>
            <w:r w:rsidRPr="00A57582">
              <w:rPr>
                <w:rFonts w:ascii="Times New Roman" w:eastAsia="Calibri" w:hAnsi="Times New Roman" w:cs="Times New Roman" w:hint="default"/>
                <w:i/>
                <w:sz w:val="24"/>
                <w:szCs w:val="24"/>
              </w:rPr>
              <w:t>no, ako a </w:t>
            </w:r>
            <w:r w:rsidRPr="00A57582">
              <w:rPr>
                <w:rFonts w:ascii="Times New Roman" w:eastAsia="Calibri" w:hAnsi="Times New Roman" w:cs="Times New Roman" w:hint="default"/>
                <w:i/>
                <w:sz w:val="24"/>
                <w:szCs w:val="24"/>
              </w:rPr>
              <w:t>aký</w:t>
            </w:r>
            <w:r w:rsidRPr="00A57582">
              <w:rPr>
                <w:rFonts w:ascii="Times New Roman" w:eastAsia="Calibri" w:hAnsi="Times New Roman" w:cs="Times New Roman" w:hint="default"/>
                <w:i/>
                <w:sz w:val="24"/>
                <w:szCs w:val="24"/>
              </w:rPr>
              <w:t>ch? Ak je to mož</w:t>
            </w:r>
            <w:r w:rsidRPr="00A57582">
              <w:rPr>
                <w:rFonts w:ascii="Times New Roman" w:eastAsia="Calibri" w:hAnsi="Times New Roman" w:cs="Times New Roman" w:hint="default"/>
                <w:i/>
                <w:sz w:val="24"/>
                <w:szCs w:val="24"/>
              </w:rPr>
              <w:t>né</w:t>
            </w:r>
            <w:r w:rsidRPr="00A57582">
              <w:rPr>
                <w:rFonts w:ascii="Times New Roman" w:eastAsia="Calibri" w:hAnsi="Times New Roman" w:cs="Times New Roman" w:hint="default"/>
                <w:i/>
                <w:sz w:val="24"/>
                <w:szCs w:val="24"/>
              </w:rPr>
              <w:t xml:space="preserve">, </w:t>
            </w:r>
            <w:r w:rsidRPr="00A57582">
              <w:rPr>
                <w:rFonts w:ascii="Times New Roman" w:eastAsia="Calibri" w:hAnsi="Times New Roman" w:cs="Times New Roman" w:hint="default"/>
                <w:i/>
                <w:sz w:val="24"/>
                <w:szCs w:val="24"/>
              </w:rPr>
              <w:t>doplň</w:t>
            </w:r>
            <w:r w:rsidRPr="00A57582">
              <w:rPr>
                <w:rFonts w:ascii="Times New Roman" w:eastAsia="Calibri" w:hAnsi="Times New Roman" w:cs="Times New Roman" w:hint="default"/>
                <w:i/>
                <w:sz w:val="24"/>
                <w:szCs w:val="24"/>
              </w:rPr>
              <w:t>te kvantifiká</w:t>
            </w:r>
            <w:r w:rsidRPr="00A57582">
              <w:rPr>
                <w:rFonts w:ascii="Times New Roman" w:eastAsia="Calibri" w:hAnsi="Times New Roman" w:cs="Times New Roman" w:hint="default"/>
                <w:i/>
                <w:sz w:val="24"/>
                <w:szCs w:val="24"/>
              </w:rPr>
              <w:t>ciu.</w:t>
            </w:r>
          </w:p>
        </w:tc>
      </w:tr>
      <w:tr>
        <w:tblPrEx>
          <w:tblW w:w="5180" w:type="pct"/>
          <w:jc w:val="center"/>
          <w:tblCellMar>
            <w:top w:w="28" w:type="dxa"/>
            <w:bottom w:w="28" w:type="dxa"/>
          </w:tblCellMar>
          <w:tblLook w:val="04A0"/>
        </w:tblPrEx>
        <w:trPr>
          <w:gridAfter w:val="1"/>
          <w:wAfter w:w="7" w:type="dxa"/>
          <w:trHeight w:val="454"/>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Identifikujte, v ktorý</w:t>
            </w:r>
            <w:r w:rsidRPr="00A57582">
              <w:rPr>
                <w:rFonts w:ascii="Times New Roman" w:eastAsia="Calibri" w:hAnsi="Times New Roman" w:cs="Times New Roman" w:hint="default"/>
                <w:i/>
                <w:sz w:val="24"/>
                <w:szCs w:val="24"/>
              </w:rPr>
              <w:t>ch sektoroch a odvetviach ekonomiky, v ktorý</w:t>
            </w:r>
            <w:r w:rsidRPr="00A57582">
              <w:rPr>
                <w:rFonts w:ascii="Times New Roman" w:eastAsia="Calibri" w:hAnsi="Times New Roman" w:cs="Times New Roman" w:hint="default"/>
                <w:i/>
                <w:sz w:val="24"/>
                <w:szCs w:val="24"/>
              </w:rPr>
              <w:t>ch regió</w:t>
            </w:r>
            <w:r w:rsidRPr="00A57582">
              <w:rPr>
                <w:rFonts w:ascii="Times New Roman" w:eastAsia="Calibri" w:hAnsi="Times New Roman" w:cs="Times New Roman" w:hint="default"/>
                <w:i/>
                <w:sz w:val="24"/>
                <w:szCs w:val="24"/>
              </w:rPr>
              <w:t>noch, o aké</w:t>
            </w:r>
            <w:r w:rsidRPr="00A57582">
              <w:rPr>
                <w:rFonts w:ascii="Times New Roman" w:eastAsia="Calibri" w:hAnsi="Times New Roman" w:cs="Times New Roman" w:hint="default"/>
                <w:i/>
                <w:sz w:val="24"/>
                <w:szCs w:val="24"/>
              </w:rPr>
              <w:t xml:space="preserve"> typy zamestnania /pracovný</w:t>
            </w:r>
            <w:r w:rsidRPr="00A57582">
              <w:rPr>
                <w:rFonts w:ascii="Times New Roman" w:eastAsia="Calibri" w:hAnsi="Times New Roman" w:cs="Times New Roman" w:hint="default"/>
                <w:i/>
                <w:sz w:val="24"/>
                <w:szCs w:val="24"/>
              </w:rPr>
              <w:t>ch ú</w:t>
            </w:r>
            <w:r w:rsidRPr="00A57582">
              <w:rPr>
                <w:rFonts w:ascii="Times New Roman" w:eastAsia="Calibri" w:hAnsi="Times New Roman" w:cs="Times New Roman" w:hint="default"/>
                <w:i/>
                <w:sz w:val="24"/>
                <w:szCs w:val="24"/>
              </w:rPr>
              <w:t>vä</w:t>
            </w:r>
            <w:r w:rsidRPr="00A57582">
              <w:rPr>
                <w:rFonts w:ascii="Times New Roman" w:eastAsia="Calibri" w:hAnsi="Times New Roman" w:cs="Times New Roman" w:hint="default"/>
                <w:i/>
                <w:sz w:val="24"/>
                <w:szCs w:val="24"/>
              </w:rPr>
              <w:t>zkov pô</w:t>
            </w:r>
            <w:r w:rsidRPr="00A57582">
              <w:rPr>
                <w:rFonts w:ascii="Times New Roman" w:eastAsia="Calibri" w:hAnsi="Times New Roman" w:cs="Times New Roman" w:hint="default"/>
                <w:i/>
                <w:sz w:val="24"/>
                <w:szCs w:val="24"/>
              </w:rPr>
              <w:t>jde a pod. Identifikujte mož</w:t>
            </w:r>
            <w:r w:rsidRPr="00A57582">
              <w:rPr>
                <w:rFonts w:ascii="Times New Roman" w:eastAsia="Calibri" w:hAnsi="Times New Roman" w:cs="Times New Roman" w:hint="default"/>
                <w:i/>
                <w:sz w:val="24"/>
                <w:szCs w:val="24"/>
              </w:rPr>
              <w:t>né</w:t>
            </w:r>
            <w:r w:rsidRPr="00A57582">
              <w:rPr>
                <w:rFonts w:ascii="Times New Roman" w:eastAsia="Calibri" w:hAnsi="Times New Roman" w:cs="Times New Roman" w:hint="default"/>
                <w:i/>
                <w:sz w:val="24"/>
                <w:szCs w:val="24"/>
              </w:rPr>
              <w:t xml:space="preserve"> dô</w:t>
            </w:r>
            <w:r w:rsidRPr="00A57582">
              <w:rPr>
                <w:rFonts w:ascii="Times New Roman" w:eastAsia="Calibri" w:hAnsi="Times New Roman" w:cs="Times New Roman" w:hint="default"/>
                <w:i/>
                <w:sz w:val="24"/>
                <w:szCs w:val="24"/>
              </w:rPr>
              <w:t>sledky, skupiny zamestnancov, ktoré</w:t>
            </w:r>
            <w:r w:rsidRPr="00A57582">
              <w:rPr>
                <w:rFonts w:ascii="Times New Roman" w:eastAsia="Calibri" w:hAnsi="Times New Roman" w:cs="Times New Roman" w:hint="default"/>
                <w:i/>
                <w:sz w:val="24"/>
                <w:szCs w:val="24"/>
              </w:rPr>
              <w:t xml:space="preserve"> budú</w:t>
            </w:r>
            <w:r w:rsidRPr="00A57582">
              <w:rPr>
                <w:rFonts w:ascii="Times New Roman" w:eastAsia="Calibri" w:hAnsi="Times New Roman" w:cs="Times New Roman" w:hint="default"/>
                <w:i/>
                <w:sz w:val="24"/>
                <w:szCs w:val="24"/>
              </w:rPr>
              <w:t xml:space="preserve"> viac ovplyvnené</w:t>
            </w:r>
            <w:r w:rsidRPr="00A57582">
              <w:rPr>
                <w:rFonts w:ascii="Times New Roman" w:eastAsia="Calibri" w:hAnsi="Times New Roman" w:cs="Times New Roman" w:hint="default"/>
                <w:i/>
                <w:sz w:val="24"/>
                <w:szCs w:val="24"/>
              </w:rPr>
              <w:t xml:space="preserve"> a rozsah vplyvu.</w:t>
            </w:r>
          </w:p>
        </w:tc>
        <w:tc>
          <w:tcPr>
            <w:tcW w:w="3003"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r>
        <w:tblPrEx>
          <w:tblW w:w="5180" w:type="pct"/>
          <w:jc w:val="center"/>
          <w:tblCellMar>
            <w:top w:w="28" w:type="dxa"/>
            <w:bottom w:w="28" w:type="dxa"/>
          </w:tblCellMar>
          <w:tblLook w:val="04A0"/>
        </w:tblPrEx>
        <w:trPr>
          <w:gridAfter w:val="1"/>
          <w:wAfter w:w="7" w:type="dxa"/>
          <w:trHeight w:val="248"/>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hint="default"/>
                <w:i/>
                <w:sz w:val="24"/>
                <w:szCs w:val="24"/>
              </w:rPr>
              <w:t>Ovplyvň</w:t>
            </w:r>
            <w:r w:rsidRPr="00A57582">
              <w:rPr>
                <w:rFonts w:ascii="Times New Roman" w:eastAsia="Calibri" w:hAnsi="Times New Roman" w:cs="Times New Roman" w:hint="default"/>
                <w:i/>
                <w:sz w:val="24"/>
                <w:szCs w:val="24"/>
              </w:rPr>
              <w:t>uje ná</w:t>
            </w:r>
            <w:r w:rsidRPr="00A57582">
              <w:rPr>
                <w:rFonts w:ascii="Times New Roman" w:eastAsia="Calibri" w:hAnsi="Times New Roman" w:cs="Times New Roman" w:hint="default"/>
                <w:i/>
                <w:sz w:val="24"/>
                <w:szCs w:val="24"/>
              </w:rPr>
              <w:t>vrh dopyt po prá</w:t>
            </w:r>
            <w:r w:rsidRPr="00A57582">
              <w:rPr>
                <w:rFonts w:ascii="Times New Roman" w:eastAsia="Calibri" w:hAnsi="Times New Roman" w:cs="Times New Roman" w:hint="default"/>
                <w:i/>
                <w:sz w:val="24"/>
                <w:szCs w:val="24"/>
              </w:rPr>
              <w:t>ci?</w:t>
            </w:r>
            <w:r w:rsidRPr="00A57582">
              <w:rPr>
                <w:rFonts w:ascii="Times New Roman" w:eastAsia="Calibri" w:hAnsi="Times New Roman" w:cs="Times New Roman"/>
                <w:sz w:val="24"/>
                <w:szCs w:val="24"/>
              </w:rPr>
              <w:t xml:space="preserve"> </w:t>
            </w:r>
            <w:r w:rsidRPr="00A57582">
              <w:rPr>
                <w:rFonts w:ascii="Times New Roman" w:eastAsia="Calibri" w:hAnsi="Times New Roman" w:cs="Times New Roman" w:hint="default"/>
                <w:i/>
                <w:sz w:val="24"/>
                <w:szCs w:val="24"/>
              </w:rPr>
              <w:t>Ak á</w:t>
            </w:r>
            <w:r w:rsidRPr="00A57582">
              <w:rPr>
                <w:rFonts w:ascii="Times New Roman" w:eastAsia="Calibri" w:hAnsi="Times New Roman" w:cs="Times New Roman" w:hint="default"/>
                <w:i/>
                <w:sz w:val="24"/>
                <w:szCs w:val="24"/>
              </w:rPr>
              <w:t>no, ako?</w:t>
            </w:r>
          </w:p>
        </w:tc>
      </w:tr>
      <w:tr>
        <w:tblPrEx>
          <w:tblW w:w="5180" w:type="pct"/>
          <w:jc w:val="center"/>
          <w:tblCellMar>
            <w:top w:w="28" w:type="dxa"/>
            <w:bottom w:w="28" w:type="dxa"/>
          </w:tblCellMar>
          <w:tblLook w:val="04A0"/>
        </w:tblPrEx>
        <w:trPr>
          <w:gridAfter w:val="1"/>
          <w:wAfter w:w="7" w:type="dxa"/>
          <w:trHeight w:val="209"/>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Dopyt po prá</w:t>
            </w:r>
            <w:r w:rsidRPr="00A57582">
              <w:rPr>
                <w:rFonts w:ascii="Times New Roman" w:eastAsia="Calibri" w:hAnsi="Times New Roman" w:cs="Times New Roman" w:hint="default"/>
                <w:i/>
                <w:sz w:val="24"/>
                <w:szCs w:val="24"/>
              </w:rPr>
              <w:t>ci zá</w:t>
            </w:r>
            <w:r w:rsidRPr="00A57582">
              <w:rPr>
                <w:rFonts w:ascii="Times New Roman" w:eastAsia="Calibri" w:hAnsi="Times New Roman" w:cs="Times New Roman" w:hint="default"/>
                <w:i/>
                <w:sz w:val="24"/>
                <w:szCs w:val="24"/>
              </w:rPr>
              <w:t>visí</w:t>
            </w:r>
            <w:r w:rsidRPr="00A57582">
              <w:rPr>
                <w:rFonts w:ascii="Times New Roman" w:eastAsia="Calibri" w:hAnsi="Times New Roman" w:cs="Times New Roman" w:hint="default"/>
                <w:i/>
                <w:sz w:val="24"/>
                <w:szCs w:val="24"/>
              </w:rPr>
              <w:t xml:space="preserve"> na jednej strane na produkcii tovarov a služ</w:t>
            </w:r>
            <w:r w:rsidRPr="00A57582">
              <w:rPr>
                <w:rFonts w:ascii="Times New Roman" w:eastAsia="Calibri" w:hAnsi="Times New Roman" w:cs="Times New Roman" w:hint="default"/>
                <w:i/>
                <w:sz w:val="24"/>
                <w:szCs w:val="24"/>
              </w:rPr>
              <w:t>ieb v ekonomike a na druhej strane na cene prá</w:t>
            </w:r>
            <w:r w:rsidRPr="00A57582">
              <w:rPr>
                <w:rFonts w:ascii="Times New Roman" w:eastAsia="Calibri" w:hAnsi="Times New Roman" w:cs="Times New Roman" w:hint="default"/>
                <w:i/>
                <w:sz w:val="24"/>
                <w:szCs w:val="24"/>
              </w:rPr>
              <w:t>ce.</w:t>
            </w:r>
          </w:p>
        </w:tc>
        <w:tc>
          <w:tcPr>
            <w:tcW w:w="3003"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r>
        <w:tblPrEx>
          <w:tblW w:w="5180" w:type="pct"/>
          <w:jc w:val="center"/>
          <w:tblCellMar>
            <w:top w:w="28" w:type="dxa"/>
            <w:bottom w:w="28" w:type="dxa"/>
          </w:tblCellMar>
          <w:tblLook w:val="04A0"/>
        </w:tblPrEx>
        <w:trPr>
          <w:gridAfter w:val="1"/>
          <w:wAfter w:w="7" w:type="dxa"/>
          <w:trHeight w:val="208"/>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hint="default"/>
                <w:i/>
                <w:sz w:val="24"/>
                <w:szCs w:val="24"/>
              </w:rPr>
              <w:t>Má</w:t>
            </w:r>
            <w:r w:rsidRPr="00A57582">
              <w:rPr>
                <w:rFonts w:ascii="Times New Roman" w:eastAsia="Calibri" w:hAnsi="Times New Roman" w:cs="Times New Roman" w:hint="default"/>
                <w:i/>
                <w:sz w:val="24"/>
                <w:szCs w:val="24"/>
              </w:rPr>
              <w:t xml:space="preserve"> ná</w:t>
            </w:r>
            <w:r w:rsidRPr="00A57582">
              <w:rPr>
                <w:rFonts w:ascii="Times New Roman" w:eastAsia="Calibri" w:hAnsi="Times New Roman" w:cs="Times New Roman" w:hint="default"/>
                <w:i/>
                <w:sz w:val="24"/>
                <w:szCs w:val="24"/>
              </w:rPr>
              <w:t>vrh dosah na fungovanie trhu prá</w:t>
            </w:r>
            <w:r w:rsidRPr="00A57582">
              <w:rPr>
                <w:rFonts w:ascii="Times New Roman" w:eastAsia="Calibri" w:hAnsi="Times New Roman" w:cs="Times New Roman" w:hint="default"/>
                <w:i/>
                <w:sz w:val="24"/>
                <w:szCs w:val="24"/>
              </w:rPr>
              <w:t>ce?</w:t>
            </w:r>
            <w:r w:rsidRPr="00A57582">
              <w:rPr>
                <w:rFonts w:ascii="Times New Roman" w:eastAsia="Calibri" w:hAnsi="Times New Roman" w:cs="Times New Roman"/>
                <w:sz w:val="24"/>
                <w:szCs w:val="24"/>
              </w:rPr>
              <w:t xml:space="preserve"> </w:t>
            </w:r>
            <w:r w:rsidRPr="00A57582">
              <w:rPr>
                <w:rFonts w:ascii="Times New Roman" w:eastAsia="Calibri" w:hAnsi="Times New Roman" w:cs="Times New Roman" w:hint="default"/>
                <w:i/>
                <w:sz w:val="24"/>
                <w:szCs w:val="24"/>
              </w:rPr>
              <w:t>Ak á</w:t>
            </w:r>
            <w:r w:rsidRPr="00A57582">
              <w:rPr>
                <w:rFonts w:ascii="Times New Roman" w:eastAsia="Calibri" w:hAnsi="Times New Roman" w:cs="Times New Roman" w:hint="default"/>
                <w:i/>
                <w:sz w:val="24"/>
                <w:szCs w:val="24"/>
              </w:rPr>
              <w:t>no, aký</w:t>
            </w:r>
            <w:r w:rsidRPr="00A57582">
              <w:rPr>
                <w:rFonts w:ascii="Times New Roman" w:eastAsia="Calibri" w:hAnsi="Times New Roman" w:cs="Times New Roman" w:hint="default"/>
                <w:i/>
                <w:sz w:val="24"/>
                <w:szCs w:val="24"/>
              </w:rPr>
              <w:t>?</w:t>
            </w:r>
          </w:p>
        </w:tc>
      </w:tr>
      <w:tr>
        <w:tblPrEx>
          <w:tblW w:w="5180" w:type="pct"/>
          <w:jc w:val="center"/>
          <w:tblCellMar>
            <w:top w:w="28" w:type="dxa"/>
            <w:bottom w:w="28" w:type="dxa"/>
          </w:tblCellMar>
          <w:tblLook w:val="04A0"/>
        </w:tblPrEx>
        <w:trPr>
          <w:gridAfter w:val="1"/>
          <w:wAfter w:w="7" w:type="dxa"/>
          <w:trHeight w:val="794"/>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Tý</w:t>
            </w:r>
            <w:r w:rsidRPr="00A57582">
              <w:rPr>
                <w:rFonts w:ascii="Times New Roman" w:eastAsia="Calibri" w:hAnsi="Times New Roman" w:cs="Times New Roman" w:hint="default"/>
                <w:i/>
                <w:sz w:val="24"/>
                <w:szCs w:val="24"/>
              </w:rPr>
              <w:t xml:space="preserve">ka sa </w:t>
            </w:r>
            <w:r w:rsidRPr="00A57582">
              <w:rPr>
                <w:rFonts w:ascii="Times New Roman" w:eastAsia="Calibri" w:hAnsi="Times New Roman" w:cs="Times New Roman" w:hint="default"/>
                <w:i/>
                <w:sz w:val="24"/>
                <w:szCs w:val="24"/>
              </w:rPr>
              <w:t>makroekonomický</w:t>
            </w:r>
            <w:r w:rsidRPr="00A57582">
              <w:rPr>
                <w:rFonts w:ascii="Times New Roman" w:eastAsia="Calibri" w:hAnsi="Times New Roman" w:cs="Times New Roman" w:hint="default"/>
                <w:i/>
                <w:sz w:val="24"/>
                <w:szCs w:val="24"/>
              </w:rPr>
              <w:t>ch dosahov ako je napr. participá</w:t>
            </w:r>
            <w:r w:rsidRPr="00A57582">
              <w:rPr>
                <w:rFonts w:ascii="Times New Roman" w:eastAsia="Calibri" w:hAnsi="Times New Roman" w:cs="Times New Roman" w:hint="default"/>
                <w:i/>
                <w:sz w:val="24"/>
                <w:szCs w:val="24"/>
              </w:rPr>
              <w:t>cia na trhu prá</w:t>
            </w:r>
            <w:r w:rsidRPr="00A57582">
              <w:rPr>
                <w:rFonts w:ascii="Times New Roman" w:eastAsia="Calibri" w:hAnsi="Times New Roman" w:cs="Times New Roman" w:hint="default"/>
                <w:i/>
                <w:sz w:val="24"/>
                <w:szCs w:val="24"/>
              </w:rPr>
              <w:t>ce, dlhodobá</w:t>
            </w:r>
            <w:r w:rsidRPr="00A57582">
              <w:rPr>
                <w:rFonts w:ascii="Times New Roman" w:eastAsia="Calibri" w:hAnsi="Times New Roman" w:cs="Times New Roman" w:hint="default"/>
                <w:i/>
                <w:sz w:val="24"/>
                <w:szCs w:val="24"/>
              </w:rPr>
              <w:t xml:space="preserve"> nezamestnanosť</w:t>
            </w:r>
            <w:r w:rsidRPr="00A57582">
              <w:rPr>
                <w:rFonts w:ascii="Times New Roman" w:eastAsia="Calibri" w:hAnsi="Times New Roman" w:cs="Times New Roman" w:hint="default"/>
                <w:i/>
                <w:sz w:val="24"/>
                <w:szCs w:val="24"/>
              </w:rPr>
              <w:t>, regioná</w:t>
            </w:r>
            <w:r w:rsidRPr="00A57582">
              <w:rPr>
                <w:rFonts w:ascii="Times New Roman" w:eastAsia="Calibri" w:hAnsi="Times New Roman" w:cs="Times New Roman" w:hint="default"/>
                <w:i/>
                <w:sz w:val="24"/>
                <w:szCs w:val="24"/>
              </w:rPr>
              <w:t>lne rozdiely v mierach zamestnanosti.</w:t>
            </w:r>
            <w:r w:rsidRPr="00A57582">
              <w:rPr>
                <w:rFonts w:ascii="Times New Roman" w:eastAsia="Calibri" w:hAnsi="Times New Roman" w:cs="Times New Roman"/>
                <w:sz w:val="24"/>
                <w:szCs w:val="24"/>
              </w:rPr>
              <w:t xml:space="preserve"> </w:t>
            </w:r>
            <w:r w:rsidRPr="00A57582">
              <w:rPr>
                <w:rFonts w:ascii="Times New Roman" w:eastAsia="Calibri" w:hAnsi="Times New Roman" w:cs="Times New Roman" w:hint="default"/>
                <w:i/>
                <w:sz w:val="24"/>
                <w:szCs w:val="24"/>
              </w:rPr>
              <w:t>Ponuka prá</w:t>
            </w:r>
            <w:r w:rsidRPr="00A57582">
              <w:rPr>
                <w:rFonts w:ascii="Times New Roman" w:eastAsia="Calibri" w:hAnsi="Times New Roman" w:cs="Times New Roman" w:hint="default"/>
                <w:i/>
                <w:sz w:val="24"/>
                <w:szCs w:val="24"/>
              </w:rPr>
              <w:t>ce môž</w:t>
            </w:r>
            <w:r w:rsidRPr="00A57582">
              <w:rPr>
                <w:rFonts w:ascii="Times New Roman" w:eastAsia="Calibri" w:hAnsi="Times New Roman" w:cs="Times New Roman" w:hint="default"/>
                <w:i/>
                <w:sz w:val="24"/>
                <w:szCs w:val="24"/>
              </w:rPr>
              <w:t>e byť</w:t>
            </w:r>
            <w:r w:rsidRPr="00A57582">
              <w:rPr>
                <w:rFonts w:ascii="Times New Roman" w:eastAsia="Calibri" w:hAnsi="Times New Roman" w:cs="Times New Roman" w:hint="default"/>
                <w:i/>
                <w:sz w:val="24"/>
                <w:szCs w:val="24"/>
              </w:rPr>
              <w:t xml:space="preserve"> ovplyvnená</w:t>
            </w:r>
            <w:r w:rsidRPr="00A57582">
              <w:rPr>
                <w:rFonts w:ascii="Times New Roman" w:eastAsia="Calibri" w:hAnsi="Times New Roman" w:cs="Times New Roman" w:hint="default"/>
                <w:i/>
                <w:sz w:val="24"/>
                <w:szCs w:val="24"/>
              </w:rPr>
              <w:t xml:space="preserve"> rô</w:t>
            </w:r>
            <w:r w:rsidRPr="00A57582">
              <w:rPr>
                <w:rFonts w:ascii="Times New Roman" w:eastAsia="Calibri" w:hAnsi="Times New Roman" w:cs="Times New Roman" w:hint="default"/>
                <w:i/>
                <w:sz w:val="24"/>
                <w:szCs w:val="24"/>
              </w:rPr>
              <w:t>znymi premenný</w:t>
            </w:r>
            <w:r w:rsidRPr="00A57582">
              <w:rPr>
                <w:rFonts w:ascii="Times New Roman" w:eastAsia="Calibri" w:hAnsi="Times New Roman" w:cs="Times New Roman" w:hint="default"/>
                <w:i/>
                <w:sz w:val="24"/>
                <w:szCs w:val="24"/>
              </w:rPr>
              <w:t>mi napr. ú</w:t>
            </w:r>
            <w:r w:rsidRPr="00A57582">
              <w:rPr>
                <w:rFonts w:ascii="Times New Roman" w:eastAsia="Calibri" w:hAnsi="Times New Roman" w:cs="Times New Roman" w:hint="default"/>
                <w:i/>
                <w:sz w:val="24"/>
                <w:szCs w:val="24"/>
              </w:rPr>
              <w:t>rovň</w:t>
            </w:r>
            <w:r w:rsidRPr="00A57582">
              <w:rPr>
                <w:rFonts w:ascii="Times New Roman" w:eastAsia="Calibri" w:hAnsi="Times New Roman" w:cs="Times New Roman" w:hint="default"/>
                <w:i/>
                <w:sz w:val="24"/>
                <w:szCs w:val="24"/>
              </w:rPr>
              <w:t>ou miezd, inš</w:t>
            </w:r>
            <w:r w:rsidRPr="00A57582">
              <w:rPr>
                <w:rFonts w:ascii="Times New Roman" w:eastAsia="Calibri" w:hAnsi="Times New Roman" w:cs="Times New Roman" w:hint="default"/>
                <w:i/>
                <w:sz w:val="24"/>
                <w:szCs w:val="24"/>
              </w:rPr>
              <w:t>titucioná</w:t>
            </w:r>
            <w:r w:rsidRPr="00A57582">
              <w:rPr>
                <w:rFonts w:ascii="Times New Roman" w:eastAsia="Calibri" w:hAnsi="Times New Roman" w:cs="Times New Roman" w:hint="default"/>
                <w:i/>
                <w:sz w:val="24"/>
                <w:szCs w:val="24"/>
              </w:rPr>
              <w:t>lnym nastavení</w:t>
            </w:r>
            <w:r w:rsidRPr="00A57582">
              <w:rPr>
                <w:rFonts w:ascii="Times New Roman" w:eastAsia="Calibri" w:hAnsi="Times New Roman" w:cs="Times New Roman" w:hint="default"/>
                <w:i/>
                <w:sz w:val="24"/>
                <w:szCs w:val="24"/>
              </w:rPr>
              <w:t>m (napr.  zosú</w:t>
            </w:r>
            <w:r w:rsidRPr="00A57582">
              <w:rPr>
                <w:rFonts w:ascii="Times New Roman" w:eastAsia="Calibri" w:hAnsi="Times New Roman" w:cs="Times New Roman" w:hint="default"/>
                <w:i/>
                <w:sz w:val="24"/>
                <w:szCs w:val="24"/>
              </w:rPr>
              <w:t>ladeni</w:t>
            </w:r>
            <w:r w:rsidRPr="00A57582">
              <w:rPr>
                <w:rFonts w:ascii="Times New Roman" w:eastAsia="Calibri" w:hAnsi="Times New Roman" w:cs="Times New Roman" w:hint="default"/>
                <w:i/>
                <w:sz w:val="24"/>
                <w:szCs w:val="24"/>
              </w:rPr>
              <w:t>e pracovné</w:t>
            </w:r>
            <w:r w:rsidRPr="00A57582">
              <w:rPr>
                <w:rFonts w:ascii="Times New Roman" w:eastAsia="Calibri" w:hAnsi="Times New Roman" w:cs="Times New Roman" w:hint="default"/>
                <w:i/>
                <w:sz w:val="24"/>
                <w:szCs w:val="24"/>
              </w:rPr>
              <w:t>ho a sú</w:t>
            </w:r>
            <w:r w:rsidRPr="00A57582">
              <w:rPr>
                <w:rFonts w:ascii="Times New Roman" w:eastAsia="Calibri" w:hAnsi="Times New Roman" w:cs="Times New Roman" w:hint="default"/>
                <w:i/>
                <w:sz w:val="24"/>
                <w:szCs w:val="24"/>
              </w:rPr>
              <w:t>kromné</w:t>
            </w:r>
            <w:r w:rsidRPr="00A57582">
              <w:rPr>
                <w:rFonts w:ascii="Times New Roman" w:eastAsia="Calibri" w:hAnsi="Times New Roman" w:cs="Times New Roman" w:hint="default"/>
                <w:i/>
                <w:sz w:val="24"/>
                <w:szCs w:val="24"/>
              </w:rPr>
              <w:t>ho ž</w:t>
            </w:r>
            <w:r w:rsidRPr="00A57582">
              <w:rPr>
                <w:rFonts w:ascii="Times New Roman" w:eastAsia="Calibri" w:hAnsi="Times New Roman" w:cs="Times New Roman" w:hint="default"/>
                <w:i/>
                <w:sz w:val="24"/>
                <w:szCs w:val="24"/>
              </w:rPr>
              <w:t>ivota alebo uľ</w:t>
            </w:r>
            <w:r w:rsidRPr="00A57582">
              <w:rPr>
                <w:rFonts w:ascii="Times New Roman" w:eastAsia="Calibri" w:hAnsi="Times New Roman" w:cs="Times New Roman" w:hint="default"/>
                <w:i/>
                <w:sz w:val="24"/>
                <w:szCs w:val="24"/>
              </w:rPr>
              <w:t>ahč</w:t>
            </w:r>
            <w:r w:rsidRPr="00A57582">
              <w:rPr>
                <w:rFonts w:ascii="Times New Roman" w:eastAsia="Calibri" w:hAnsi="Times New Roman" w:cs="Times New Roman" w:hint="default"/>
                <w:i/>
                <w:sz w:val="24"/>
                <w:szCs w:val="24"/>
              </w:rPr>
              <w:t>ovanie rô</w:t>
            </w:r>
            <w:r w:rsidRPr="00A57582">
              <w:rPr>
                <w:rFonts w:ascii="Times New Roman" w:eastAsia="Calibri" w:hAnsi="Times New Roman" w:cs="Times New Roman" w:hint="default"/>
                <w:i/>
                <w:sz w:val="24"/>
                <w:szCs w:val="24"/>
              </w:rPr>
              <w:t>znych foriem mobility).</w:t>
            </w:r>
          </w:p>
        </w:tc>
        <w:tc>
          <w:tcPr>
            <w:tcW w:w="3003"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r>
        <w:tblPrEx>
          <w:tblW w:w="5180" w:type="pct"/>
          <w:jc w:val="center"/>
          <w:tblCellMar>
            <w:top w:w="28" w:type="dxa"/>
            <w:bottom w:w="28" w:type="dxa"/>
          </w:tblCellMar>
          <w:tblLook w:val="04A0"/>
        </w:tblPrEx>
        <w:trPr>
          <w:gridAfter w:val="1"/>
          <w:wAfter w:w="7" w:type="dxa"/>
          <w:trHeight w:val="324"/>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hint="default"/>
                <w:i/>
                <w:sz w:val="24"/>
                <w:szCs w:val="24"/>
              </w:rPr>
              <w:t>Má</w:t>
            </w:r>
            <w:r w:rsidRPr="00A57582">
              <w:rPr>
                <w:rFonts w:ascii="Times New Roman" w:eastAsia="Calibri" w:hAnsi="Times New Roman" w:cs="Times New Roman" w:hint="default"/>
                <w:i/>
                <w:sz w:val="24"/>
                <w:szCs w:val="24"/>
              </w:rPr>
              <w:t xml:space="preserve"> ná</w:t>
            </w:r>
            <w:r w:rsidRPr="00A57582">
              <w:rPr>
                <w:rFonts w:ascii="Times New Roman" w:eastAsia="Calibri" w:hAnsi="Times New Roman" w:cs="Times New Roman" w:hint="default"/>
                <w:i/>
                <w:sz w:val="24"/>
                <w:szCs w:val="24"/>
              </w:rPr>
              <w:t>vrh š</w:t>
            </w:r>
            <w:r w:rsidRPr="00A57582">
              <w:rPr>
                <w:rFonts w:ascii="Times New Roman" w:eastAsia="Calibri" w:hAnsi="Times New Roman" w:cs="Times New Roman" w:hint="default"/>
                <w:i/>
                <w:sz w:val="24"/>
                <w:szCs w:val="24"/>
              </w:rPr>
              <w:t>pecifické</w:t>
            </w:r>
            <w:r w:rsidRPr="00A57582">
              <w:rPr>
                <w:rFonts w:ascii="Times New Roman" w:eastAsia="Calibri" w:hAnsi="Times New Roman" w:cs="Times New Roman" w:hint="default"/>
                <w:i/>
                <w:sz w:val="24"/>
                <w:szCs w:val="24"/>
              </w:rPr>
              <w:t xml:space="preserve"> negatí</w:t>
            </w:r>
            <w:r w:rsidRPr="00A57582">
              <w:rPr>
                <w:rFonts w:ascii="Times New Roman" w:eastAsia="Calibri" w:hAnsi="Times New Roman" w:cs="Times New Roman" w:hint="default"/>
                <w:i/>
                <w:sz w:val="24"/>
                <w:szCs w:val="24"/>
              </w:rPr>
              <w:t>vne dô</w:t>
            </w:r>
            <w:r w:rsidRPr="00A57582">
              <w:rPr>
                <w:rFonts w:ascii="Times New Roman" w:eastAsia="Calibri" w:hAnsi="Times New Roman" w:cs="Times New Roman" w:hint="default"/>
                <w:i/>
                <w:sz w:val="24"/>
                <w:szCs w:val="24"/>
              </w:rPr>
              <w:t>sledky pre isté</w:t>
            </w:r>
            <w:r w:rsidRPr="00A57582">
              <w:rPr>
                <w:rFonts w:ascii="Times New Roman" w:eastAsia="Calibri" w:hAnsi="Times New Roman" w:cs="Times New Roman" w:hint="default"/>
                <w:i/>
                <w:sz w:val="24"/>
                <w:szCs w:val="24"/>
              </w:rPr>
              <w:t xml:space="preserve"> skupiny profesií</w:t>
            </w:r>
            <w:r w:rsidRPr="00A57582">
              <w:rPr>
                <w:rFonts w:ascii="Times New Roman" w:eastAsia="Calibri" w:hAnsi="Times New Roman" w:cs="Times New Roman" w:hint="default"/>
                <w:i/>
                <w:sz w:val="24"/>
                <w:szCs w:val="24"/>
              </w:rPr>
              <w:t>, skupí</w:t>
            </w:r>
            <w:r w:rsidRPr="00A57582">
              <w:rPr>
                <w:rFonts w:ascii="Times New Roman" w:eastAsia="Calibri" w:hAnsi="Times New Roman" w:cs="Times New Roman" w:hint="default"/>
                <w:i/>
                <w:sz w:val="24"/>
                <w:szCs w:val="24"/>
              </w:rPr>
              <w:t>n zamestnancov č</w:t>
            </w:r>
            <w:r w:rsidRPr="00A57582">
              <w:rPr>
                <w:rFonts w:ascii="Times New Roman" w:eastAsia="Calibri" w:hAnsi="Times New Roman" w:cs="Times New Roman" w:hint="default"/>
                <w:i/>
                <w:sz w:val="24"/>
                <w:szCs w:val="24"/>
              </w:rPr>
              <w:t>i ž</w:t>
            </w:r>
            <w:r w:rsidRPr="00A57582">
              <w:rPr>
                <w:rFonts w:ascii="Times New Roman" w:eastAsia="Calibri" w:hAnsi="Times New Roman" w:cs="Times New Roman" w:hint="default"/>
                <w:i/>
                <w:sz w:val="24"/>
                <w:szCs w:val="24"/>
              </w:rPr>
              <w:t>ivnostní</w:t>
            </w:r>
            <w:r w:rsidRPr="00A57582">
              <w:rPr>
                <w:rFonts w:ascii="Times New Roman" w:eastAsia="Calibri" w:hAnsi="Times New Roman" w:cs="Times New Roman" w:hint="default"/>
                <w:i/>
                <w:sz w:val="24"/>
                <w:szCs w:val="24"/>
              </w:rPr>
              <w:t>kov?</w:t>
            </w:r>
            <w:r w:rsidRPr="00A57582">
              <w:rPr>
                <w:rFonts w:ascii="Times New Roman" w:eastAsia="Calibri" w:hAnsi="Times New Roman" w:cs="Times New Roman"/>
                <w:sz w:val="24"/>
                <w:szCs w:val="24"/>
              </w:rPr>
              <w:t xml:space="preserve"> </w:t>
            </w:r>
            <w:r w:rsidRPr="00A57582">
              <w:rPr>
                <w:rFonts w:ascii="Times New Roman" w:eastAsia="Calibri" w:hAnsi="Times New Roman" w:cs="Times New Roman" w:hint="default"/>
                <w:i/>
                <w:sz w:val="24"/>
                <w:szCs w:val="24"/>
              </w:rPr>
              <w:t>Ak á</w:t>
            </w:r>
            <w:r w:rsidRPr="00A57582">
              <w:rPr>
                <w:rFonts w:ascii="Times New Roman" w:eastAsia="Calibri" w:hAnsi="Times New Roman" w:cs="Times New Roman" w:hint="default"/>
                <w:i/>
                <w:sz w:val="24"/>
                <w:szCs w:val="24"/>
              </w:rPr>
              <w:t>no, aké</w:t>
            </w:r>
            <w:r w:rsidRPr="00A57582">
              <w:rPr>
                <w:rFonts w:ascii="Times New Roman" w:eastAsia="Calibri" w:hAnsi="Times New Roman" w:cs="Times New Roman" w:hint="default"/>
                <w:i/>
                <w:sz w:val="24"/>
                <w:szCs w:val="24"/>
              </w:rPr>
              <w:t xml:space="preserve"> a </w:t>
            </w:r>
            <w:r w:rsidRPr="00A57582">
              <w:rPr>
                <w:rFonts w:ascii="Times New Roman" w:eastAsia="Calibri" w:hAnsi="Times New Roman" w:cs="Times New Roman" w:hint="default"/>
                <w:i/>
                <w:sz w:val="24"/>
                <w:szCs w:val="24"/>
              </w:rPr>
              <w:t>pre ktoré</w:t>
            </w:r>
            <w:r w:rsidRPr="00A57582">
              <w:rPr>
                <w:rFonts w:ascii="Times New Roman" w:eastAsia="Calibri" w:hAnsi="Times New Roman" w:cs="Times New Roman" w:hint="default"/>
                <w:i/>
                <w:sz w:val="24"/>
                <w:szCs w:val="24"/>
              </w:rPr>
              <w:t xml:space="preserve"> skupiny?</w:t>
            </w:r>
          </w:p>
        </w:tc>
      </w:tr>
      <w:tr>
        <w:tblPrEx>
          <w:tblW w:w="5180" w:type="pct"/>
          <w:jc w:val="center"/>
          <w:tblCellMar>
            <w:top w:w="28" w:type="dxa"/>
            <w:bottom w:w="28" w:type="dxa"/>
          </w:tblCellMar>
          <w:tblLook w:val="04A0"/>
        </w:tblPrEx>
        <w:trPr>
          <w:gridAfter w:val="1"/>
          <w:wAfter w:w="7" w:type="dxa"/>
          <w:trHeight w:val="216"/>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Ná</w:t>
            </w:r>
            <w:r w:rsidRPr="00A57582">
              <w:rPr>
                <w:rFonts w:ascii="Times New Roman" w:eastAsia="Calibri" w:hAnsi="Times New Roman" w:cs="Times New Roman" w:hint="default"/>
                <w:i/>
                <w:sz w:val="24"/>
                <w:szCs w:val="24"/>
              </w:rPr>
              <w:t>vrh môž</w:t>
            </w:r>
            <w:r w:rsidRPr="00A57582">
              <w:rPr>
                <w:rFonts w:ascii="Times New Roman" w:eastAsia="Calibri" w:hAnsi="Times New Roman" w:cs="Times New Roman" w:hint="default"/>
                <w:i/>
                <w:sz w:val="24"/>
                <w:szCs w:val="24"/>
              </w:rPr>
              <w:t>e ohrozovať</w:t>
            </w:r>
            <w:r w:rsidRPr="00A57582">
              <w:rPr>
                <w:rFonts w:ascii="Times New Roman" w:eastAsia="Calibri" w:hAnsi="Times New Roman" w:cs="Times New Roman" w:hint="default"/>
                <w:i/>
                <w:sz w:val="24"/>
                <w:szCs w:val="24"/>
              </w:rPr>
              <w:t xml:space="preserve"> napr. </w:t>
            </w:r>
            <w:r w:rsidRPr="00A57582">
              <w:rPr>
                <w:rFonts w:ascii="Times New Roman" w:eastAsia="Calibri" w:hAnsi="Times New Roman" w:cs="Times New Roman" w:hint="default"/>
                <w:i/>
                <w:sz w:val="24"/>
                <w:szCs w:val="24"/>
              </w:rPr>
              <w:t>pracovní</w:t>
            </w:r>
            <w:r w:rsidRPr="00A57582">
              <w:rPr>
                <w:rFonts w:ascii="Times New Roman" w:eastAsia="Calibri" w:hAnsi="Times New Roman" w:cs="Times New Roman" w:hint="default"/>
                <w:i/>
                <w:sz w:val="24"/>
                <w:szCs w:val="24"/>
              </w:rPr>
              <w:t>kov istý</w:t>
            </w:r>
            <w:r w:rsidRPr="00A57582">
              <w:rPr>
                <w:rFonts w:ascii="Times New Roman" w:eastAsia="Calibri" w:hAnsi="Times New Roman" w:cs="Times New Roman" w:hint="default"/>
                <w:i/>
                <w:sz w:val="24"/>
                <w:szCs w:val="24"/>
              </w:rPr>
              <w:t>ch profesií</w:t>
            </w:r>
            <w:r w:rsidRPr="00A57582">
              <w:rPr>
                <w:rFonts w:ascii="Times New Roman" w:eastAsia="Calibri" w:hAnsi="Times New Roman" w:cs="Times New Roman" w:hint="default"/>
                <w:i/>
                <w:sz w:val="24"/>
                <w:szCs w:val="24"/>
              </w:rPr>
              <w:t xml:space="preserve"> favorizovaní</w:t>
            </w:r>
            <w:r w:rsidRPr="00A57582">
              <w:rPr>
                <w:rFonts w:ascii="Times New Roman" w:eastAsia="Calibri" w:hAnsi="Times New Roman" w:cs="Times New Roman" w:hint="default"/>
                <w:i/>
                <w:sz w:val="24"/>
                <w:szCs w:val="24"/>
              </w:rPr>
              <w:t>m š</w:t>
            </w:r>
            <w:r w:rsidRPr="00A57582">
              <w:rPr>
                <w:rFonts w:ascii="Times New Roman" w:eastAsia="Calibri" w:hAnsi="Times New Roman" w:cs="Times New Roman" w:hint="default"/>
                <w:i/>
                <w:sz w:val="24"/>
                <w:szCs w:val="24"/>
              </w:rPr>
              <w:t>pecifický</w:t>
            </w:r>
            <w:r w:rsidRPr="00A57582">
              <w:rPr>
                <w:rFonts w:ascii="Times New Roman" w:eastAsia="Calibri" w:hAnsi="Times New Roman" w:cs="Times New Roman" w:hint="default"/>
                <w:i/>
                <w:sz w:val="24"/>
                <w:szCs w:val="24"/>
              </w:rPr>
              <w:t>ch aktiví</w:t>
            </w:r>
            <w:r w:rsidRPr="00A57582">
              <w:rPr>
                <w:rFonts w:ascii="Times New Roman" w:eastAsia="Calibri" w:hAnsi="Times New Roman" w:cs="Times New Roman" w:hint="default"/>
                <w:i/>
                <w:sz w:val="24"/>
                <w:szCs w:val="24"/>
              </w:rPr>
              <w:t>t č</w:t>
            </w:r>
            <w:r w:rsidRPr="00A57582">
              <w:rPr>
                <w:rFonts w:ascii="Times New Roman" w:eastAsia="Calibri" w:hAnsi="Times New Roman" w:cs="Times New Roman" w:hint="default"/>
                <w:i/>
                <w:sz w:val="24"/>
                <w:szCs w:val="24"/>
              </w:rPr>
              <w:t>i technoló</w:t>
            </w:r>
            <w:r w:rsidRPr="00A57582">
              <w:rPr>
                <w:rFonts w:ascii="Times New Roman" w:eastAsia="Calibri" w:hAnsi="Times New Roman" w:cs="Times New Roman" w:hint="default"/>
                <w:i/>
                <w:sz w:val="24"/>
                <w:szCs w:val="24"/>
              </w:rPr>
              <w:t>gií.</w:t>
            </w:r>
          </w:p>
        </w:tc>
        <w:tc>
          <w:tcPr>
            <w:tcW w:w="3003"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r>
        <w:tblPrEx>
          <w:tblW w:w="5180" w:type="pct"/>
          <w:jc w:val="center"/>
          <w:tblCellMar>
            <w:top w:w="28" w:type="dxa"/>
            <w:bottom w:w="28" w:type="dxa"/>
          </w:tblCellMar>
          <w:tblLook w:val="04A0"/>
        </w:tblPrEx>
        <w:trPr>
          <w:gridAfter w:val="1"/>
          <w:wAfter w:w="7" w:type="dxa"/>
          <w:trHeight w:val="219"/>
          <w:jc w:val="center"/>
        </w:trPr>
        <w:tc>
          <w:tcPr>
            <w:tcW w:w="4993"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hint="default"/>
                <w:i/>
                <w:sz w:val="24"/>
                <w:szCs w:val="24"/>
              </w:rPr>
              <w:t>Ovplyvň</w:t>
            </w:r>
            <w:r w:rsidRPr="00A57582">
              <w:rPr>
                <w:rFonts w:ascii="Times New Roman" w:eastAsia="Calibri" w:hAnsi="Times New Roman" w:cs="Times New Roman" w:hint="default"/>
                <w:i/>
                <w:sz w:val="24"/>
                <w:szCs w:val="24"/>
              </w:rPr>
              <w:t>uje ná</w:t>
            </w:r>
            <w:r w:rsidRPr="00A57582">
              <w:rPr>
                <w:rFonts w:ascii="Times New Roman" w:eastAsia="Calibri" w:hAnsi="Times New Roman" w:cs="Times New Roman" w:hint="default"/>
                <w:i/>
                <w:sz w:val="24"/>
                <w:szCs w:val="24"/>
              </w:rPr>
              <w:t>vrh š</w:t>
            </w:r>
            <w:r w:rsidRPr="00A57582">
              <w:rPr>
                <w:rFonts w:ascii="Times New Roman" w:eastAsia="Calibri" w:hAnsi="Times New Roman" w:cs="Times New Roman" w:hint="default"/>
                <w:i/>
                <w:sz w:val="24"/>
                <w:szCs w:val="24"/>
              </w:rPr>
              <w:t>pecifické</w:t>
            </w:r>
            <w:r w:rsidRPr="00A57582">
              <w:rPr>
                <w:rFonts w:ascii="Times New Roman" w:eastAsia="Calibri" w:hAnsi="Times New Roman" w:cs="Times New Roman" w:hint="default"/>
                <w:i/>
                <w:sz w:val="24"/>
                <w:szCs w:val="24"/>
              </w:rPr>
              <w:t xml:space="preserve"> vekové</w:t>
            </w:r>
            <w:r w:rsidRPr="00A57582">
              <w:rPr>
                <w:rFonts w:ascii="Times New Roman" w:eastAsia="Calibri" w:hAnsi="Times New Roman" w:cs="Times New Roman" w:hint="default"/>
                <w:i/>
                <w:sz w:val="24"/>
                <w:szCs w:val="24"/>
              </w:rPr>
              <w:t xml:space="preserve"> skupiny zamestnancov? Ak á</w:t>
            </w:r>
            <w:r w:rsidRPr="00A57582">
              <w:rPr>
                <w:rFonts w:ascii="Times New Roman" w:eastAsia="Calibri" w:hAnsi="Times New Roman" w:cs="Times New Roman" w:hint="default"/>
                <w:i/>
                <w:sz w:val="24"/>
                <w:szCs w:val="24"/>
              </w:rPr>
              <w:t>no, aké</w:t>
            </w:r>
            <w:r w:rsidRPr="00A57582">
              <w:rPr>
                <w:rFonts w:ascii="Times New Roman" w:eastAsia="Calibri" w:hAnsi="Times New Roman" w:cs="Times New Roman" w:hint="default"/>
                <w:i/>
                <w:sz w:val="24"/>
                <w:szCs w:val="24"/>
              </w:rPr>
              <w:t>? Aký</w:t>
            </w:r>
            <w:r w:rsidRPr="00A57582">
              <w:rPr>
                <w:rFonts w:ascii="Times New Roman" w:eastAsia="Calibri" w:hAnsi="Times New Roman" w:cs="Times New Roman" w:hint="default"/>
                <w:i/>
                <w:sz w:val="24"/>
                <w:szCs w:val="24"/>
              </w:rPr>
              <w:t>m spô</w:t>
            </w:r>
            <w:r w:rsidRPr="00A57582">
              <w:rPr>
                <w:rFonts w:ascii="Times New Roman" w:eastAsia="Calibri" w:hAnsi="Times New Roman" w:cs="Times New Roman" w:hint="default"/>
                <w:i/>
                <w:sz w:val="24"/>
                <w:szCs w:val="24"/>
              </w:rPr>
              <w:t>sobom?</w:t>
            </w:r>
          </w:p>
        </w:tc>
      </w:tr>
      <w:tr>
        <w:tblPrEx>
          <w:tblW w:w="5180" w:type="pct"/>
          <w:jc w:val="center"/>
          <w:tblCellMar>
            <w:top w:w="28" w:type="dxa"/>
            <w:bottom w:w="28" w:type="dxa"/>
          </w:tblCellMar>
          <w:tblLook w:val="04A0"/>
        </w:tblPrEx>
        <w:trPr>
          <w:gridAfter w:val="1"/>
          <w:wAfter w:w="7" w:type="dxa"/>
          <w:trHeight w:val="497"/>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hint="default"/>
                <w:i/>
                <w:sz w:val="24"/>
                <w:szCs w:val="24"/>
              </w:rPr>
            </w:pPr>
            <w:r w:rsidRPr="00A57582">
              <w:rPr>
                <w:rFonts w:ascii="Times New Roman" w:eastAsia="Calibri" w:hAnsi="Times New Roman" w:cs="Times New Roman" w:hint="default"/>
                <w:i/>
                <w:sz w:val="24"/>
                <w:szCs w:val="24"/>
              </w:rPr>
              <w:t>Identifikujte, č</w:t>
            </w:r>
            <w:r w:rsidRPr="00A57582">
              <w:rPr>
                <w:rFonts w:ascii="Times New Roman" w:eastAsia="Calibri" w:hAnsi="Times New Roman" w:cs="Times New Roman" w:hint="default"/>
                <w:i/>
                <w:sz w:val="24"/>
                <w:szCs w:val="24"/>
              </w:rPr>
              <w:t>i ná</w:t>
            </w:r>
            <w:r w:rsidRPr="00A57582">
              <w:rPr>
                <w:rFonts w:ascii="Times New Roman" w:eastAsia="Calibri" w:hAnsi="Times New Roman" w:cs="Times New Roman" w:hint="default"/>
                <w:i/>
                <w:sz w:val="24"/>
                <w:szCs w:val="24"/>
              </w:rPr>
              <w:t>vrh môž</w:t>
            </w:r>
            <w:r w:rsidRPr="00A57582">
              <w:rPr>
                <w:rFonts w:ascii="Times New Roman" w:eastAsia="Calibri" w:hAnsi="Times New Roman" w:cs="Times New Roman" w:hint="default"/>
                <w:i/>
                <w:sz w:val="24"/>
                <w:szCs w:val="24"/>
              </w:rPr>
              <w:t>e ovplyvniť</w:t>
            </w:r>
            <w:r w:rsidRPr="00A57582">
              <w:rPr>
                <w:rFonts w:ascii="Times New Roman" w:eastAsia="Calibri" w:hAnsi="Times New Roman" w:cs="Times New Roman" w:hint="default"/>
                <w:i/>
                <w:sz w:val="24"/>
                <w:szCs w:val="24"/>
              </w:rPr>
              <w:t xml:space="preserve"> rozhodnutia zamestnancov alebo </w:t>
            </w:r>
            <w:r w:rsidRPr="00A57582">
              <w:rPr>
                <w:rFonts w:ascii="Times New Roman" w:eastAsia="Calibri" w:hAnsi="Times New Roman" w:cs="Times New Roman" w:hint="default"/>
                <w:i/>
                <w:sz w:val="24"/>
                <w:szCs w:val="24"/>
              </w:rPr>
              <w:t>zamestná</w:t>
            </w:r>
            <w:r w:rsidRPr="00A57582">
              <w:rPr>
                <w:rFonts w:ascii="Times New Roman" w:eastAsia="Calibri" w:hAnsi="Times New Roman" w:cs="Times New Roman" w:hint="default"/>
                <w:i/>
                <w:sz w:val="24"/>
                <w:szCs w:val="24"/>
              </w:rPr>
              <w:t>vateľ</w:t>
            </w:r>
            <w:r w:rsidRPr="00A57582">
              <w:rPr>
                <w:rFonts w:ascii="Times New Roman" w:eastAsia="Calibri" w:hAnsi="Times New Roman" w:cs="Times New Roman" w:hint="default"/>
                <w:i/>
                <w:sz w:val="24"/>
                <w:szCs w:val="24"/>
              </w:rPr>
              <w:t>ov a môž</w:t>
            </w:r>
            <w:r w:rsidRPr="00A57582">
              <w:rPr>
                <w:rFonts w:ascii="Times New Roman" w:eastAsia="Calibri" w:hAnsi="Times New Roman" w:cs="Times New Roman" w:hint="default"/>
                <w:i/>
                <w:sz w:val="24"/>
                <w:szCs w:val="24"/>
              </w:rPr>
              <w:t>e byť</w:t>
            </w:r>
            <w:r w:rsidRPr="00A57582">
              <w:rPr>
                <w:rFonts w:ascii="Times New Roman" w:eastAsia="Calibri" w:hAnsi="Times New Roman" w:cs="Times New Roman" w:hint="default"/>
                <w:i/>
                <w:sz w:val="24"/>
                <w:szCs w:val="24"/>
              </w:rPr>
              <w:t xml:space="preserve"> zdrojom neskorš</w:t>
            </w:r>
            <w:r w:rsidRPr="00A57582">
              <w:rPr>
                <w:rFonts w:ascii="Times New Roman" w:eastAsia="Calibri" w:hAnsi="Times New Roman" w:cs="Times New Roman" w:hint="default"/>
                <w:i/>
                <w:sz w:val="24"/>
                <w:szCs w:val="24"/>
              </w:rPr>
              <w:t>ieho vstupu na trh prá</w:t>
            </w:r>
            <w:r w:rsidRPr="00A57582">
              <w:rPr>
                <w:rFonts w:ascii="Times New Roman" w:eastAsia="Calibri" w:hAnsi="Times New Roman" w:cs="Times New Roman" w:hint="default"/>
                <w:i/>
                <w:sz w:val="24"/>
                <w:szCs w:val="24"/>
              </w:rPr>
              <w:t>ce alebo predč</w:t>
            </w:r>
            <w:r w:rsidRPr="00A57582">
              <w:rPr>
                <w:rFonts w:ascii="Times New Roman" w:eastAsia="Calibri" w:hAnsi="Times New Roman" w:cs="Times New Roman" w:hint="default"/>
                <w:i/>
                <w:sz w:val="24"/>
                <w:szCs w:val="24"/>
              </w:rPr>
              <w:t>asné</w:t>
            </w:r>
            <w:r w:rsidRPr="00A57582">
              <w:rPr>
                <w:rFonts w:ascii="Times New Roman" w:eastAsia="Calibri" w:hAnsi="Times New Roman" w:cs="Times New Roman" w:hint="default"/>
                <w:i/>
                <w:sz w:val="24"/>
                <w:szCs w:val="24"/>
              </w:rPr>
              <w:t>ho odchodu z trhu prá</w:t>
            </w:r>
            <w:r w:rsidRPr="00A57582">
              <w:rPr>
                <w:rFonts w:ascii="Times New Roman" w:eastAsia="Calibri" w:hAnsi="Times New Roman" w:cs="Times New Roman" w:hint="default"/>
                <w:i/>
                <w:sz w:val="24"/>
                <w:szCs w:val="24"/>
              </w:rPr>
              <w:t>ce jednotlivcov.“</w:t>
            </w:r>
          </w:p>
        </w:tc>
        <w:tc>
          <w:tcPr>
            <w:tcW w:w="3003"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4777A" w:rsidRPr="00A57582" w:rsidP="007B2961">
            <w:pPr>
              <w:bidi w:val="0"/>
              <w:spacing w:after="0" w:line="240" w:lineRule="auto"/>
              <w:rPr>
                <w:rFonts w:ascii="Times New Roman" w:eastAsia="Calibri" w:hAnsi="Times New Roman" w:cs="Times New Roman"/>
                <w:sz w:val="24"/>
                <w:szCs w:val="24"/>
              </w:rPr>
            </w:pPr>
            <w:r w:rsidRPr="00A57582">
              <w:rPr>
                <w:rFonts w:ascii="Times New Roman" w:eastAsia="Calibri" w:hAnsi="Times New Roman" w:cs="Times New Roman"/>
                <w:sz w:val="24"/>
                <w:szCs w:val="24"/>
              </w:rPr>
              <w:t>Bez vplyvu.</w:t>
            </w:r>
          </w:p>
        </w:tc>
      </w:tr>
    </w:tbl>
    <w:p w:rsidR="00CA2924"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7B2961" w:rsidRPr="007B2961" w:rsidP="00C83337">
      <w:pPr>
        <w:bidi w:val="0"/>
        <w:spacing w:after="0" w:line="240" w:lineRule="auto"/>
        <w:jc w:val="center"/>
        <w:rPr>
          <w:rFonts w:ascii="Times New Roman" w:hAnsi="Times New Roman" w:cs="Times New Roman"/>
          <w:b/>
          <w:bCs/>
          <w:sz w:val="24"/>
          <w:szCs w:val="24"/>
        </w:rPr>
      </w:pPr>
      <w:r w:rsidR="00A57582">
        <w:rPr>
          <w:rFonts w:ascii="Times New Roman" w:hAnsi="Times New Roman" w:cs="Times New Roman"/>
          <w:b/>
          <w:bCs/>
          <w:sz w:val="24"/>
          <w:szCs w:val="24"/>
        </w:rPr>
        <w:t>D</w:t>
      </w:r>
      <w:r w:rsidRPr="007B2961">
        <w:rPr>
          <w:rFonts w:ascii="Times New Roman" w:hAnsi="Times New Roman" w:cs="Times New Roman"/>
          <w:b/>
          <w:bCs/>
          <w:sz w:val="24"/>
          <w:szCs w:val="24"/>
        </w:rPr>
        <w:t>OLOŽKA ZLUČITEĽNOSTI</w:t>
      </w:r>
    </w:p>
    <w:p w:rsidR="007B2961" w:rsidRPr="007B2961" w:rsidP="00C83337">
      <w:pPr>
        <w:pBdr>
          <w:bottom w:val="single" w:sz="6" w:space="1" w:color="auto"/>
        </w:pBdr>
        <w:bidi w:val="0"/>
        <w:spacing w:after="0" w:line="240" w:lineRule="auto"/>
        <w:jc w:val="center"/>
        <w:rPr>
          <w:rFonts w:ascii="Times New Roman" w:hAnsi="Times New Roman" w:cs="Times New Roman"/>
          <w:b/>
          <w:bCs/>
          <w:sz w:val="24"/>
          <w:szCs w:val="24"/>
        </w:rPr>
      </w:pPr>
      <w:r w:rsidRPr="007B2961">
        <w:rPr>
          <w:rFonts w:ascii="Times New Roman" w:hAnsi="Times New Roman" w:cs="Times New Roman"/>
          <w:b/>
          <w:bCs/>
          <w:sz w:val="24"/>
          <w:szCs w:val="24"/>
        </w:rPr>
        <w:t>k návrhu zákona, ktorým sa mení a dopĺňa zákon č. 595/2003 Z. z. o dani z príjmov v znení neskorších predpisov a  ktorým sa mení zákon č. 563/2009 Z. z. o správe daní (daňový poriadok) a o zmene a doplnení niektorých zákonov v znení neskorších predpisov</w:t>
      </w:r>
      <w:r w:rsidRPr="007B2961">
        <w:rPr>
          <w:rFonts w:ascii="Times New Roman" w:hAnsi="Times New Roman" w:cs="Times New Roman"/>
          <w:b/>
          <w:sz w:val="24"/>
          <w:szCs w:val="24"/>
        </w:rPr>
        <w:t xml:space="preserve"> </w:t>
      </w:r>
      <w:r w:rsidRPr="007B2961">
        <w:rPr>
          <w:rFonts w:ascii="Times New Roman" w:hAnsi="Times New Roman" w:cs="Times New Roman"/>
          <w:b/>
          <w:bCs/>
          <w:sz w:val="24"/>
          <w:szCs w:val="24"/>
        </w:rPr>
        <w:t>s právom Európskej únie</w:t>
      </w:r>
    </w:p>
    <w:p w:rsidR="00A57582" w:rsidRPr="00A57582" w:rsidP="00A57582">
      <w:pPr>
        <w:bidi w:val="0"/>
        <w:spacing w:after="0" w:line="240" w:lineRule="auto"/>
        <w:ind w:left="425"/>
        <w:jc w:val="both"/>
        <w:rPr>
          <w:rFonts w:ascii="Times New Roman" w:hAnsi="Times New Roman" w:cs="Times New Roman"/>
          <w:sz w:val="24"/>
          <w:szCs w:val="24"/>
        </w:rPr>
      </w:pPr>
    </w:p>
    <w:p w:rsidR="007B2961" w:rsidRPr="007B2961" w:rsidP="00C83337">
      <w:pPr>
        <w:numPr>
          <w:numId w:val="17"/>
        </w:numPr>
        <w:bidi w:val="0"/>
        <w:spacing w:after="0" w:line="240" w:lineRule="auto"/>
        <w:jc w:val="both"/>
        <w:rPr>
          <w:rFonts w:ascii="Times New Roman" w:hAnsi="Times New Roman" w:cs="Times New Roman"/>
          <w:sz w:val="24"/>
          <w:szCs w:val="24"/>
        </w:rPr>
      </w:pPr>
      <w:r w:rsidRPr="007B2961">
        <w:rPr>
          <w:rFonts w:ascii="Times New Roman" w:hAnsi="Times New Roman" w:cs="Times New Roman"/>
          <w:b/>
          <w:bCs/>
          <w:sz w:val="24"/>
          <w:szCs w:val="24"/>
        </w:rPr>
        <w:t>Predkladateľ návrhu zákona:</w:t>
      </w:r>
    </w:p>
    <w:p w:rsidR="007B2961" w:rsidP="00C83337">
      <w:pPr>
        <w:bidi w:val="0"/>
        <w:spacing w:after="0" w:line="240" w:lineRule="auto"/>
        <w:ind w:firstLine="425"/>
        <w:jc w:val="both"/>
        <w:rPr>
          <w:rFonts w:ascii="Times New Roman" w:hAnsi="Times New Roman" w:cs="Times New Roman"/>
          <w:sz w:val="24"/>
          <w:szCs w:val="24"/>
        </w:rPr>
      </w:pPr>
      <w:r w:rsidRPr="007B2961">
        <w:rPr>
          <w:rFonts w:ascii="Times New Roman" w:hAnsi="Times New Roman" w:cs="Times New Roman"/>
          <w:sz w:val="24"/>
          <w:szCs w:val="24"/>
        </w:rPr>
        <w:t xml:space="preserve">Vláda Slovenskej republiky. </w:t>
      </w:r>
    </w:p>
    <w:p w:rsidR="00C83337" w:rsidRPr="007B2961" w:rsidP="00C83337">
      <w:pPr>
        <w:bidi w:val="0"/>
        <w:spacing w:after="0" w:line="240" w:lineRule="auto"/>
        <w:ind w:firstLine="425"/>
        <w:jc w:val="both"/>
        <w:rPr>
          <w:rFonts w:ascii="Times New Roman" w:hAnsi="Times New Roman" w:cs="Times New Roman"/>
          <w:sz w:val="24"/>
          <w:szCs w:val="24"/>
        </w:rPr>
      </w:pPr>
    </w:p>
    <w:p w:rsidR="007B2961" w:rsidRPr="007B2961" w:rsidP="00C83337">
      <w:pPr>
        <w:numPr>
          <w:numId w:val="17"/>
        </w:numPr>
        <w:bidi w:val="0"/>
        <w:spacing w:after="0" w:line="240" w:lineRule="auto"/>
        <w:jc w:val="both"/>
        <w:rPr>
          <w:rFonts w:ascii="Times New Roman" w:hAnsi="Times New Roman" w:cs="Times New Roman"/>
          <w:b/>
          <w:bCs/>
          <w:sz w:val="24"/>
          <w:szCs w:val="24"/>
        </w:rPr>
      </w:pPr>
      <w:r w:rsidRPr="007B2961">
        <w:rPr>
          <w:rFonts w:ascii="Times New Roman" w:hAnsi="Times New Roman" w:cs="Times New Roman"/>
          <w:b/>
          <w:bCs/>
          <w:sz w:val="24"/>
          <w:szCs w:val="24"/>
        </w:rPr>
        <w:t>Názov návrhu zákona:</w:t>
      </w:r>
    </w:p>
    <w:p w:rsidR="007B2961" w:rsidP="00C83337">
      <w:pPr>
        <w:bidi w:val="0"/>
        <w:spacing w:after="0" w:line="240" w:lineRule="auto"/>
        <w:ind w:left="425"/>
        <w:jc w:val="both"/>
        <w:rPr>
          <w:rFonts w:ascii="Times New Roman" w:hAnsi="Times New Roman" w:cs="Times New Roman"/>
          <w:sz w:val="24"/>
          <w:szCs w:val="24"/>
        </w:rPr>
      </w:pPr>
      <w:r w:rsidRPr="007B2961">
        <w:rPr>
          <w:rFonts w:ascii="Times New Roman" w:hAnsi="Times New Roman" w:cs="Times New Roman"/>
          <w:sz w:val="24"/>
          <w:szCs w:val="24"/>
        </w:rPr>
        <w:t>Návrh zákona, ktorým sa mení a dopĺňa zákon č. 595/2003 Z. z. o dani z príjmov v znení neskorších predpisov a  ktorým sa mení zákon č. 563/2009 Z. z. o správe daní (daňový poriadok) a o zmene a doplnení niektorých zákonov v znení neskorších predpisov.</w:t>
      </w:r>
    </w:p>
    <w:p w:rsidR="00C83337" w:rsidRPr="007B2961" w:rsidP="00C83337">
      <w:pPr>
        <w:bidi w:val="0"/>
        <w:spacing w:after="0" w:line="240" w:lineRule="auto"/>
        <w:ind w:left="425"/>
        <w:jc w:val="both"/>
        <w:rPr>
          <w:rFonts w:ascii="Times New Roman" w:hAnsi="Times New Roman" w:cs="Times New Roman"/>
          <w:bCs/>
          <w:sz w:val="24"/>
          <w:szCs w:val="24"/>
        </w:rPr>
      </w:pPr>
    </w:p>
    <w:p w:rsidR="007B2961" w:rsidRPr="007B2961" w:rsidP="00C83337">
      <w:pPr>
        <w:numPr>
          <w:numId w:val="17"/>
        </w:numPr>
        <w:bidi w:val="0"/>
        <w:spacing w:after="0" w:line="240" w:lineRule="auto"/>
        <w:jc w:val="both"/>
        <w:rPr>
          <w:rFonts w:ascii="Times New Roman" w:hAnsi="Times New Roman" w:cs="Times New Roman"/>
          <w:b/>
          <w:bCs/>
          <w:sz w:val="24"/>
          <w:szCs w:val="24"/>
        </w:rPr>
      </w:pPr>
      <w:r w:rsidRPr="007B2961">
        <w:rPr>
          <w:rFonts w:ascii="Times New Roman" w:hAnsi="Times New Roman" w:cs="Times New Roman"/>
          <w:b/>
          <w:bCs/>
          <w:sz w:val="24"/>
          <w:szCs w:val="24"/>
        </w:rPr>
        <w:t xml:space="preserve">Problematika návrhu zákona: </w:t>
      </w:r>
    </w:p>
    <w:p w:rsidR="007B2961" w:rsidP="00C83337">
      <w:pPr>
        <w:numPr>
          <w:ilvl w:val="1"/>
          <w:numId w:val="17"/>
        </w:numPr>
        <w:bidi w:val="0"/>
        <w:spacing w:after="0" w:line="240" w:lineRule="auto"/>
        <w:rPr>
          <w:rFonts w:ascii="Times New Roman" w:hAnsi="Times New Roman" w:cs="Times New Roman"/>
          <w:sz w:val="24"/>
          <w:szCs w:val="24"/>
          <w:lang w:eastAsia="cs-CZ"/>
        </w:rPr>
      </w:pPr>
      <w:r w:rsidRPr="007B2961">
        <w:rPr>
          <w:rFonts w:ascii="Times New Roman" w:hAnsi="Times New Roman" w:cs="Times New Roman"/>
          <w:sz w:val="24"/>
          <w:szCs w:val="24"/>
          <w:lang w:eastAsia="cs-CZ"/>
        </w:rPr>
        <w:t>je upravená v práve Európskej únie:</w:t>
      </w:r>
    </w:p>
    <w:p w:rsidR="00C83337" w:rsidRPr="007B2961" w:rsidP="00C83337">
      <w:pPr>
        <w:bidi w:val="0"/>
        <w:spacing w:after="0" w:line="240" w:lineRule="auto"/>
        <w:ind w:left="850"/>
        <w:rPr>
          <w:rFonts w:ascii="Times New Roman" w:hAnsi="Times New Roman" w:cs="Times New Roman"/>
          <w:sz w:val="24"/>
          <w:szCs w:val="24"/>
          <w:lang w:eastAsia="cs-CZ"/>
        </w:rPr>
      </w:pPr>
    </w:p>
    <w:p w:rsidR="007B2961" w:rsidRPr="007B2961" w:rsidP="00C83337">
      <w:pPr>
        <w:bidi w:val="0"/>
        <w:spacing w:after="0" w:line="240" w:lineRule="auto"/>
        <w:ind w:left="900" w:hanging="425"/>
        <w:rPr>
          <w:rFonts w:ascii="Times New Roman" w:hAnsi="Times New Roman" w:cs="Times New Roman"/>
          <w:b/>
          <w:bCs/>
          <w:iCs/>
          <w:sz w:val="24"/>
          <w:szCs w:val="24"/>
          <w:lang w:eastAsia="cs-CZ"/>
        </w:rPr>
      </w:pPr>
      <w:r w:rsidRPr="007B2961">
        <w:rPr>
          <w:rFonts w:ascii="Times New Roman" w:hAnsi="Times New Roman" w:cs="Times New Roman"/>
          <w:b/>
          <w:bCs/>
          <w:iCs/>
          <w:sz w:val="24"/>
          <w:szCs w:val="24"/>
          <w:lang w:eastAsia="cs-CZ"/>
        </w:rPr>
        <w:t xml:space="preserve">Primárne právo: </w:t>
      </w:r>
    </w:p>
    <w:p w:rsidR="007B2961" w:rsidP="00C83337">
      <w:pPr>
        <w:numPr>
          <w:numId w:val="18"/>
        </w:numPr>
        <w:bidi w:val="0"/>
        <w:spacing w:after="0" w:line="240" w:lineRule="auto"/>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čl. 110 až 112 a čl. 115 Zmluvy o fungovaní Európskej únie.</w:t>
      </w:r>
    </w:p>
    <w:p w:rsidR="00C83337" w:rsidRPr="007B2961" w:rsidP="00C83337">
      <w:pPr>
        <w:bidi w:val="0"/>
        <w:spacing w:after="0" w:line="240" w:lineRule="auto"/>
        <w:ind w:left="900"/>
        <w:jc w:val="both"/>
        <w:rPr>
          <w:rFonts w:ascii="Times New Roman" w:hAnsi="Times New Roman" w:cs="Times New Roman"/>
          <w:sz w:val="24"/>
          <w:szCs w:val="24"/>
          <w:lang w:eastAsia="cs-CZ"/>
        </w:rPr>
      </w:pPr>
    </w:p>
    <w:p w:rsidR="007B2961" w:rsidRPr="007B2961" w:rsidP="00C83337">
      <w:pPr>
        <w:pStyle w:val="BodyTextIndent"/>
        <w:bidi w:val="0"/>
        <w:spacing w:after="0"/>
        <w:ind w:left="475"/>
        <w:jc w:val="both"/>
        <w:rPr>
          <w:rFonts w:ascii="Times New Roman" w:hAnsi="Times New Roman"/>
          <w:b/>
          <w:bCs/>
          <w:i/>
          <w:iCs/>
        </w:rPr>
      </w:pPr>
      <w:r w:rsidRPr="007B2961">
        <w:rPr>
          <w:rFonts w:ascii="Times New Roman" w:hAnsi="Times New Roman"/>
          <w:b/>
          <w:bCs/>
          <w:iCs/>
        </w:rPr>
        <w:t>Sekundárne právo</w:t>
      </w:r>
      <w:r w:rsidRPr="007B2961">
        <w:rPr>
          <w:rFonts w:ascii="Times New Roman" w:hAnsi="Times New Roman"/>
          <w:b/>
          <w:bCs/>
          <w:i/>
          <w:iCs/>
        </w:rPr>
        <w:t xml:space="preserve"> </w:t>
      </w:r>
      <w:r w:rsidRPr="007B2961">
        <w:rPr>
          <w:rFonts w:ascii="Times New Roman" w:hAnsi="Times New Roman"/>
        </w:rPr>
        <w:t>(prijaté po nadobudnutí platnosti Lisabonskej zmluvy, ktorou sa mení a dopĺňa Zmluva o Európskej únii a Zmluva o založení Európskeho spoločenstva  - po 30. novembri 2009):</w:t>
      </w:r>
    </w:p>
    <w:p w:rsidR="007B2961" w:rsidRPr="007B2961" w:rsidP="00C83337">
      <w:pPr>
        <w:numPr>
          <w:numId w:val="27"/>
        </w:numPr>
        <w:autoSpaceDE w:val="0"/>
        <w:autoSpaceDN w:val="0"/>
        <w:bidi w:val="0"/>
        <w:adjustRightInd w:val="0"/>
        <w:spacing w:after="0" w:line="240" w:lineRule="auto"/>
        <w:ind w:left="782" w:hanging="357"/>
        <w:jc w:val="both"/>
        <w:rPr>
          <w:rFonts w:ascii="Times New Roman" w:hAnsi="Times New Roman" w:cs="Times New Roman"/>
          <w:bCs/>
          <w:iCs/>
          <w:sz w:val="24"/>
          <w:szCs w:val="24"/>
          <w:u w:val="single"/>
        </w:rPr>
      </w:pPr>
      <w:r w:rsidRPr="007B2961">
        <w:rPr>
          <w:rFonts w:ascii="Times New Roman" w:hAnsi="Times New Roman" w:cs="Times New Roman"/>
          <w:bCs/>
          <w:iCs/>
          <w:sz w:val="24"/>
          <w:szCs w:val="24"/>
          <w:u w:val="single"/>
        </w:rPr>
        <w:t>legislatívne akty:</w:t>
      </w:r>
    </w:p>
    <w:p w:rsidR="007B2961" w:rsidRPr="007B2961" w:rsidP="00C83337">
      <w:pPr>
        <w:numPr>
          <w:numId w:val="18"/>
        </w:numPr>
        <w:autoSpaceDE w:val="0"/>
        <w:autoSpaceDN w:val="0"/>
        <w:bidi w:val="0"/>
        <w:adjustRightInd w:val="0"/>
        <w:spacing w:after="0" w:line="240" w:lineRule="auto"/>
        <w:ind w:left="901" w:hanging="391"/>
        <w:jc w:val="both"/>
        <w:rPr>
          <w:rFonts w:ascii="Times New Roman" w:hAnsi="Times New Roman" w:cs="Times New Roman"/>
          <w:bCs/>
          <w:sz w:val="24"/>
          <w:szCs w:val="24"/>
        </w:rPr>
      </w:pPr>
      <w:r w:rsidRPr="007B2961">
        <w:rPr>
          <w:rFonts w:ascii="Times New Roman" w:hAnsi="Times New Roman" w:cs="Times New Roman"/>
          <w:bCs/>
          <w:sz w:val="24"/>
          <w:szCs w:val="24"/>
          <w:bdr w:val="nil"/>
          <w:shd w:val="clear" w:color="auto" w:fill="FFFFFF"/>
        </w:rPr>
        <w:t xml:space="preserve">smernica Rady (EÚ) </w:t>
      </w:r>
      <w:r w:rsidRPr="007B2961">
        <w:rPr>
          <w:rFonts w:ascii="Times New Roman" w:hAnsi="Times New Roman" w:cs="Times New Roman"/>
          <w:bCs/>
          <w:sz w:val="24"/>
          <w:szCs w:val="24"/>
          <w:u w:val="single"/>
          <w:bdr w:val="nil"/>
          <w:shd w:val="clear" w:color="auto" w:fill="FFFFFF"/>
        </w:rPr>
        <w:t>2016/1164</w:t>
      </w:r>
      <w:r w:rsidRPr="007B2961">
        <w:rPr>
          <w:rFonts w:ascii="Times New Roman" w:hAnsi="Times New Roman" w:cs="Times New Roman"/>
          <w:bCs/>
          <w:sz w:val="24"/>
          <w:szCs w:val="24"/>
          <w:bdr w:val="nil"/>
          <w:shd w:val="clear" w:color="auto" w:fill="FFFFFF"/>
        </w:rPr>
        <w:t xml:space="preserve"> z 12. júla 2016, ktorou sa stanovujú pravidlá proti praktikám vyhýbania sa daňovým povinnostiam, ktoré majú priamy vplyv na fungovanie vnútorného trhu (</w:t>
      </w:r>
      <w:r w:rsidRPr="007B2961">
        <w:rPr>
          <w:rFonts w:ascii="Times New Roman" w:hAnsi="Times New Roman" w:cs="Times New Roman"/>
          <w:iCs/>
          <w:sz w:val="24"/>
          <w:szCs w:val="24"/>
        </w:rPr>
        <w:t>Ú. v. EÚ L 193, 19.7.2016),</w:t>
      </w:r>
    </w:p>
    <w:p w:rsidR="007B2961" w:rsidRPr="007B2961" w:rsidP="00C83337">
      <w:pPr>
        <w:numPr>
          <w:numId w:val="18"/>
        </w:numPr>
        <w:autoSpaceDE w:val="0"/>
        <w:autoSpaceDN w:val="0"/>
        <w:bidi w:val="0"/>
        <w:adjustRightInd w:val="0"/>
        <w:spacing w:after="0" w:line="240" w:lineRule="auto"/>
        <w:jc w:val="both"/>
        <w:rPr>
          <w:rFonts w:ascii="Times New Roman" w:hAnsi="Times New Roman" w:cs="Times New Roman"/>
          <w:bCs/>
          <w:sz w:val="24"/>
          <w:szCs w:val="24"/>
        </w:rPr>
      </w:pPr>
      <w:r w:rsidRPr="007B2961">
        <w:rPr>
          <w:rFonts w:ascii="Times New Roman" w:hAnsi="Times New Roman" w:cs="Times New Roman"/>
          <w:bCs/>
          <w:sz w:val="24"/>
          <w:szCs w:val="24"/>
        </w:rPr>
        <w:t>smernica Rady</w:t>
      </w:r>
      <w:r w:rsidRPr="007B2961">
        <w:rPr>
          <w:rFonts w:ascii="Times New Roman" w:hAnsi="Times New Roman" w:cs="Times New Roman"/>
          <w:b/>
          <w:bCs/>
          <w:sz w:val="24"/>
          <w:szCs w:val="24"/>
        </w:rPr>
        <w:t xml:space="preserve"> </w:t>
      </w:r>
      <w:r w:rsidRPr="007B2961">
        <w:rPr>
          <w:rStyle w:val="Strong"/>
          <w:rFonts w:ascii="Times New Roman" w:hAnsi="Times New Roman"/>
          <w:b w:val="0"/>
          <w:sz w:val="24"/>
          <w:szCs w:val="24"/>
          <w:bdr w:val="nil"/>
          <w:shd w:val="clear" w:color="auto" w:fill="FFFFFF"/>
        </w:rPr>
        <w:t xml:space="preserve">(EÚ) </w:t>
      </w:r>
      <w:r w:rsidRPr="007B2961">
        <w:rPr>
          <w:rStyle w:val="Strong"/>
          <w:rFonts w:ascii="Times New Roman" w:hAnsi="Times New Roman"/>
          <w:b w:val="0"/>
          <w:sz w:val="24"/>
          <w:szCs w:val="24"/>
          <w:u w:val="single"/>
          <w:bdr w:val="nil"/>
          <w:shd w:val="clear" w:color="auto" w:fill="FFFFFF"/>
        </w:rPr>
        <w:t>2015/2060</w:t>
      </w:r>
      <w:r w:rsidRPr="007B2961">
        <w:rPr>
          <w:rStyle w:val="Strong"/>
          <w:rFonts w:ascii="Times New Roman" w:hAnsi="Times New Roman"/>
          <w:b w:val="0"/>
          <w:sz w:val="24"/>
          <w:szCs w:val="24"/>
          <w:bdr w:val="nil"/>
          <w:shd w:val="clear" w:color="auto" w:fill="FFFFFF"/>
        </w:rPr>
        <w:t xml:space="preserve"> z 10. novembra 2015, ktorou sa zrušuje smernica 2003/48/ES o zdaňovaní príjmu z úspor v podobe výplaty úrokov</w:t>
      </w:r>
      <w:r w:rsidRPr="007B2961">
        <w:rPr>
          <w:rFonts w:ascii="Times New Roman" w:hAnsi="Times New Roman" w:cs="Times New Roman"/>
          <w:b/>
          <w:bCs/>
          <w:sz w:val="24"/>
          <w:szCs w:val="24"/>
        </w:rPr>
        <w:t xml:space="preserve"> </w:t>
      </w:r>
      <w:r w:rsidRPr="007B2961">
        <w:rPr>
          <w:rFonts w:ascii="Times New Roman" w:hAnsi="Times New Roman" w:cs="Times New Roman"/>
          <w:bCs/>
          <w:sz w:val="24"/>
          <w:szCs w:val="24"/>
        </w:rPr>
        <w:t>(</w:t>
      </w:r>
      <w:r w:rsidRPr="007B2961">
        <w:rPr>
          <w:rFonts w:ascii="Times New Roman" w:hAnsi="Times New Roman" w:cs="Times New Roman"/>
          <w:bCs/>
          <w:iCs/>
          <w:sz w:val="24"/>
          <w:szCs w:val="24"/>
        </w:rPr>
        <w:t>Ú. v. EÚ L 301, 18.11.2015),</w:t>
      </w:r>
    </w:p>
    <w:p w:rsidR="007B2961" w:rsidRPr="00C83337" w:rsidP="00C83337">
      <w:pPr>
        <w:numPr>
          <w:numId w:val="18"/>
        </w:numPr>
        <w:autoSpaceDE w:val="0"/>
        <w:autoSpaceDN w:val="0"/>
        <w:bidi w:val="0"/>
        <w:adjustRightInd w:val="0"/>
        <w:spacing w:after="0" w:line="240" w:lineRule="auto"/>
        <w:jc w:val="both"/>
        <w:rPr>
          <w:rStyle w:val="Emphasis"/>
          <w:rFonts w:ascii="Times New Roman" w:hAnsi="Times New Roman"/>
          <w:bCs/>
          <w:sz w:val="24"/>
          <w:szCs w:val="24"/>
          <w:u w:val="single"/>
        </w:rPr>
      </w:pPr>
      <w:r w:rsidRPr="007B2961">
        <w:rPr>
          <w:rFonts w:ascii="Times New Roman" w:hAnsi="Times New Roman" w:cs="Times New Roman"/>
          <w:bCs/>
          <w:iCs/>
          <w:sz w:val="24"/>
          <w:szCs w:val="24"/>
        </w:rPr>
        <w:t xml:space="preserve">smernica </w:t>
      </w:r>
      <w:r w:rsidRPr="007B2961">
        <w:rPr>
          <w:rFonts w:ascii="Times New Roman" w:hAnsi="Times New Roman" w:cs="Times New Roman"/>
          <w:bCs/>
          <w:sz w:val="24"/>
          <w:szCs w:val="24"/>
        </w:rPr>
        <w:t xml:space="preserve">Rady </w:t>
      </w:r>
      <w:r w:rsidRPr="007B2961">
        <w:rPr>
          <w:rFonts w:ascii="Times New Roman" w:hAnsi="Times New Roman" w:cs="Times New Roman"/>
          <w:bCs/>
          <w:sz w:val="24"/>
          <w:szCs w:val="24"/>
          <w:u w:val="single"/>
        </w:rPr>
        <w:t>2011/96/EÚ</w:t>
      </w:r>
      <w:r w:rsidRPr="007B2961">
        <w:rPr>
          <w:rFonts w:ascii="Times New Roman" w:hAnsi="Times New Roman" w:cs="Times New Roman"/>
          <w:bCs/>
          <w:sz w:val="24"/>
          <w:szCs w:val="24"/>
        </w:rPr>
        <w:t xml:space="preserve"> z 30. novembra 2011 o spoločnom systéme zdaňovania uplatňovanom v prípade materských spoločností a dcérskych spoločností v rozličných členských štátoch (prepracované znenie) (</w:t>
      </w:r>
      <w:r w:rsidRPr="007B2961">
        <w:rPr>
          <w:rStyle w:val="Emphasis"/>
          <w:rFonts w:ascii="Times New Roman" w:hAnsi="Times New Roman"/>
          <w:i w:val="0"/>
          <w:sz w:val="24"/>
          <w:szCs w:val="24"/>
        </w:rPr>
        <w:t>Ú. v. EÚ L 345, 29.12.2011)</w:t>
      </w:r>
      <w:r w:rsidRPr="007B2961">
        <w:rPr>
          <w:rFonts w:ascii="Times New Roman" w:hAnsi="Times New Roman" w:cs="Times New Roman"/>
          <w:sz w:val="24"/>
          <w:szCs w:val="24"/>
        </w:rPr>
        <w:t xml:space="preserve"> v platnom znení</w:t>
      </w:r>
      <w:r w:rsidRPr="007B2961">
        <w:rPr>
          <w:rStyle w:val="Emphasis"/>
          <w:rFonts w:ascii="Times New Roman" w:hAnsi="Times New Roman"/>
          <w:i w:val="0"/>
          <w:sz w:val="24"/>
          <w:szCs w:val="24"/>
        </w:rPr>
        <w:t>.</w:t>
      </w:r>
    </w:p>
    <w:p w:rsidR="00C83337" w:rsidRPr="007B2961" w:rsidP="00C83337">
      <w:pPr>
        <w:autoSpaceDE w:val="0"/>
        <w:autoSpaceDN w:val="0"/>
        <w:bidi w:val="0"/>
        <w:adjustRightInd w:val="0"/>
        <w:spacing w:after="0" w:line="240" w:lineRule="auto"/>
        <w:ind w:left="900"/>
        <w:jc w:val="both"/>
        <w:rPr>
          <w:rStyle w:val="Emphasis"/>
          <w:rFonts w:ascii="Times New Roman" w:hAnsi="Times New Roman"/>
          <w:bCs/>
          <w:sz w:val="24"/>
          <w:szCs w:val="24"/>
          <w:u w:val="single"/>
        </w:rPr>
      </w:pPr>
    </w:p>
    <w:p w:rsidR="007B2961" w:rsidRPr="007B2961" w:rsidP="00C83337">
      <w:pPr>
        <w:autoSpaceDE w:val="0"/>
        <w:autoSpaceDN w:val="0"/>
        <w:bidi w:val="0"/>
        <w:adjustRightInd w:val="0"/>
        <w:spacing w:after="0" w:line="240" w:lineRule="auto"/>
        <w:ind w:left="454"/>
        <w:jc w:val="both"/>
        <w:rPr>
          <w:rFonts w:ascii="Times New Roman" w:hAnsi="Times New Roman" w:cs="Times New Roman"/>
          <w:sz w:val="24"/>
          <w:szCs w:val="24"/>
        </w:rPr>
      </w:pPr>
      <w:r w:rsidRPr="007B2961">
        <w:rPr>
          <w:rFonts w:ascii="Times New Roman" w:hAnsi="Times New Roman" w:cs="Times New Roman"/>
          <w:b/>
          <w:bCs/>
          <w:iCs/>
          <w:sz w:val="24"/>
          <w:szCs w:val="24"/>
        </w:rPr>
        <w:t xml:space="preserve">Sekundárne právo </w:t>
      </w:r>
      <w:r w:rsidRPr="007B2961">
        <w:rPr>
          <w:rFonts w:ascii="Times New Roman" w:hAnsi="Times New Roman" w:cs="Times New Roman"/>
          <w:sz w:val="24"/>
          <w:szCs w:val="24"/>
        </w:rPr>
        <w:t>(prijaté pred nadobudnutím platnosti Lisabonskej zmluvy, ktorou sa mení a dopĺňa Zmluva o Európskej únii a Zmluva o založení Európskeho spoločenstva - do 30. novembra 2009):</w:t>
      </w:r>
    </w:p>
    <w:p w:rsidR="007B2961" w:rsidRPr="007B2961" w:rsidP="00C83337">
      <w:pPr>
        <w:numPr>
          <w:numId w:val="19"/>
        </w:numPr>
        <w:bidi w:val="0"/>
        <w:adjustRightInd w:val="0"/>
        <w:spacing w:after="0" w:line="240" w:lineRule="auto"/>
        <w:jc w:val="both"/>
        <w:rPr>
          <w:rFonts w:ascii="Times New Roman" w:hAnsi="Times New Roman" w:cs="Times New Roman"/>
          <w:sz w:val="24"/>
          <w:szCs w:val="24"/>
        </w:rPr>
      </w:pPr>
      <w:r w:rsidRPr="007B2961">
        <w:rPr>
          <w:rFonts w:ascii="Times New Roman" w:hAnsi="Times New Roman" w:cs="Times New Roman"/>
          <w:bCs/>
          <w:sz w:val="24"/>
          <w:szCs w:val="24"/>
        </w:rPr>
        <w:t xml:space="preserve">smernica Rady </w:t>
      </w:r>
      <w:r w:rsidRPr="007B2961">
        <w:rPr>
          <w:rFonts w:ascii="Times New Roman" w:hAnsi="Times New Roman" w:cs="Times New Roman"/>
          <w:bCs/>
          <w:sz w:val="24"/>
          <w:szCs w:val="24"/>
          <w:u w:val="single"/>
        </w:rPr>
        <w:t>2003/48/ES</w:t>
      </w:r>
      <w:r w:rsidRPr="007B2961">
        <w:rPr>
          <w:rFonts w:ascii="Times New Roman" w:hAnsi="Times New Roman" w:cs="Times New Roman"/>
          <w:bCs/>
          <w:sz w:val="24"/>
          <w:szCs w:val="24"/>
        </w:rPr>
        <w:t xml:space="preserve"> z 3. júna 2003 </w:t>
      </w:r>
      <w:r w:rsidRPr="007B2961">
        <w:rPr>
          <w:rFonts w:ascii="Times New Roman" w:hAnsi="Times New Roman" w:cs="Times New Roman"/>
          <w:sz w:val="24"/>
          <w:szCs w:val="24"/>
        </w:rPr>
        <w:t xml:space="preserve">o zdaňovaní príjmu z úspor v podobe výplaty úrokov  </w:t>
      </w:r>
      <w:r w:rsidRPr="007B2961">
        <w:rPr>
          <w:rFonts w:ascii="Times New Roman" w:hAnsi="Times New Roman" w:cs="Times New Roman"/>
          <w:color w:val="000000"/>
          <w:sz w:val="24"/>
          <w:szCs w:val="24"/>
        </w:rPr>
        <w:t>(</w:t>
      </w:r>
      <w:r w:rsidRPr="007B2961">
        <w:rPr>
          <w:rFonts w:ascii="Times New Roman" w:hAnsi="Times New Roman" w:cs="Times New Roman"/>
          <w:sz w:val="24"/>
          <w:szCs w:val="24"/>
        </w:rPr>
        <w:t xml:space="preserve">Mimoriadne vydanie </w:t>
      </w:r>
      <w:r w:rsidRPr="007B2961">
        <w:rPr>
          <w:rFonts w:ascii="Times New Roman" w:hAnsi="Times New Roman" w:cs="Times New Roman"/>
          <w:color w:val="000000"/>
          <w:sz w:val="24"/>
          <w:szCs w:val="24"/>
        </w:rPr>
        <w:t>Ú.v.</w:t>
      </w:r>
      <w:r w:rsidRPr="007B2961">
        <w:rPr>
          <w:rFonts w:ascii="Times New Roman" w:hAnsi="Times New Roman" w:cs="Times New Roman"/>
          <w:i/>
          <w:iCs/>
          <w:color w:val="000000"/>
          <w:sz w:val="24"/>
          <w:szCs w:val="24"/>
        </w:rPr>
        <w:t xml:space="preserve"> </w:t>
      </w:r>
      <w:r w:rsidRPr="007B2961">
        <w:rPr>
          <w:rFonts w:ascii="Times New Roman" w:hAnsi="Times New Roman" w:cs="Times New Roman"/>
          <w:sz w:val="24"/>
          <w:szCs w:val="24"/>
        </w:rPr>
        <w:t xml:space="preserve">EÚ, kap.  9/ zv. 1, </w:t>
      </w:r>
      <w:r w:rsidRPr="007B2961">
        <w:rPr>
          <w:rFonts w:ascii="Times New Roman" w:hAnsi="Times New Roman" w:cs="Times New Roman"/>
          <w:iCs/>
          <w:sz w:val="24"/>
          <w:szCs w:val="24"/>
        </w:rPr>
        <w:t>Ú. v. EÚ L 157, 26.6.2003</w:t>
      </w:r>
      <w:r w:rsidRPr="007B2961">
        <w:rPr>
          <w:rFonts w:ascii="Times New Roman" w:hAnsi="Times New Roman" w:cs="Times New Roman"/>
          <w:sz w:val="24"/>
          <w:szCs w:val="24"/>
        </w:rPr>
        <w:t>) v platnom znení,</w:t>
      </w:r>
    </w:p>
    <w:p w:rsidR="007B2961" w:rsidRPr="007B2961" w:rsidP="00C83337">
      <w:pPr>
        <w:numPr>
          <w:numId w:val="20"/>
        </w:numPr>
        <w:bidi w:val="0"/>
        <w:adjustRightInd w:val="0"/>
        <w:spacing w:after="0" w:line="240" w:lineRule="auto"/>
        <w:jc w:val="both"/>
        <w:rPr>
          <w:rFonts w:ascii="Times New Roman" w:hAnsi="Times New Roman" w:cs="Times New Roman"/>
          <w:sz w:val="24"/>
          <w:szCs w:val="24"/>
        </w:rPr>
      </w:pPr>
      <w:r w:rsidRPr="007B2961">
        <w:rPr>
          <w:rFonts w:ascii="Times New Roman" w:hAnsi="Times New Roman" w:cs="Times New Roman"/>
          <w:bCs/>
          <w:sz w:val="24"/>
          <w:szCs w:val="24"/>
        </w:rPr>
        <w:t xml:space="preserve">smernica Rady </w:t>
      </w:r>
      <w:r w:rsidRPr="007B2961">
        <w:rPr>
          <w:rFonts w:ascii="Times New Roman" w:hAnsi="Times New Roman" w:cs="Times New Roman"/>
          <w:bCs/>
          <w:sz w:val="24"/>
          <w:szCs w:val="24"/>
          <w:u w:val="single"/>
        </w:rPr>
        <w:t>2003/49/ES</w:t>
      </w:r>
      <w:r w:rsidRPr="007B2961">
        <w:rPr>
          <w:rFonts w:ascii="Times New Roman" w:hAnsi="Times New Roman" w:cs="Times New Roman"/>
          <w:bCs/>
          <w:sz w:val="24"/>
          <w:szCs w:val="24"/>
        </w:rPr>
        <w:t xml:space="preserve"> z 3. júna 2003 o spoločnom systéme zdaňovania uplatňovanom na výplaty úrokov a licenčných poplatkov medzi združenými spoločnosťami rôznych členských štátov  </w:t>
      </w:r>
      <w:r w:rsidRPr="007B2961">
        <w:rPr>
          <w:rFonts w:ascii="Times New Roman" w:hAnsi="Times New Roman" w:cs="Times New Roman"/>
          <w:color w:val="000000"/>
          <w:sz w:val="24"/>
          <w:szCs w:val="24"/>
        </w:rPr>
        <w:t>(</w:t>
      </w:r>
      <w:r w:rsidRPr="007B2961">
        <w:rPr>
          <w:rFonts w:ascii="Times New Roman" w:hAnsi="Times New Roman" w:cs="Times New Roman"/>
          <w:sz w:val="24"/>
          <w:szCs w:val="24"/>
        </w:rPr>
        <w:t xml:space="preserve">Mimoriadne vydanie </w:t>
      </w:r>
      <w:r w:rsidRPr="007B2961">
        <w:rPr>
          <w:rFonts w:ascii="Times New Roman" w:hAnsi="Times New Roman" w:cs="Times New Roman"/>
          <w:color w:val="000000"/>
          <w:sz w:val="24"/>
          <w:szCs w:val="24"/>
        </w:rPr>
        <w:t>Ú.v.</w:t>
      </w:r>
      <w:r w:rsidRPr="007B2961">
        <w:rPr>
          <w:rFonts w:ascii="Times New Roman" w:hAnsi="Times New Roman" w:cs="Times New Roman"/>
          <w:i/>
          <w:iCs/>
          <w:color w:val="000000"/>
          <w:sz w:val="24"/>
          <w:szCs w:val="24"/>
        </w:rPr>
        <w:t xml:space="preserve"> </w:t>
      </w:r>
      <w:r w:rsidRPr="007B2961">
        <w:rPr>
          <w:rFonts w:ascii="Times New Roman" w:hAnsi="Times New Roman" w:cs="Times New Roman"/>
          <w:sz w:val="24"/>
          <w:szCs w:val="24"/>
        </w:rPr>
        <w:t xml:space="preserve">EÚ, kap. 9/ zv. 1, </w:t>
      </w:r>
      <w:r w:rsidRPr="007B2961">
        <w:rPr>
          <w:rFonts w:ascii="Times New Roman" w:hAnsi="Times New Roman" w:cs="Times New Roman"/>
          <w:iCs/>
          <w:sz w:val="24"/>
          <w:szCs w:val="24"/>
        </w:rPr>
        <w:t>Ú. v. EÚ L 157, 26.6.2003</w:t>
      </w:r>
      <w:r w:rsidRPr="007B2961">
        <w:rPr>
          <w:rFonts w:ascii="Times New Roman" w:hAnsi="Times New Roman" w:cs="Times New Roman"/>
          <w:sz w:val="24"/>
          <w:szCs w:val="24"/>
        </w:rPr>
        <w:t>) v platnom znení,</w:t>
      </w:r>
    </w:p>
    <w:p w:rsidR="007B2961" w:rsidRPr="007B2961" w:rsidP="00C83337">
      <w:pPr>
        <w:numPr>
          <w:numId w:val="20"/>
        </w:numPr>
        <w:bidi w:val="0"/>
        <w:adjustRightInd w:val="0"/>
        <w:spacing w:after="0" w:line="240" w:lineRule="auto"/>
        <w:jc w:val="both"/>
        <w:rPr>
          <w:rFonts w:ascii="Times New Roman" w:hAnsi="Times New Roman" w:cs="Times New Roman"/>
          <w:sz w:val="24"/>
          <w:szCs w:val="24"/>
        </w:rPr>
      </w:pPr>
      <w:r w:rsidRPr="007B2961">
        <w:rPr>
          <w:rFonts w:ascii="Times New Roman" w:hAnsi="Times New Roman" w:cs="Times New Roman"/>
          <w:sz w:val="24"/>
          <w:szCs w:val="24"/>
        </w:rPr>
        <w:t xml:space="preserve">smernica Rady </w:t>
      </w:r>
      <w:r w:rsidRPr="007B2961">
        <w:rPr>
          <w:rFonts w:ascii="Times New Roman" w:hAnsi="Times New Roman" w:cs="Times New Roman"/>
          <w:sz w:val="24"/>
          <w:szCs w:val="24"/>
          <w:u w:val="single"/>
        </w:rPr>
        <w:t>2008/7/ES</w:t>
      </w:r>
      <w:r w:rsidRPr="007B2961">
        <w:rPr>
          <w:rFonts w:ascii="Times New Roman" w:hAnsi="Times New Roman" w:cs="Times New Roman"/>
          <w:sz w:val="24"/>
          <w:szCs w:val="24"/>
        </w:rPr>
        <w:t xml:space="preserve"> z 12. februára 2008 o nepriamych daniach z navyšovania kapitálu (Ú. v. EÚ L 46, 21.2. 2008) v platnom znení,</w:t>
      </w:r>
    </w:p>
    <w:p w:rsidR="007B2961" w:rsidRPr="007B2961" w:rsidP="00C83337">
      <w:pPr>
        <w:numPr>
          <w:numId w:val="26"/>
        </w:numPr>
        <w:tabs>
          <w:tab w:val="clear" w:pos="360"/>
          <w:tab w:val="num" w:pos="851"/>
        </w:tabs>
        <w:bidi w:val="0"/>
        <w:spacing w:after="0" w:line="240" w:lineRule="auto"/>
        <w:ind w:left="851" w:hanging="425"/>
        <w:jc w:val="both"/>
        <w:rPr>
          <w:rFonts w:ascii="Times New Roman" w:hAnsi="Times New Roman" w:cs="Times New Roman"/>
          <w:sz w:val="24"/>
          <w:szCs w:val="24"/>
        </w:rPr>
      </w:pPr>
      <w:r w:rsidRPr="007B2961">
        <w:rPr>
          <w:rFonts w:ascii="Times New Roman" w:hAnsi="Times New Roman" w:cs="Times New Roman"/>
          <w:sz w:val="24"/>
          <w:szCs w:val="24"/>
        </w:rPr>
        <w:t xml:space="preserve">smernica Rady </w:t>
      </w:r>
      <w:r w:rsidRPr="007B2961">
        <w:rPr>
          <w:rFonts w:ascii="Times New Roman" w:hAnsi="Times New Roman" w:cs="Times New Roman"/>
          <w:sz w:val="24"/>
          <w:szCs w:val="24"/>
          <w:u w:val="single"/>
        </w:rPr>
        <w:t>2009/133/ES</w:t>
      </w:r>
      <w:r w:rsidRPr="007B2961">
        <w:rPr>
          <w:rFonts w:ascii="Times New Roman" w:hAnsi="Times New Roman" w:cs="Times New Roman"/>
          <w:sz w:val="24"/>
          <w:szCs w:val="24"/>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v platnom znení.</w:t>
      </w:r>
    </w:p>
    <w:p w:rsidR="007B2961" w:rsidRPr="007B2961" w:rsidP="00C83337">
      <w:pPr>
        <w:numPr>
          <w:ilvl w:val="1"/>
          <w:numId w:val="17"/>
        </w:numPr>
        <w:bidi w:val="0"/>
        <w:spacing w:after="0" w:line="240" w:lineRule="auto"/>
        <w:rPr>
          <w:rFonts w:ascii="Times New Roman" w:hAnsi="Times New Roman" w:cs="Times New Roman"/>
          <w:sz w:val="24"/>
          <w:szCs w:val="24"/>
          <w:lang w:eastAsia="cs-CZ"/>
        </w:rPr>
      </w:pPr>
      <w:r w:rsidRPr="007B2961">
        <w:rPr>
          <w:rFonts w:ascii="Times New Roman" w:hAnsi="Times New Roman" w:cs="Times New Roman"/>
          <w:sz w:val="24"/>
          <w:szCs w:val="24"/>
          <w:lang w:eastAsia="cs-CZ"/>
        </w:rPr>
        <w:t>je obsiahnutá v judikatúre Súdneho dvora Európskej únie:</w:t>
      </w:r>
    </w:p>
    <w:p w:rsidR="007B2961" w:rsidRPr="007B2961" w:rsidP="00C83337">
      <w:pPr>
        <w:numPr>
          <w:numId w:val="21"/>
        </w:numPr>
        <w:bidi w:val="0"/>
        <w:spacing w:after="0" w:line="240" w:lineRule="auto"/>
        <w:jc w:val="both"/>
        <w:rPr>
          <w:rFonts w:ascii="Times New Roman" w:hAnsi="Times New Roman" w:cs="Times New Roman"/>
          <w:color w:val="000000"/>
          <w:sz w:val="24"/>
          <w:szCs w:val="24"/>
        </w:rPr>
      </w:pPr>
      <w:r w:rsidRPr="007B2961">
        <w:rPr>
          <w:rFonts w:ascii="Times New Roman" w:hAnsi="Times New Roman" w:cs="Times New Roman"/>
          <w:color w:val="000000"/>
          <w:sz w:val="24"/>
          <w:szCs w:val="24"/>
        </w:rPr>
        <w:t xml:space="preserve">rozhodnutie Súdneho dvora vo veci C - 28/95, </w:t>
      </w:r>
      <w:r w:rsidRPr="007B2961">
        <w:rPr>
          <w:rFonts w:ascii="Times New Roman" w:hAnsi="Times New Roman" w:cs="Times New Roman"/>
          <w:bCs/>
          <w:color w:val="000000"/>
          <w:sz w:val="24"/>
          <w:szCs w:val="24"/>
        </w:rPr>
        <w:t>A.Leur-Bloem v. Inspecteur der Belastingdienst/Ondernemingen Amsterdam 2</w:t>
      </w:r>
      <w:r w:rsidRPr="007B2961">
        <w:rPr>
          <w:rFonts w:ascii="Times New Roman" w:hAnsi="Times New Roman" w:cs="Times New Roman"/>
          <w:color w:val="000000"/>
          <w:sz w:val="24"/>
          <w:szCs w:val="24"/>
        </w:rPr>
        <w:t>,</w:t>
      </w:r>
      <w:r w:rsidRPr="007B2961">
        <w:rPr>
          <w:rFonts w:ascii="Times New Roman" w:hAnsi="Times New Roman" w:cs="Times New Roman"/>
          <w:sz w:val="24"/>
          <w:szCs w:val="24"/>
        </w:rPr>
        <w:t xml:space="preserve"> [1997]</w:t>
      </w:r>
      <w:r w:rsidRPr="007B2961">
        <w:rPr>
          <w:rFonts w:ascii="Times New Roman" w:hAnsi="Times New Roman" w:cs="Times New Roman"/>
          <w:color w:val="000000"/>
          <w:sz w:val="24"/>
          <w:szCs w:val="24"/>
        </w:rPr>
        <w:t>,</w:t>
      </w:r>
    </w:p>
    <w:p w:rsidR="007B2961" w:rsidRPr="007B2961" w:rsidP="00C83337">
      <w:pPr>
        <w:numPr>
          <w:numId w:val="22"/>
        </w:numPr>
        <w:bidi w:val="0"/>
        <w:spacing w:after="0" w:line="240" w:lineRule="auto"/>
        <w:jc w:val="both"/>
        <w:rPr>
          <w:rFonts w:ascii="Times New Roman" w:hAnsi="Times New Roman" w:cs="Times New Roman"/>
          <w:color w:val="000000"/>
          <w:sz w:val="24"/>
          <w:szCs w:val="24"/>
        </w:rPr>
      </w:pPr>
      <w:r w:rsidRPr="007B2961">
        <w:rPr>
          <w:rFonts w:ascii="Times New Roman" w:hAnsi="Times New Roman" w:cs="Times New Roman"/>
          <w:color w:val="000000"/>
          <w:sz w:val="24"/>
          <w:szCs w:val="24"/>
        </w:rPr>
        <w:t xml:space="preserve">rozhodnutie Súdneho dvora vo veci C - 43/00, Andersen og Jensen ApS v. Skatteministeriet, [2002], </w:t>
      </w:r>
    </w:p>
    <w:p w:rsidR="007B2961" w:rsidRPr="007B2961" w:rsidP="00C83337">
      <w:pPr>
        <w:numPr>
          <w:numId w:val="23"/>
        </w:numPr>
        <w:bidi w:val="0"/>
        <w:spacing w:after="0" w:line="240" w:lineRule="auto"/>
        <w:jc w:val="both"/>
        <w:rPr>
          <w:rFonts w:ascii="Times New Roman" w:hAnsi="Times New Roman" w:cs="Times New Roman"/>
          <w:color w:val="000000"/>
          <w:sz w:val="24"/>
          <w:szCs w:val="24"/>
        </w:rPr>
      </w:pPr>
      <w:r w:rsidRPr="007B2961">
        <w:rPr>
          <w:rFonts w:ascii="Times New Roman" w:hAnsi="Times New Roman" w:cs="Times New Roman"/>
          <w:color w:val="000000"/>
          <w:sz w:val="24"/>
          <w:szCs w:val="24"/>
        </w:rPr>
        <w:t>rozhodnutie Súdneho dvora vo veci C - 522/04, EK v. Belgické kráľovstvo, [2007],</w:t>
      </w:r>
    </w:p>
    <w:p w:rsidR="007B2961" w:rsidRPr="007B2961" w:rsidP="00C83337">
      <w:pPr>
        <w:numPr>
          <w:numId w:val="24"/>
        </w:numPr>
        <w:bidi w:val="0"/>
        <w:spacing w:after="0" w:line="240" w:lineRule="auto"/>
        <w:jc w:val="both"/>
        <w:rPr>
          <w:rFonts w:ascii="Times New Roman" w:hAnsi="Times New Roman" w:cs="Times New Roman"/>
          <w:color w:val="000000"/>
          <w:sz w:val="24"/>
          <w:szCs w:val="24"/>
          <w:lang w:val="cs-CZ"/>
        </w:rPr>
      </w:pPr>
      <w:r w:rsidRPr="007B2961">
        <w:rPr>
          <w:rFonts w:ascii="Times New Roman" w:hAnsi="Times New Roman" w:cs="Times New Roman"/>
          <w:color w:val="000000"/>
          <w:sz w:val="24"/>
          <w:szCs w:val="24"/>
        </w:rPr>
        <w:t>rozhodnutie Súdneho dvora vo veci C - 294/99, Athinaïki Zythopoiia AE v. Elliniko Dimosio, [2001]</w:t>
      </w:r>
      <w:r w:rsidRPr="007B2961">
        <w:rPr>
          <w:rFonts w:ascii="Times New Roman" w:hAnsi="Times New Roman" w:cs="Times New Roman"/>
          <w:color w:val="000000"/>
          <w:sz w:val="24"/>
          <w:szCs w:val="24"/>
          <w:lang w:val="cs-CZ"/>
        </w:rPr>
        <w:t>,</w:t>
      </w:r>
    </w:p>
    <w:p w:rsidR="007B2961" w:rsidRPr="00C83337" w:rsidP="00C83337">
      <w:pPr>
        <w:numPr>
          <w:numId w:val="24"/>
        </w:numPr>
        <w:bidi w:val="0"/>
        <w:spacing w:after="0" w:line="240" w:lineRule="auto"/>
        <w:jc w:val="both"/>
        <w:rPr>
          <w:rFonts w:ascii="Times New Roman" w:hAnsi="Times New Roman" w:cs="Times New Roman"/>
          <w:sz w:val="24"/>
          <w:szCs w:val="24"/>
          <w:lang w:eastAsia="cs-CZ"/>
        </w:rPr>
      </w:pPr>
      <w:r w:rsidRPr="007B2961">
        <w:rPr>
          <w:rFonts w:ascii="Times New Roman" w:hAnsi="Times New Roman" w:cs="Times New Roman"/>
          <w:sz w:val="24"/>
          <w:szCs w:val="24"/>
        </w:rPr>
        <w:t>rozhodnutie Súdneho dvora v s</w:t>
      </w:r>
      <w:r w:rsidRPr="007B2961">
        <w:rPr>
          <w:rFonts w:ascii="Times New Roman" w:hAnsi="Times New Roman" w:cs="Times New Roman"/>
          <w:bCs/>
          <w:sz w:val="24"/>
          <w:szCs w:val="24"/>
        </w:rPr>
        <w:t>pojených veciach C-53/13 a C-80/13</w:t>
      </w:r>
      <w:r w:rsidRPr="007B2961">
        <w:rPr>
          <w:rFonts w:ascii="Times New Roman" w:hAnsi="Times New Roman" w:cs="Times New Roman"/>
          <w:sz w:val="24"/>
          <w:szCs w:val="24"/>
        </w:rPr>
        <w:t xml:space="preserve">, </w:t>
      </w:r>
      <w:r w:rsidRPr="007B2961">
        <w:rPr>
          <w:rFonts w:ascii="Times New Roman" w:hAnsi="Times New Roman" w:cs="Times New Roman"/>
          <w:bCs/>
          <w:sz w:val="24"/>
          <w:szCs w:val="24"/>
        </w:rPr>
        <w:t>Strojírny Prostějov a.s., ACO Industries Tábor proti Odvolacímu finančnímu ředitelství, [2014].</w:t>
      </w:r>
    </w:p>
    <w:p w:rsidR="00C83337" w:rsidRPr="007B2961" w:rsidP="00C83337">
      <w:pPr>
        <w:bidi w:val="0"/>
        <w:spacing w:after="0" w:line="240" w:lineRule="auto"/>
        <w:ind w:left="870"/>
        <w:jc w:val="both"/>
        <w:rPr>
          <w:rFonts w:ascii="Times New Roman" w:hAnsi="Times New Roman" w:cs="Times New Roman"/>
          <w:sz w:val="24"/>
          <w:szCs w:val="24"/>
          <w:lang w:eastAsia="cs-CZ"/>
        </w:rPr>
      </w:pPr>
    </w:p>
    <w:p w:rsidR="007B2961" w:rsidRPr="007B2961" w:rsidP="00C83337">
      <w:pPr>
        <w:numPr>
          <w:numId w:val="17"/>
        </w:numPr>
        <w:bidi w:val="0"/>
        <w:spacing w:after="0" w:line="240" w:lineRule="auto"/>
        <w:jc w:val="both"/>
        <w:rPr>
          <w:rFonts w:ascii="Times New Roman" w:hAnsi="Times New Roman" w:cs="Times New Roman"/>
          <w:b/>
          <w:bCs/>
          <w:sz w:val="24"/>
          <w:szCs w:val="24"/>
        </w:rPr>
      </w:pPr>
      <w:r w:rsidRPr="007B2961">
        <w:rPr>
          <w:rFonts w:ascii="Times New Roman" w:hAnsi="Times New Roman" w:cs="Times New Roman"/>
          <w:b/>
          <w:bCs/>
          <w:sz w:val="24"/>
          <w:szCs w:val="24"/>
        </w:rPr>
        <w:t>Záväzky Slovenskej republiky vo vzťahu k Európskej únii:</w:t>
      </w:r>
    </w:p>
    <w:p w:rsidR="007B2961" w:rsidP="00C83337">
      <w:pPr>
        <w:numPr>
          <w:numId w:val="25"/>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 xml:space="preserve">Lehota na prebratie smernice (EÚ) 2016/1164 bola stanovená do 31.12. 2018. Lehota na prebratie smernice </w:t>
      </w:r>
      <w:r w:rsidRPr="007B2961">
        <w:rPr>
          <w:rFonts w:ascii="Times New Roman" w:hAnsi="Times New Roman" w:cs="Times New Roman"/>
          <w:bCs/>
          <w:sz w:val="24"/>
          <w:szCs w:val="24"/>
        </w:rPr>
        <w:t xml:space="preserve">2003/49/ES </w:t>
      </w:r>
      <w:r w:rsidRPr="007B2961">
        <w:rPr>
          <w:rFonts w:ascii="Times New Roman" w:hAnsi="Times New Roman" w:cs="Times New Roman"/>
          <w:sz w:val="24"/>
          <w:szCs w:val="24"/>
          <w:lang w:eastAsia="cs-CZ"/>
        </w:rPr>
        <w:t xml:space="preserve">bola stanovená do 30.4. 2004. Lehota na prebratie smernice </w:t>
      </w:r>
      <w:r w:rsidRPr="007B2961">
        <w:rPr>
          <w:rFonts w:ascii="Times New Roman" w:hAnsi="Times New Roman" w:cs="Times New Roman"/>
          <w:bCs/>
          <w:sz w:val="24"/>
          <w:szCs w:val="24"/>
        </w:rPr>
        <w:t>2009/133/ES ne</w:t>
      </w:r>
      <w:r w:rsidRPr="007B2961">
        <w:rPr>
          <w:rFonts w:ascii="Times New Roman" w:hAnsi="Times New Roman" w:cs="Times New Roman"/>
          <w:sz w:val="24"/>
          <w:szCs w:val="24"/>
          <w:lang w:eastAsia="cs-CZ"/>
        </w:rPr>
        <w:t xml:space="preserve">bola stanovená. Lehota na prebratie smernice 2011/96/EÚ bola stanovená do 18.1. 2012. </w:t>
      </w:r>
    </w:p>
    <w:p w:rsidR="007B2961" w:rsidRPr="007B2961" w:rsidP="00C83337">
      <w:pPr>
        <w:numPr>
          <w:numId w:val="25"/>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 xml:space="preserve">Lehota na predloženie návrhu právneho predpisu na rokovanie vlády podľa určenia gestorských ústredných orgánov štátnej správy zodpovedných za transpozíciu smerníc a vypracovanie tabuliek zhody k návrhom všeobecne záväzných právnych predpisov pre smernicu (EÚ) 2016/1164 bola určená do 30.9. 2017. </w:t>
      </w:r>
    </w:p>
    <w:p w:rsidR="007B2961" w:rsidRPr="007B2961" w:rsidP="00C83337">
      <w:pPr>
        <w:tabs>
          <w:tab w:val="left" w:pos="425"/>
        </w:tabs>
        <w:bidi w:val="0"/>
        <w:spacing w:after="0" w:line="240" w:lineRule="auto"/>
        <w:ind w:left="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 xml:space="preserve">Lehota na predloženie návrhu právneho predpisu na rokovanie vlády podľa určenia gestorských ústredných orgánov štátnej správy zodpovedných za transpozíciu smerníc a vypracovanie tabuliek zhody k návrhom všeobecne záväzných právnych predpisov bola pre smernicu </w:t>
      </w:r>
      <w:r w:rsidRPr="007B2961">
        <w:rPr>
          <w:rFonts w:ascii="Times New Roman" w:hAnsi="Times New Roman" w:cs="Times New Roman"/>
          <w:bCs/>
          <w:sz w:val="24"/>
          <w:szCs w:val="24"/>
        </w:rPr>
        <w:t xml:space="preserve">2003/49/ES nebola </w:t>
      </w:r>
      <w:r w:rsidRPr="007B2961">
        <w:rPr>
          <w:rFonts w:ascii="Times New Roman" w:hAnsi="Times New Roman" w:cs="Times New Roman"/>
          <w:sz w:val="24"/>
          <w:szCs w:val="24"/>
          <w:lang w:eastAsia="cs-CZ"/>
        </w:rPr>
        <w:t>určená.</w:t>
      </w:r>
    </w:p>
    <w:p w:rsidR="007B2961" w:rsidRPr="007B2961" w:rsidP="00C83337">
      <w:pPr>
        <w:tabs>
          <w:tab w:val="left" w:pos="425"/>
        </w:tabs>
        <w:bidi w:val="0"/>
        <w:spacing w:after="0" w:line="240" w:lineRule="auto"/>
        <w:ind w:left="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 xml:space="preserve">Lehota na predloženie návrhu právneho predpisu na rokovanie vlády podľa určenia gestorských ústredných orgánov štátnej správy zodpovedných za transpozíciu smerníc a vypracovanie tabuliek zhody k návrhom všeobecne záväzných právnych predpisov bola pre smernicu </w:t>
      </w:r>
      <w:r w:rsidRPr="007B2961">
        <w:rPr>
          <w:rFonts w:ascii="Times New Roman" w:hAnsi="Times New Roman" w:cs="Times New Roman"/>
          <w:bCs/>
          <w:sz w:val="24"/>
          <w:szCs w:val="24"/>
        </w:rPr>
        <w:t xml:space="preserve">2009/133/ES nebola </w:t>
      </w:r>
      <w:r w:rsidRPr="007B2961">
        <w:rPr>
          <w:rFonts w:ascii="Times New Roman" w:hAnsi="Times New Roman" w:cs="Times New Roman"/>
          <w:sz w:val="24"/>
          <w:szCs w:val="24"/>
          <w:lang w:eastAsia="cs-CZ"/>
        </w:rPr>
        <w:t>určená.</w:t>
      </w:r>
    </w:p>
    <w:p w:rsidR="007B2961" w:rsidP="00C83337">
      <w:pPr>
        <w:tabs>
          <w:tab w:val="left" w:pos="425"/>
        </w:tabs>
        <w:bidi w:val="0"/>
        <w:spacing w:after="0" w:line="240" w:lineRule="auto"/>
        <w:ind w:left="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Lehota na predloženie návrhu právneho predpisu na rokovanie vlády podľa určenia gestorských ústredných orgánov štátnej správy zodpovedných za transpozíciu smerníc a vypracovanie tabuliek zhody k návrhom všeobecne záväzných právnych predpisov bola pre smernicu 2011/96/EÚ určená bezodkladne.</w:t>
      </w:r>
    </w:p>
    <w:p w:rsidR="007B2961" w:rsidP="00C83337">
      <w:pPr>
        <w:numPr>
          <w:numId w:val="25"/>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Proti SR nebolo začaté konanie o porušení Zmluvy o fungovaní Európskej únie podľa čl. 258 až 260.</w:t>
      </w:r>
    </w:p>
    <w:p w:rsidR="007B2961" w:rsidRPr="007B2961" w:rsidP="00C83337">
      <w:pPr>
        <w:numPr>
          <w:numId w:val="25"/>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7B2961">
        <w:rPr>
          <w:rFonts w:ascii="Times New Roman" w:hAnsi="Times New Roman" w:cs="Times New Roman"/>
          <w:sz w:val="24"/>
          <w:szCs w:val="24"/>
          <w:lang w:eastAsia="cs-CZ"/>
        </w:rPr>
        <w:t xml:space="preserve">Smernica (EÚ) 2016/1164 bola prebratá do zákona č. </w:t>
      </w:r>
      <w:r w:rsidRPr="007B2961">
        <w:rPr>
          <w:rFonts w:ascii="Times New Roman" w:hAnsi="Times New Roman" w:cs="Times New Roman"/>
          <w:sz w:val="24"/>
          <w:szCs w:val="24"/>
        </w:rPr>
        <w:t xml:space="preserve">595/2003 Z. z. o dani z príjmov v znení neskorších predpisov a do zákona </w:t>
      </w:r>
      <w:r w:rsidRPr="007B2961">
        <w:rPr>
          <w:rFonts w:ascii="Times New Roman" w:hAnsi="Times New Roman" w:cs="Times New Roman"/>
          <w:bCs/>
          <w:sz w:val="24"/>
          <w:szCs w:val="24"/>
        </w:rPr>
        <w:t>č. 563/2009 Z. z. o správe daní (daňový poriadok) a o zmene a doplnení niektorých zákonov v znení neskorších predpisov</w:t>
      </w:r>
      <w:r w:rsidRPr="007B2961">
        <w:rPr>
          <w:rFonts w:ascii="Times New Roman" w:hAnsi="Times New Roman" w:cs="Times New Roman"/>
          <w:sz w:val="24"/>
          <w:szCs w:val="24"/>
          <w:lang w:eastAsia="cs-CZ"/>
        </w:rPr>
        <w:t>.</w:t>
      </w:r>
    </w:p>
    <w:p w:rsidR="007B2961" w:rsidRPr="007B2961" w:rsidP="00C83337">
      <w:pPr>
        <w:tabs>
          <w:tab w:val="left" w:pos="425"/>
        </w:tabs>
        <w:bidi w:val="0"/>
        <w:spacing w:after="0" w:line="240" w:lineRule="auto"/>
        <w:ind w:left="425"/>
        <w:jc w:val="both"/>
        <w:rPr>
          <w:rFonts w:ascii="Times New Roman" w:hAnsi="Times New Roman" w:cs="Times New Roman"/>
          <w:sz w:val="24"/>
          <w:szCs w:val="24"/>
        </w:rPr>
      </w:pPr>
      <w:r w:rsidRPr="007B2961">
        <w:rPr>
          <w:rFonts w:ascii="Times New Roman" w:hAnsi="Times New Roman" w:cs="Times New Roman"/>
          <w:sz w:val="24"/>
          <w:szCs w:val="24"/>
          <w:lang w:eastAsia="cs-CZ"/>
        </w:rPr>
        <w:t xml:space="preserve">Smernica </w:t>
      </w:r>
      <w:r w:rsidRPr="007B2961">
        <w:rPr>
          <w:rFonts w:ascii="Times New Roman" w:hAnsi="Times New Roman" w:cs="Times New Roman"/>
          <w:sz w:val="24"/>
          <w:szCs w:val="24"/>
        </w:rPr>
        <w:t>2009/133/ES</w:t>
      </w:r>
      <w:r w:rsidRPr="007B2961">
        <w:rPr>
          <w:rFonts w:ascii="Times New Roman" w:hAnsi="Times New Roman" w:cs="Times New Roman"/>
          <w:sz w:val="24"/>
          <w:szCs w:val="24"/>
          <w:lang w:eastAsia="cs-CZ"/>
        </w:rPr>
        <w:t xml:space="preserve"> bola prebratá do zákona č. </w:t>
      </w:r>
      <w:r w:rsidRPr="007B2961">
        <w:rPr>
          <w:rFonts w:ascii="Times New Roman" w:hAnsi="Times New Roman" w:cs="Times New Roman"/>
          <w:sz w:val="24"/>
          <w:szCs w:val="24"/>
        </w:rPr>
        <w:t>595/2003 Z. z. o dani z príjmov v znení neskorších predpisov.</w:t>
      </w:r>
    </w:p>
    <w:p w:rsidR="007B2961" w:rsidRPr="007B2961" w:rsidP="00C83337">
      <w:pPr>
        <w:tabs>
          <w:tab w:val="left" w:pos="425"/>
        </w:tabs>
        <w:bidi w:val="0"/>
        <w:spacing w:after="0" w:line="240" w:lineRule="auto"/>
        <w:ind w:left="425"/>
        <w:jc w:val="both"/>
        <w:rPr>
          <w:rFonts w:ascii="Times New Roman" w:hAnsi="Times New Roman" w:cs="Times New Roman"/>
          <w:sz w:val="24"/>
          <w:szCs w:val="24"/>
        </w:rPr>
      </w:pPr>
      <w:r w:rsidRPr="007B2961">
        <w:rPr>
          <w:rFonts w:ascii="Times New Roman" w:hAnsi="Times New Roman" w:cs="Times New Roman"/>
          <w:sz w:val="24"/>
          <w:szCs w:val="24"/>
          <w:lang w:eastAsia="cs-CZ"/>
        </w:rPr>
        <w:t xml:space="preserve">Smernica </w:t>
      </w:r>
      <w:r w:rsidRPr="007B2961">
        <w:rPr>
          <w:rFonts w:ascii="Times New Roman" w:hAnsi="Times New Roman" w:cs="Times New Roman"/>
          <w:bCs/>
          <w:sz w:val="24"/>
          <w:szCs w:val="24"/>
        </w:rPr>
        <w:t xml:space="preserve">2003/49/ES </w:t>
      </w:r>
      <w:r w:rsidRPr="007B2961">
        <w:rPr>
          <w:rFonts w:ascii="Times New Roman" w:hAnsi="Times New Roman" w:cs="Times New Roman"/>
          <w:sz w:val="24"/>
          <w:szCs w:val="24"/>
          <w:lang w:eastAsia="cs-CZ"/>
        </w:rPr>
        <w:t xml:space="preserve">bola prebratá do zákona č. </w:t>
      </w:r>
      <w:r w:rsidRPr="007B2961">
        <w:rPr>
          <w:rFonts w:ascii="Times New Roman" w:hAnsi="Times New Roman" w:cs="Times New Roman"/>
          <w:sz w:val="24"/>
          <w:szCs w:val="24"/>
        </w:rPr>
        <w:t>595/2003 Z. z. o dani z príjmov v znení neskorších predpisov.</w:t>
      </w:r>
    </w:p>
    <w:p w:rsidR="007B2961" w:rsidP="00C83337">
      <w:pPr>
        <w:tabs>
          <w:tab w:val="left" w:pos="425"/>
        </w:tabs>
        <w:bidi w:val="0"/>
        <w:spacing w:after="0" w:line="240" w:lineRule="auto"/>
        <w:ind w:left="425"/>
        <w:jc w:val="both"/>
        <w:rPr>
          <w:rFonts w:ascii="Times New Roman" w:hAnsi="Times New Roman" w:cs="Times New Roman"/>
          <w:sz w:val="24"/>
          <w:szCs w:val="24"/>
        </w:rPr>
      </w:pPr>
      <w:r w:rsidRPr="007B2961">
        <w:rPr>
          <w:rFonts w:ascii="Times New Roman" w:hAnsi="Times New Roman" w:cs="Times New Roman"/>
          <w:sz w:val="24"/>
          <w:szCs w:val="24"/>
          <w:lang w:eastAsia="cs-CZ"/>
        </w:rPr>
        <w:t xml:space="preserve">Smernica 2011/96/EÚ bola prebratá do zákona č. </w:t>
      </w:r>
      <w:r w:rsidRPr="007B2961">
        <w:rPr>
          <w:rFonts w:ascii="Times New Roman" w:hAnsi="Times New Roman" w:cs="Times New Roman"/>
          <w:sz w:val="24"/>
          <w:szCs w:val="24"/>
        </w:rPr>
        <w:t>595/2003 Z. z. o dani z príjmov v znení neskorších predpisov.</w:t>
      </w:r>
    </w:p>
    <w:p w:rsidR="00C83337" w:rsidRPr="007B2961" w:rsidP="00C83337">
      <w:pPr>
        <w:tabs>
          <w:tab w:val="left" w:pos="425"/>
        </w:tabs>
        <w:bidi w:val="0"/>
        <w:spacing w:after="0" w:line="240" w:lineRule="auto"/>
        <w:ind w:left="425"/>
        <w:jc w:val="both"/>
        <w:rPr>
          <w:rFonts w:ascii="Times New Roman" w:hAnsi="Times New Roman" w:cs="Times New Roman"/>
          <w:sz w:val="24"/>
          <w:szCs w:val="24"/>
        </w:rPr>
      </w:pPr>
    </w:p>
    <w:p w:rsidR="007B2961" w:rsidRPr="007B2961" w:rsidP="00C83337">
      <w:pPr>
        <w:numPr>
          <w:numId w:val="17"/>
        </w:numPr>
        <w:bidi w:val="0"/>
        <w:spacing w:after="0" w:line="240" w:lineRule="auto"/>
        <w:jc w:val="both"/>
        <w:rPr>
          <w:rFonts w:ascii="Times New Roman" w:hAnsi="Times New Roman" w:cs="Times New Roman"/>
          <w:b/>
          <w:bCs/>
          <w:sz w:val="24"/>
          <w:szCs w:val="24"/>
        </w:rPr>
      </w:pPr>
      <w:r w:rsidRPr="007B2961">
        <w:rPr>
          <w:rFonts w:ascii="Times New Roman" w:hAnsi="Times New Roman" w:cs="Times New Roman"/>
          <w:b/>
          <w:bCs/>
          <w:sz w:val="24"/>
          <w:szCs w:val="24"/>
        </w:rPr>
        <w:t>Stupeň zlučiteľnosti návrhu zákona s právom Európskej únie:</w:t>
      </w:r>
    </w:p>
    <w:p w:rsidR="007B2961" w:rsidP="00C83337">
      <w:pPr>
        <w:bidi w:val="0"/>
        <w:spacing w:after="0" w:line="240" w:lineRule="auto"/>
        <w:ind w:left="425"/>
        <w:jc w:val="both"/>
        <w:rPr>
          <w:rFonts w:ascii="Times New Roman" w:hAnsi="Times New Roman" w:cs="Times New Roman"/>
          <w:sz w:val="24"/>
          <w:szCs w:val="24"/>
        </w:rPr>
      </w:pPr>
      <w:r w:rsidRPr="007B2961">
        <w:rPr>
          <w:rFonts w:ascii="Times New Roman" w:hAnsi="Times New Roman" w:cs="Times New Roman"/>
          <w:sz w:val="24"/>
          <w:szCs w:val="24"/>
        </w:rPr>
        <w:t>Úplný.</w:t>
      </w:r>
    </w:p>
    <w:p w:rsidR="00C83337" w:rsidRPr="007B2961" w:rsidP="00C83337">
      <w:pPr>
        <w:bidi w:val="0"/>
        <w:spacing w:after="0" w:line="240" w:lineRule="auto"/>
        <w:ind w:left="425"/>
        <w:jc w:val="both"/>
        <w:rPr>
          <w:rFonts w:ascii="Times New Roman" w:hAnsi="Times New Roman" w:cs="Times New Roman"/>
          <w:sz w:val="24"/>
          <w:szCs w:val="24"/>
        </w:rPr>
      </w:pPr>
    </w:p>
    <w:p w:rsidR="007B2961" w:rsidRPr="007B2961" w:rsidP="00C83337">
      <w:pPr>
        <w:numPr>
          <w:numId w:val="17"/>
        </w:numPr>
        <w:bidi w:val="0"/>
        <w:spacing w:after="0" w:line="240" w:lineRule="auto"/>
        <w:jc w:val="both"/>
        <w:rPr>
          <w:rFonts w:ascii="Times New Roman" w:hAnsi="Times New Roman" w:cs="Times New Roman"/>
          <w:b/>
          <w:bCs/>
          <w:sz w:val="24"/>
          <w:szCs w:val="24"/>
        </w:rPr>
      </w:pPr>
      <w:r w:rsidRPr="007B2961">
        <w:rPr>
          <w:rFonts w:ascii="Times New Roman" w:hAnsi="Times New Roman" w:cs="Times New Roman"/>
          <w:b/>
          <w:bCs/>
          <w:sz w:val="24"/>
          <w:szCs w:val="24"/>
        </w:rPr>
        <w:t xml:space="preserve">Gestor a spolupracujúce rezorty: </w:t>
      </w:r>
    </w:p>
    <w:p w:rsidR="007B2961" w:rsidP="00C83337">
      <w:pPr>
        <w:bidi w:val="0"/>
        <w:spacing w:after="0" w:line="240" w:lineRule="auto"/>
        <w:ind w:left="360"/>
        <w:jc w:val="both"/>
        <w:rPr>
          <w:rFonts w:ascii="Times New Roman" w:hAnsi="Times New Roman" w:cs="Times New Roman"/>
          <w:sz w:val="24"/>
          <w:szCs w:val="24"/>
        </w:rPr>
      </w:pPr>
      <w:r w:rsidRPr="007B2961">
        <w:rPr>
          <w:rFonts w:ascii="Times New Roman" w:hAnsi="Times New Roman" w:cs="Times New Roman"/>
          <w:sz w:val="24"/>
          <w:szCs w:val="24"/>
        </w:rPr>
        <w:t xml:space="preserve"> Ministerstvo financií Slovenskej republiky.</w:t>
      </w: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Osobitná časť</w:t>
      </w:r>
    </w:p>
    <w:p w:rsidR="007B2961" w:rsidRPr="00AC4812" w:rsidP="007B2961">
      <w:pPr>
        <w:bidi w:val="0"/>
        <w:spacing w:after="0" w:line="240" w:lineRule="auto"/>
        <w:rPr>
          <w:rFonts w:ascii="Times New Roman" w:hAnsi="Times New Roman" w:cs="Times New Roman"/>
          <w:b/>
          <w:sz w:val="24"/>
          <w:szCs w:val="24"/>
          <w:u w:val="single"/>
        </w:rPr>
      </w:pPr>
    </w:p>
    <w:p w:rsidR="007B2961" w:rsidRPr="00AC4812" w:rsidP="007B2961">
      <w:pPr>
        <w:bidi w:val="0"/>
        <w:spacing w:after="0" w:line="240" w:lineRule="auto"/>
        <w:rPr>
          <w:rFonts w:ascii="Times New Roman" w:hAnsi="Times New Roman" w:cs="Times New Roman"/>
          <w:b/>
          <w:sz w:val="24"/>
          <w:szCs w:val="24"/>
        </w:rPr>
      </w:pPr>
      <w:r w:rsidRPr="00AC4812">
        <w:rPr>
          <w:rFonts w:ascii="Times New Roman" w:hAnsi="Times New Roman" w:cs="Times New Roman"/>
          <w:b/>
          <w:sz w:val="24"/>
          <w:szCs w:val="24"/>
        </w:rPr>
        <w:t>K Čl. I</w:t>
      </w:r>
    </w:p>
    <w:p w:rsidR="007B2961" w:rsidRPr="00AC4812" w:rsidP="007B2961">
      <w:pPr>
        <w:bidi w:val="0"/>
        <w:spacing w:after="0" w:line="240" w:lineRule="auto"/>
        <w:rPr>
          <w:rFonts w:ascii="Times New Roman" w:hAnsi="Times New Roman" w:cs="Times New Roman"/>
          <w:sz w:val="24"/>
          <w:szCs w:val="24"/>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K bodu 1 - § 2 písm. d)</w:t>
      </w:r>
    </w:p>
    <w:p w:rsidR="007B2961" w:rsidRPr="00AC4812" w:rsidP="007B2961">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w:t>
      </w:r>
      <w:r w:rsidRPr="00AC4812">
        <w:rPr>
          <w:rFonts w:ascii="Times New Roman" w:hAnsi="Times New Roman" w:cs="Times New Roman"/>
          <w:sz w:val="24"/>
          <w:szCs w:val="24"/>
        </w:rPr>
        <w:t xml:space="preserve"> kritérií určenia daňovníka s neobmedzenou daňovou povinnosťou </w:t>
      </w:r>
      <w:r>
        <w:rPr>
          <w:rFonts w:ascii="Times New Roman" w:hAnsi="Times New Roman" w:cs="Times New Roman"/>
          <w:sz w:val="24"/>
          <w:szCs w:val="24"/>
        </w:rPr>
        <w:t xml:space="preserve">sa </w:t>
      </w:r>
      <w:r w:rsidRPr="00AC4812">
        <w:rPr>
          <w:rFonts w:ascii="Times New Roman" w:hAnsi="Times New Roman" w:cs="Times New Roman"/>
          <w:sz w:val="24"/>
          <w:szCs w:val="24"/>
        </w:rPr>
        <w:t xml:space="preserve">dopĺňa bydlisko. Fyzická osoba má na území </w:t>
      </w:r>
      <w:r>
        <w:rPr>
          <w:rFonts w:ascii="Times New Roman" w:hAnsi="Times New Roman" w:cs="Times New Roman"/>
          <w:sz w:val="24"/>
          <w:szCs w:val="24"/>
        </w:rPr>
        <w:t>SR</w:t>
      </w:r>
      <w:r w:rsidRPr="00AC4812">
        <w:rPr>
          <w:rFonts w:ascii="Times New Roman" w:hAnsi="Times New Roman" w:cs="Times New Roman"/>
          <w:sz w:val="24"/>
          <w:szCs w:val="24"/>
        </w:rPr>
        <w:t xml:space="preserve"> bydlisko, ak na území </w:t>
      </w:r>
      <w:r>
        <w:rPr>
          <w:rFonts w:ascii="Times New Roman" w:hAnsi="Times New Roman" w:cs="Times New Roman"/>
          <w:sz w:val="24"/>
          <w:szCs w:val="24"/>
        </w:rPr>
        <w:t>SR</w:t>
      </w:r>
      <w:r w:rsidRPr="00AC4812">
        <w:rPr>
          <w:rFonts w:ascii="Times New Roman" w:hAnsi="Times New Roman" w:cs="Times New Roman"/>
          <w:sz w:val="24"/>
          <w:szCs w:val="24"/>
        </w:rPr>
        <w:t xml:space="preserve"> má za trvalým účelom k dispozícii možnosť ubytovania, ktoré neslúži len k príležitostnému ubytovaniu z dôvodu krátkodobých návštev napríklad za účelom pracovných ciest, turizmu, rekreácie.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Uvedená terminológia vyplýva z kontextu zmlúv o zamedzení dvojitého zdanenia. Určenie daňovej príslušnosti daňovníka je rozhodujúcou podmienkou pre stanovenie rozsahu daňových povinností daňovníkov v </w:t>
      </w:r>
      <w:r>
        <w:rPr>
          <w:rFonts w:ascii="Times New Roman" w:hAnsi="Times New Roman" w:cs="Times New Roman"/>
          <w:sz w:val="24"/>
          <w:szCs w:val="24"/>
        </w:rPr>
        <w:t>SR</w:t>
      </w:r>
      <w:r w:rsidRPr="00AC4812">
        <w:rPr>
          <w:rFonts w:ascii="Times New Roman" w:hAnsi="Times New Roman" w:cs="Times New Roman"/>
          <w:sz w:val="24"/>
          <w:szCs w:val="24"/>
        </w:rPr>
        <w:t>.</w:t>
      </w:r>
    </w:p>
    <w:p w:rsidR="007B2961" w:rsidRPr="00AC4812" w:rsidP="007B2961">
      <w:pPr>
        <w:bidi w:val="0"/>
        <w:spacing w:after="0" w:line="240" w:lineRule="auto"/>
        <w:jc w:val="both"/>
        <w:rPr>
          <w:rFonts w:ascii="Times New Roman" w:hAnsi="Times New Roman" w:cs="Times New Roman"/>
          <w:sz w:val="24"/>
          <w:szCs w:val="24"/>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2</w:t>
      </w:r>
      <w:r w:rsidRPr="00AC4812">
        <w:rPr>
          <w:rFonts w:ascii="Times New Roman" w:hAnsi="Times New Roman" w:cs="Times New Roman"/>
          <w:b/>
          <w:sz w:val="24"/>
          <w:szCs w:val="24"/>
          <w:u w:val="single"/>
        </w:rPr>
        <w:t xml:space="preserve"> - § 2 písm. n) a o)</w:t>
      </w:r>
    </w:p>
    <w:p w:rsidR="007B2961" w:rsidRPr="00AC4812" w:rsidP="007B2961">
      <w:pPr>
        <w:pStyle w:val="Default0"/>
        <w:bidi w:val="0"/>
        <w:jc w:val="both"/>
        <w:rPr>
          <w:rFonts w:ascii="Times New Roman" w:hAnsi="Times New Roman"/>
          <w:color w:val="auto"/>
        </w:rPr>
      </w:pPr>
      <w:r w:rsidRPr="00AC4812">
        <w:rPr>
          <w:rFonts w:ascii="Times New Roman" w:hAnsi="Times New Roman"/>
          <w:color w:val="auto"/>
        </w:rPr>
        <w:t xml:space="preserve">Navrhovaná úprava súvisí s implementáciou </w:t>
      </w:r>
      <w:r w:rsidRPr="00AC4812">
        <w:rPr>
          <w:rFonts w:ascii="Times New Roman" w:eastAsia="Times New Roman" w:hAnsi="Times New Roman"/>
          <w:lang w:eastAsia="cs-CZ"/>
        </w:rPr>
        <w:t>Smernice Rady (EÚ) 2016/1164 z 12. júla 2016, ktorou sa stanovujú pravidlá proti praktikám vyhýbania sa daňovým povinnostiam, ktoré majú priamy vplyv na fungovanie vnútorného trhu (ďalej len „Smernica ATAD</w:t>
      </w:r>
      <w:r>
        <w:rPr>
          <w:rFonts w:ascii="Times New Roman" w:eastAsia="Times New Roman" w:hAnsi="Times New Roman"/>
          <w:lang w:eastAsia="cs-CZ"/>
        </w:rPr>
        <w:t>“)</w:t>
      </w:r>
      <w:r w:rsidRPr="00AC4812">
        <w:rPr>
          <w:rFonts w:ascii="Times New Roman" w:hAnsi="Times New Roman"/>
          <w:color w:val="auto"/>
        </w:rPr>
        <w:t xml:space="preserve"> a zapracovaním časti smernice, ktorou sa mení smernica (EÚ) 2016/1164, pokiaľ ide o hybridné nesúlady s tretími krajinami.</w:t>
      </w:r>
    </w:p>
    <w:p w:rsidR="007B2961" w:rsidRPr="00AC4812" w:rsidP="007B2961">
      <w:pPr>
        <w:bidi w:val="0"/>
        <w:spacing w:after="0" w:line="240" w:lineRule="auto"/>
        <w:jc w:val="both"/>
        <w:rPr>
          <w:rFonts w:ascii="Times New Roman" w:hAnsi="Times New Roman" w:cs="Times New Roman"/>
          <w:sz w:val="24"/>
          <w:szCs w:val="24"/>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3</w:t>
      </w:r>
      <w:r w:rsidRPr="00AC4812">
        <w:rPr>
          <w:rFonts w:ascii="Times New Roman" w:hAnsi="Times New Roman" w:cs="Times New Roman"/>
          <w:b/>
          <w:sz w:val="24"/>
          <w:szCs w:val="24"/>
          <w:u w:val="single"/>
        </w:rPr>
        <w:t xml:space="preserve"> - § 2 písm. r)</w:t>
      </w:r>
    </w:p>
    <w:p w:rsidR="007B2961" w:rsidP="007B2961">
      <w:pPr>
        <w:pStyle w:val="Default0"/>
        <w:bidi w:val="0"/>
        <w:jc w:val="both"/>
        <w:rPr>
          <w:rFonts w:ascii="Times New Roman" w:hAnsi="Times New Roman"/>
          <w:color w:val="auto"/>
        </w:rPr>
      </w:pPr>
      <w:r w:rsidRPr="00AC4812">
        <w:rPr>
          <w:rFonts w:ascii="Times New Roman" w:hAnsi="Times New Roman"/>
          <w:color w:val="auto"/>
        </w:rPr>
        <w:t>Ide o zmenu v súvislosti so zavedením pojmu subjekt v písm. ac)</w:t>
      </w:r>
      <w:r>
        <w:rPr>
          <w:rFonts w:ascii="Times New Roman" w:hAnsi="Times New Roman"/>
          <w:color w:val="auto"/>
        </w:rPr>
        <w:t>,</w:t>
      </w:r>
      <w:r w:rsidRPr="00AC4812">
        <w:rPr>
          <w:rFonts w:ascii="Times New Roman" w:hAnsi="Times New Roman"/>
          <w:color w:val="auto"/>
        </w:rPr>
        <w:t xml:space="preserve"> kedy subjektom sa rozumie právne usporiadanie majetku alebo právne usporiadanie osôb, ktoré nemá právnu subjektivitu alebo iné právne usporiadanie, ktoré vlastní majetok alebo spravuje majetok.</w:t>
      </w:r>
    </w:p>
    <w:p w:rsidR="007B2961" w:rsidP="007B2961">
      <w:pPr>
        <w:pStyle w:val="Default0"/>
        <w:bidi w:val="0"/>
        <w:jc w:val="both"/>
        <w:rPr>
          <w:rFonts w:ascii="Times New Roman" w:hAnsi="Times New Roman"/>
          <w:color w:val="auto"/>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4</w:t>
      </w:r>
      <w:r w:rsidRPr="00AC4812">
        <w:rPr>
          <w:rFonts w:ascii="Times New Roman" w:hAnsi="Times New Roman" w:cs="Times New Roman"/>
          <w:b/>
          <w:sz w:val="24"/>
          <w:szCs w:val="24"/>
          <w:u w:val="single"/>
        </w:rPr>
        <w:t xml:space="preserve"> - § 2 písm. ac) až af)</w:t>
      </w:r>
    </w:p>
    <w:p w:rsidR="007B2961" w:rsidRPr="003A066D" w:rsidP="007B2961">
      <w:pPr>
        <w:pStyle w:val="Default0"/>
        <w:bidi w:val="0"/>
        <w:jc w:val="both"/>
        <w:rPr>
          <w:rFonts w:ascii="Times New Roman" w:hAnsi="Times New Roman"/>
          <w:color w:val="auto"/>
        </w:rPr>
      </w:pPr>
      <w:r w:rsidRPr="003A066D">
        <w:rPr>
          <w:rFonts w:ascii="Times New Roman" w:hAnsi="Times New Roman"/>
          <w:color w:val="auto"/>
        </w:rPr>
        <w:t xml:space="preserve">V písmene ac) sa zavádza definícia subjektu, ktorým </w:t>
      </w:r>
      <w:r w:rsidRPr="00C041E9">
        <w:rPr>
          <w:rFonts w:ascii="Times New Roman" w:hAnsi="Times New Roman"/>
        </w:rPr>
        <w:t>sa rozumie právne usporiadanie majetku (trust) alebo právne usporiadanie osôb, ktoré nemá právnu subjektivitu (napr. partnership - združenie) alebo iné právne usporiadanie, ktoré vlastní majetok alebo spravuje majetok.</w:t>
      </w:r>
      <w:r w:rsidRPr="003A066D">
        <w:rPr>
          <w:rFonts w:ascii="Times New Roman" w:hAnsi="Times New Roman"/>
          <w:color w:val="auto"/>
        </w:rPr>
        <w:t xml:space="preserve"> Definícia je potrebná z dôvodu implementácie smernice </w:t>
      </w:r>
      <w:r>
        <w:rPr>
          <w:rFonts w:ascii="Times New Roman" w:hAnsi="Times New Roman"/>
          <w:color w:val="auto"/>
        </w:rPr>
        <w:t>ATAD.</w:t>
      </w:r>
      <w:r w:rsidRPr="003A066D">
        <w:rPr>
          <w:rFonts w:ascii="Times New Roman" w:hAnsi="Times New Roman"/>
          <w:color w:val="auto"/>
        </w:rPr>
        <w:t xml:space="preserve"> </w:t>
      </w:r>
    </w:p>
    <w:p w:rsidR="007B2961" w:rsidRPr="003A066D" w:rsidP="007B2961">
      <w:pPr>
        <w:pStyle w:val="Default0"/>
        <w:bidi w:val="0"/>
        <w:jc w:val="both"/>
        <w:rPr>
          <w:rFonts w:ascii="Times New Roman" w:hAnsi="Times New Roman"/>
          <w:color w:val="auto"/>
        </w:rPr>
      </w:pPr>
      <w:r w:rsidRPr="003A066D">
        <w:rPr>
          <w:rFonts w:ascii="Times New Roman" w:hAnsi="Times New Roman"/>
          <w:color w:val="auto"/>
        </w:rPr>
        <w:t>V písmene a</w:t>
      </w:r>
      <w:r>
        <w:rPr>
          <w:rFonts w:ascii="Times New Roman" w:hAnsi="Times New Roman"/>
          <w:color w:val="auto"/>
        </w:rPr>
        <w:t>d</w:t>
      </w:r>
      <w:r w:rsidRPr="003A066D">
        <w:rPr>
          <w:rFonts w:ascii="Times New Roman" w:hAnsi="Times New Roman"/>
          <w:color w:val="auto"/>
        </w:rPr>
        <w:t>) sa definuje</w:t>
      </w:r>
      <w:r>
        <w:rPr>
          <w:rFonts w:ascii="Times New Roman" w:hAnsi="Times New Roman"/>
          <w:color w:val="auto"/>
        </w:rPr>
        <w:t xml:space="preserve"> pojem</w:t>
      </w:r>
      <w:r w:rsidRPr="003A066D">
        <w:rPr>
          <w:rFonts w:ascii="Times New Roman" w:hAnsi="Times New Roman"/>
          <w:color w:val="auto"/>
        </w:rPr>
        <w:t xml:space="preserve"> ústredie</w:t>
      </w:r>
      <w:r>
        <w:rPr>
          <w:rFonts w:ascii="Times New Roman" w:hAnsi="Times New Roman"/>
          <w:color w:val="auto"/>
        </w:rPr>
        <w:t>, ktorý sa využíva aj v súvislosti so zdanením pri odchode.</w:t>
      </w:r>
      <w:r w:rsidRPr="003A066D">
        <w:rPr>
          <w:rFonts w:ascii="Times New Roman" w:hAnsi="Times New Roman"/>
          <w:color w:val="auto"/>
        </w:rPr>
        <w:t xml:space="preserve"> Ústredím sa rozumie</w:t>
      </w:r>
      <w:r>
        <w:rPr>
          <w:rFonts w:ascii="Times New Roman" w:hAnsi="Times New Roman"/>
          <w:color w:val="auto"/>
        </w:rPr>
        <w:t xml:space="preserve"> právnická osoba</w:t>
      </w:r>
      <w:r w:rsidRPr="003A066D">
        <w:rPr>
          <w:rFonts w:ascii="Times New Roman" w:hAnsi="Times New Roman"/>
          <w:color w:val="auto"/>
        </w:rPr>
        <w:t>, ktor</w:t>
      </w:r>
      <w:r w:rsidRPr="005C4B64">
        <w:rPr>
          <w:rFonts w:ascii="Times New Roman" w:hAnsi="Times New Roman"/>
          <w:color w:val="auto"/>
        </w:rPr>
        <w:t>á</w:t>
      </w:r>
      <w:r w:rsidRPr="003A066D">
        <w:rPr>
          <w:rFonts w:ascii="Times New Roman" w:hAnsi="Times New Roman"/>
          <w:color w:val="auto"/>
        </w:rPr>
        <w:t xml:space="preserve"> je zriaďovateľom stálej prevádzkarne.</w:t>
      </w:r>
    </w:p>
    <w:p w:rsidR="007B2961" w:rsidRPr="00685BF0" w:rsidP="007B2961">
      <w:pPr>
        <w:pStyle w:val="Default0"/>
        <w:bidi w:val="0"/>
        <w:jc w:val="both"/>
        <w:rPr>
          <w:rFonts w:ascii="Times New Roman" w:hAnsi="Times New Roman"/>
          <w:color w:val="auto"/>
        </w:rPr>
      </w:pPr>
      <w:r w:rsidRPr="003A066D">
        <w:rPr>
          <w:rFonts w:ascii="Times New Roman" w:hAnsi="Times New Roman"/>
          <w:color w:val="auto"/>
        </w:rPr>
        <w:t xml:space="preserve">V </w:t>
      </w:r>
      <w:r>
        <w:rPr>
          <w:rFonts w:ascii="Times New Roman" w:hAnsi="Times New Roman"/>
          <w:color w:val="auto"/>
        </w:rPr>
        <w:t>písmene</w:t>
      </w:r>
      <w:r w:rsidRPr="003A066D">
        <w:rPr>
          <w:rFonts w:ascii="Times New Roman" w:hAnsi="Times New Roman"/>
          <w:color w:val="auto"/>
        </w:rPr>
        <w:t xml:space="preserve"> a</w:t>
      </w:r>
      <w:r>
        <w:rPr>
          <w:rFonts w:ascii="Times New Roman" w:hAnsi="Times New Roman"/>
          <w:color w:val="auto"/>
        </w:rPr>
        <w:t>e</w:t>
      </w:r>
      <w:r w:rsidRPr="003A066D">
        <w:rPr>
          <w:rFonts w:ascii="Times New Roman" w:hAnsi="Times New Roman"/>
          <w:color w:val="auto"/>
        </w:rPr>
        <w:t>)</w:t>
      </w:r>
      <w:r>
        <w:rPr>
          <w:rFonts w:ascii="Times New Roman" w:hAnsi="Times New Roman"/>
          <w:color w:val="auto"/>
        </w:rPr>
        <w:t xml:space="preserve"> sa</w:t>
      </w:r>
      <w:r w:rsidRPr="003A066D">
        <w:rPr>
          <w:rFonts w:ascii="Times New Roman" w:hAnsi="Times New Roman"/>
          <w:color w:val="auto"/>
        </w:rPr>
        <w:t xml:space="preserve"> zavádza z dôvodu právnej istoty do základných pojmov definícia konečného príjemcu príjmov. Interpretácia konečného príjemcu vychádza z koncepcie používanej v smerniciach EÚ, ako aj zmluvách o zamedzení dvojitého zdanenia. Doplnenie tohto pojmu má za cieľ zabrániť vyhýbaniu sa daňovej povinnosti z dôvodu, že príjemca príjmov nie je ich skutočným vlastníkom. Konečným príjemcom je osoba, ktorá preberá riziko a kontrolu nad týmito príjmami a má právo využívať tieto príjmy bez povinnosti previesť ich ďalej na inú </w:t>
      </w:r>
      <w:r w:rsidRPr="00685BF0">
        <w:rPr>
          <w:rFonts w:ascii="Times New Roman" w:hAnsi="Times New Roman"/>
          <w:color w:val="auto"/>
        </w:rPr>
        <w:t>osobu. Majetok je funkčne spojený so stálou prevádzkarňou na území SR, ak sa podieľa na tvorbe ziskov priraditeľných stálej prevádzkarni.</w:t>
      </w:r>
    </w:p>
    <w:p w:rsidR="007B2961" w:rsidP="007B2961">
      <w:pPr>
        <w:pStyle w:val="Default0"/>
        <w:bidi w:val="0"/>
        <w:jc w:val="both"/>
        <w:rPr>
          <w:rFonts w:ascii="Times New Roman" w:hAnsi="Times New Roman"/>
          <w:color w:val="auto"/>
        </w:rPr>
      </w:pPr>
      <w:r w:rsidRPr="00685BF0">
        <w:rPr>
          <w:rFonts w:ascii="Times New Roman" w:hAnsi="Times New Roman"/>
          <w:color w:val="auto"/>
        </w:rPr>
        <w:t xml:space="preserve">V písmene af) sa zavádza definícia digitálnej platformy na účely zákona o dani z príjmov (ďalej len „zákon“). Takouto digitálnou platformou rozumieme hardvérovú alebo softvérovú platformu potrebnú na vytvorenie a správu aplikácií. Za takúto platformu možno označiť </w:t>
      </w:r>
      <w:r w:rsidRPr="003A066D">
        <w:rPr>
          <w:rFonts w:ascii="Times New Roman" w:hAnsi="Times New Roman"/>
          <w:color w:val="auto"/>
        </w:rPr>
        <w:t>novodob</w:t>
      </w:r>
      <w:r>
        <w:rPr>
          <w:rFonts w:ascii="Times New Roman" w:hAnsi="Times New Roman"/>
          <w:color w:val="auto"/>
        </w:rPr>
        <w:t>ý technologický  business model</w:t>
      </w:r>
      <w:r w:rsidRPr="003A066D">
        <w:rPr>
          <w:rFonts w:ascii="Times New Roman" w:hAnsi="Times New Roman"/>
          <w:color w:val="auto"/>
        </w:rPr>
        <w:t xml:space="preserve"> umožňujúci výmenu informácií medzi viacerými skupinami užívateľov, najmä medzi koncovými užívateľmi a držiteľmi hnuteľných alebo nehnuteľných vecí alebo poskytovateľmi služby. Je </w:t>
      </w:r>
      <w:r>
        <w:rPr>
          <w:rFonts w:ascii="Times New Roman" w:hAnsi="Times New Roman"/>
          <w:color w:val="auto"/>
        </w:rPr>
        <w:t>sprístupnená</w:t>
      </w:r>
      <w:r w:rsidRPr="003A066D">
        <w:rPr>
          <w:rFonts w:ascii="Times New Roman" w:hAnsi="Times New Roman"/>
          <w:color w:val="auto"/>
        </w:rPr>
        <w:t xml:space="preserve"> akýmkoľvek ďalším užívateľom a zdieľa údaje s vývojármi tretích strán. Vyznačuje sa jednoduchým používaním bez potreby školení a predstavuje inovatívn</w:t>
      </w:r>
      <w:r>
        <w:rPr>
          <w:rFonts w:ascii="Times New Roman" w:hAnsi="Times New Roman"/>
          <w:color w:val="auto"/>
        </w:rPr>
        <w:t>y</w:t>
      </w:r>
      <w:r w:rsidRPr="003A066D">
        <w:rPr>
          <w:rFonts w:ascii="Times New Roman" w:hAnsi="Times New Roman"/>
          <w:color w:val="auto"/>
        </w:rPr>
        <w:t xml:space="preserve"> obchodn</w:t>
      </w:r>
      <w:r>
        <w:rPr>
          <w:rFonts w:ascii="Times New Roman" w:hAnsi="Times New Roman"/>
          <w:color w:val="auto"/>
        </w:rPr>
        <w:t>ý</w:t>
      </w:r>
      <w:r w:rsidRPr="003A066D">
        <w:rPr>
          <w:rFonts w:ascii="Times New Roman" w:hAnsi="Times New Roman"/>
          <w:color w:val="auto"/>
        </w:rPr>
        <w:t xml:space="preserve"> model.  </w:t>
      </w:r>
    </w:p>
    <w:p w:rsidR="007B2961" w:rsidP="007B2961">
      <w:pPr>
        <w:pStyle w:val="Default0"/>
        <w:bidi w:val="0"/>
        <w:jc w:val="both"/>
        <w:rPr>
          <w:rFonts w:ascii="Times New Roman" w:hAnsi="Times New Roman"/>
          <w:color w:val="auto"/>
        </w:rPr>
      </w:pPr>
    </w:p>
    <w:p w:rsidR="00A57582" w:rsidP="007B2961">
      <w:pPr>
        <w:pStyle w:val="Default0"/>
        <w:bidi w:val="0"/>
        <w:jc w:val="both"/>
        <w:rPr>
          <w:rFonts w:ascii="Times New Roman" w:hAnsi="Times New Roman"/>
          <w:color w:val="auto"/>
        </w:rPr>
      </w:pPr>
    </w:p>
    <w:p w:rsidR="00A57582" w:rsidP="007B2961">
      <w:pPr>
        <w:pStyle w:val="Default0"/>
        <w:bidi w:val="0"/>
        <w:jc w:val="both"/>
        <w:rPr>
          <w:rFonts w:ascii="Times New Roman" w:hAnsi="Times New Roman"/>
          <w:color w:val="auto"/>
        </w:rPr>
      </w:pPr>
    </w:p>
    <w:p w:rsidR="007B2961" w:rsidP="007B2961">
      <w:pPr>
        <w:pStyle w:val="Default0"/>
        <w:bidi w:val="0"/>
        <w:jc w:val="both"/>
        <w:rPr>
          <w:rFonts w:ascii="Times New Roman" w:hAnsi="Times New Roman"/>
          <w:b/>
          <w:color w:val="auto"/>
          <w:u w:val="single"/>
        </w:rPr>
      </w:pPr>
      <w:r w:rsidRPr="00A57087">
        <w:rPr>
          <w:rFonts w:ascii="Times New Roman" w:hAnsi="Times New Roman"/>
          <w:b/>
          <w:color w:val="auto"/>
          <w:u w:val="single"/>
        </w:rPr>
        <w:t>K bod</w:t>
      </w:r>
      <w:r>
        <w:rPr>
          <w:rFonts w:ascii="Times New Roman" w:hAnsi="Times New Roman"/>
          <w:b/>
          <w:color w:val="auto"/>
          <w:u w:val="single"/>
        </w:rPr>
        <w:t>om</w:t>
      </w:r>
      <w:r w:rsidRPr="00A57087">
        <w:rPr>
          <w:rFonts w:ascii="Times New Roman" w:hAnsi="Times New Roman"/>
          <w:b/>
          <w:color w:val="auto"/>
          <w:u w:val="single"/>
        </w:rPr>
        <w:t xml:space="preserve"> </w:t>
      </w:r>
      <w:r>
        <w:rPr>
          <w:rFonts w:ascii="Times New Roman" w:hAnsi="Times New Roman"/>
          <w:b/>
          <w:color w:val="auto"/>
          <w:u w:val="single"/>
        </w:rPr>
        <w:t xml:space="preserve">5 a 12 </w:t>
      </w:r>
      <w:r w:rsidRPr="00A57087">
        <w:rPr>
          <w:rFonts w:ascii="Times New Roman" w:hAnsi="Times New Roman"/>
          <w:b/>
          <w:color w:val="auto"/>
          <w:u w:val="single"/>
        </w:rPr>
        <w:t>- § 4 ods. 8</w:t>
      </w:r>
      <w:r>
        <w:rPr>
          <w:rFonts w:ascii="Times New Roman" w:hAnsi="Times New Roman"/>
          <w:b/>
          <w:color w:val="auto"/>
          <w:u w:val="single"/>
        </w:rPr>
        <w:t xml:space="preserve"> a § 8 ods. 16</w:t>
      </w:r>
    </w:p>
    <w:p w:rsidR="007B2961" w:rsidRPr="00A45B6A" w:rsidP="007B2961">
      <w:pPr>
        <w:bidi w:val="0"/>
        <w:spacing w:after="0" w:line="240" w:lineRule="auto"/>
        <w:jc w:val="both"/>
        <w:rPr>
          <w:rFonts w:ascii="Times New Roman" w:hAnsi="Times New Roman" w:cs="Times New Roman"/>
          <w:sz w:val="24"/>
          <w:szCs w:val="24"/>
        </w:rPr>
      </w:pPr>
      <w:r w:rsidRPr="00A45B6A">
        <w:rPr>
          <w:rFonts w:ascii="Times New Roman" w:hAnsi="Times New Roman" w:cs="Times New Roman"/>
          <w:sz w:val="24"/>
          <w:szCs w:val="24"/>
        </w:rPr>
        <w:t>Navrhovaná úprava  rieši zdanenie príjmu z </w:t>
      </w:r>
      <w:r>
        <w:rPr>
          <w:rFonts w:ascii="Times New Roman" w:hAnsi="Times New Roman" w:cs="Times New Roman"/>
          <w:sz w:val="24"/>
          <w:szCs w:val="24"/>
        </w:rPr>
        <w:t>prevodu</w:t>
      </w:r>
      <w:r w:rsidRPr="00A45B6A">
        <w:rPr>
          <w:rFonts w:ascii="Times New Roman" w:hAnsi="Times New Roman" w:cs="Times New Roman"/>
          <w:sz w:val="24"/>
          <w:szCs w:val="24"/>
        </w:rPr>
        <w:t xml:space="preserve"> majetku (napr. nehnuteľnosti) alebo práva v bezpodielovom spoluvlastníctve manželov, ktoré jeden z manželov mal zaradený do obchodného majetku a predávajú ho po jeho vyradení z obchodného majetku. Uvedené znamená, že nie je možné v takomto prípade aplikovať ustanovenie § 4 ods. 8 zákona, t.j. nie je možné deliť príjem dosiahnutý z predaja takéhoto majetku v pomere medzi manželov aký si dohodnú, ale vždy celý príjem zdaňuje ten manžel, ktorý mal majetok zaradený v obchodnom majetku</w:t>
      </w:r>
      <w:r>
        <w:rPr>
          <w:rFonts w:ascii="Times New Roman" w:hAnsi="Times New Roman" w:cs="Times New Roman"/>
          <w:sz w:val="24"/>
          <w:szCs w:val="24"/>
        </w:rPr>
        <w:t xml:space="preserve"> ako posledný</w:t>
      </w:r>
      <w:r w:rsidRPr="00A45B6A">
        <w:rPr>
          <w:rFonts w:ascii="Times New Roman" w:hAnsi="Times New Roman" w:cs="Times New Roman"/>
          <w:sz w:val="24"/>
          <w:szCs w:val="24"/>
        </w:rPr>
        <w:t xml:space="preserve">. </w:t>
      </w:r>
    </w:p>
    <w:p w:rsidR="007B2961" w:rsidRPr="00A57087" w:rsidP="007B2961">
      <w:pPr>
        <w:pStyle w:val="Default0"/>
        <w:bidi w:val="0"/>
        <w:jc w:val="both"/>
        <w:rPr>
          <w:rFonts w:ascii="Times New Roman" w:hAnsi="Times New Roman"/>
          <w:b/>
          <w:color w:val="auto"/>
          <w:u w:val="single"/>
        </w:rPr>
      </w:pPr>
    </w:p>
    <w:p w:rsidR="007B2961" w:rsidRPr="00D24094" w:rsidP="007B2961">
      <w:pPr>
        <w:bidi w:val="0"/>
        <w:spacing w:after="0" w:line="240" w:lineRule="auto"/>
        <w:jc w:val="both"/>
        <w:rPr>
          <w:rFonts w:ascii="Times New Roman" w:hAnsi="Times New Roman" w:cs="Times New Roman"/>
          <w:b/>
          <w:sz w:val="24"/>
          <w:szCs w:val="24"/>
          <w:u w:val="single"/>
          <w:lang w:eastAsia="cs-CZ"/>
        </w:rPr>
      </w:pPr>
      <w:r w:rsidRPr="00D24094">
        <w:rPr>
          <w:rFonts w:ascii="Times New Roman" w:hAnsi="Times New Roman" w:cs="Times New Roman"/>
          <w:b/>
          <w:sz w:val="24"/>
          <w:szCs w:val="24"/>
          <w:u w:val="single"/>
          <w:lang w:eastAsia="cs-CZ"/>
        </w:rPr>
        <w:t xml:space="preserve">K bodom </w:t>
      </w:r>
      <w:r>
        <w:rPr>
          <w:rFonts w:ascii="Times New Roman" w:hAnsi="Times New Roman" w:cs="Times New Roman"/>
          <w:b/>
          <w:sz w:val="24"/>
          <w:szCs w:val="24"/>
          <w:u w:val="single"/>
          <w:lang w:eastAsia="cs-CZ"/>
        </w:rPr>
        <w:t>6, 13</w:t>
      </w:r>
      <w:r w:rsidRPr="00D24094">
        <w:rPr>
          <w:rFonts w:ascii="Times New Roman" w:hAnsi="Times New Roman" w:cs="Times New Roman"/>
          <w:b/>
          <w:sz w:val="24"/>
          <w:szCs w:val="24"/>
          <w:u w:val="single"/>
          <w:lang w:eastAsia="cs-CZ"/>
        </w:rPr>
        <w:t>, 4</w:t>
      </w:r>
      <w:r>
        <w:rPr>
          <w:rFonts w:ascii="Times New Roman" w:hAnsi="Times New Roman" w:cs="Times New Roman"/>
          <w:b/>
          <w:sz w:val="24"/>
          <w:szCs w:val="24"/>
          <w:u w:val="single"/>
          <w:lang w:eastAsia="cs-CZ"/>
        </w:rPr>
        <w:t>7 a 48, 50 až 53</w:t>
      </w:r>
      <w:r w:rsidRPr="00D24094">
        <w:rPr>
          <w:rFonts w:ascii="Times New Roman" w:hAnsi="Times New Roman" w:cs="Times New Roman"/>
          <w:b/>
          <w:sz w:val="24"/>
          <w:szCs w:val="24"/>
          <w:u w:val="single"/>
          <w:lang w:eastAsia="cs-CZ"/>
        </w:rPr>
        <w:t xml:space="preserve"> - § 4 ods. 9, § 9 ods. 1 písm. e), § 19 ods. 2 písm. h) prvý</w:t>
      </w:r>
      <w:r>
        <w:rPr>
          <w:rFonts w:ascii="Times New Roman" w:hAnsi="Times New Roman" w:cs="Times New Roman"/>
          <w:b/>
          <w:sz w:val="24"/>
          <w:szCs w:val="24"/>
          <w:u w:val="single"/>
          <w:lang w:eastAsia="cs-CZ"/>
        </w:rPr>
        <w:t xml:space="preserve"> a</w:t>
      </w:r>
      <w:r w:rsidRPr="00D24094">
        <w:rPr>
          <w:rFonts w:ascii="Times New Roman" w:hAnsi="Times New Roman" w:cs="Times New Roman"/>
          <w:b/>
          <w:sz w:val="24"/>
          <w:szCs w:val="24"/>
          <w:u w:val="single"/>
          <w:lang w:eastAsia="cs-CZ"/>
        </w:rPr>
        <w:t xml:space="preserve"> druhý bod, </w:t>
      </w:r>
      <w:r>
        <w:rPr>
          <w:rFonts w:ascii="Times New Roman" w:hAnsi="Times New Roman" w:cs="Times New Roman"/>
          <w:b/>
          <w:sz w:val="24"/>
          <w:szCs w:val="24"/>
          <w:u w:val="single"/>
          <w:lang w:eastAsia="cs-CZ"/>
        </w:rPr>
        <w:t xml:space="preserve"> </w:t>
      </w:r>
      <w:r w:rsidRPr="00D24094">
        <w:rPr>
          <w:rFonts w:ascii="Times New Roman" w:hAnsi="Times New Roman" w:cs="Times New Roman"/>
          <w:b/>
          <w:sz w:val="24"/>
          <w:szCs w:val="24"/>
          <w:u w:val="single"/>
          <w:lang w:eastAsia="cs-CZ"/>
        </w:rPr>
        <w:t xml:space="preserve">§ 20 ods. 2 písm. c), § 20 ods. </w:t>
      </w:r>
      <w:r>
        <w:rPr>
          <w:rFonts w:ascii="Times New Roman" w:hAnsi="Times New Roman" w:cs="Times New Roman"/>
          <w:b/>
          <w:sz w:val="24"/>
          <w:szCs w:val="24"/>
          <w:u w:val="single"/>
          <w:lang w:eastAsia="cs-CZ"/>
        </w:rPr>
        <w:t xml:space="preserve">10 až </w:t>
      </w:r>
      <w:r w:rsidRPr="00D24094">
        <w:rPr>
          <w:rFonts w:ascii="Times New Roman" w:hAnsi="Times New Roman" w:cs="Times New Roman"/>
          <w:b/>
          <w:sz w:val="24"/>
          <w:szCs w:val="24"/>
          <w:u w:val="single"/>
          <w:lang w:eastAsia="cs-CZ"/>
        </w:rPr>
        <w:t>12</w:t>
      </w:r>
    </w:p>
    <w:p w:rsidR="007B2961" w:rsidRPr="00D24094" w:rsidP="007B2961">
      <w:pPr>
        <w:bidi w:val="0"/>
        <w:spacing w:after="0" w:line="240" w:lineRule="auto"/>
        <w:jc w:val="both"/>
        <w:rPr>
          <w:rFonts w:ascii="Times New Roman" w:hAnsi="Times New Roman" w:cs="Times New Roman"/>
          <w:sz w:val="24"/>
          <w:szCs w:val="24"/>
        </w:rPr>
      </w:pPr>
      <w:r w:rsidRPr="00D24094">
        <w:rPr>
          <w:rFonts w:ascii="Times New Roman" w:hAnsi="Times New Roman" w:cs="Times New Roman"/>
          <w:sz w:val="24"/>
          <w:szCs w:val="24"/>
        </w:rPr>
        <w:t>Podľa zákona č. 377/2016 Z. z., ktorým sa novelizoval zákon č. 7/2005 Z. z. o konkurze a reštrukturalizácii v znení neskorších predpisov (ďalej len „zákon č. 7/2005 Z. z.</w:t>
      </w:r>
      <w:r>
        <w:rPr>
          <w:rFonts w:ascii="Times New Roman" w:hAnsi="Times New Roman" w:cs="Times New Roman"/>
          <w:sz w:val="24"/>
          <w:szCs w:val="24"/>
        </w:rPr>
        <w:t>“</w:t>
      </w:r>
      <w:r w:rsidRPr="00D24094">
        <w:rPr>
          <w:rFonts w:ascii="Times New Roman" w:hAnsi="Times New Roman" w:cs="Times New Roman"/>
          <w:sz w:val="24"/>
          <w:szCs w:val="24"/>
        </w:rPr>
        <w:t xml:space="preserve">) sa s účinnosťou od 1. marca 2017 u fyzických osôb umožňuje vstúpiť do procesu oddlženia a to bez ohľadu na to, či tieto záväzky vyplývajú z podnikateľskej činnosti alebo nie. Dlžník – fyzická osoba si môže vybrať pre oddlženie jednu z alternatív – splátkový kalendár alebo konkurz. Z tohto dôvodu sa z ustanovenia § 9 ods. 1 písm. e) vypúšťa reštrukturalizácia, nakoľko túto formu môže využiť už iba právnická osoba a dopĺňa sa odpis záväzku na základe splátkového kalendára. Odpis záväzkov, ktoré nebude musieť dlžník uhradiť v nadväznosti na uznesenie súdu o vyhlásení konkurzu alebo v uznesení o určení splátkového kalendára, bude u dlžníka príjmom oslobodeným od dane. Od dane bude oslobodený aj odpis záväzkov v prípade, ak dôjde k zrušeniu konkurzu, avšak len v prípade podľa § 167v ods. 1 zákona č. 7/2005 Z. z. </w:t>
      </w:r>
    </w:p>
    <w:p w:rsidR="007B2961" w:rsidRPr="00D24094" w:rsidP="007B2961">
      <w:pPr>
        <w:bidi w:val="0"/>
        <w:spacing w:after="0" w:line="240" w:lineRule="auto"/>
        <w:jc w:val="both"/>
        <w:rPr>
          <w:rFonts w:ascii="Times New Roman" w:hAnsi="Times New Roman" w:cs="Times New Roman"/>
          <w:sz w:val="24"/>
          <w:szCs w:val="24"/>
        </w:rPr>
      </w:pPr>
      <w:r w:rsidRPr="00D24094">
        <w:rPr>
          <w:rFonts w:ascii="Times New Roman" w:hAnsi="Times New Roman" w:cs="Times New Roman"/>
          <w:sz w:val="24"/>
          <w:szCs w:val="24"/>
        </w:rPr>
        <w:t>V dôsledku zavedenia nového inštitútu oddlženia formou konkurzu a splátkového kalendára u fyzickej osoby sa umožňuje považovať za daňový výdavok aj odpis pohľadávok v rozsahu, v akom nebudú uspokojené v konkurze alebo splátkovým kalendárom. Za účelom spresnenia sa v § 19 ods. 2 písm. h) spresňuje, že daňovo možno odpísať aj pohľadávku, v prípade, ak došlo u fyzickej osoby k zrušeniu konkurzu podľa § 167v ods. 1 zákona č. 7/2005 Z. z. Zároveň sa upravuje aj možnosť tvorby opravnej položky uznanej za daňový výdavok v § 20 odsekoch 10 až 12. Daňovým výdavkom bude aj tvorba opravnej položky k pohľadávkam voči dlžníkovi, ktorému bol rozhodnutím súdu určený splátkový kalendár podľa § 166e a 168e zákona č. 7/2005 Z. z. Podľa § 168d zákona č. 7/2005 Z. z. správca oznámi v Obchodnom vestníku, že zostavil návrh splátkového kalendára spolu s percentom, v ktorom sa navrhuje uspokojenie nezabezpečených veriteľov, pričom každý veriteľ, ktorý môže byť splátkovým kalendárom dotknutý, môže podať u správcu námietku. Pri určení splátkového kalendára súd vychádza z návrhu správcu, pravidiel pre zostavenie splátkového kalendára, pričom prihliadne aj na námietky veriteľov a na iné známe okolnosti. Vzhľadom k tomu, že pri inštitúte splátkového kalendára sa nevyžaduje prihlásenie pohľadávok, opravnú položku bude možné považovať za daňový výdavok počnúc zdaňovacím obdobím, v ktorom bol návrh splátkového kalendára zverejnený v Obchodnom vestníku. Pri bankách sú daňovo uznané opravné položky vo výške rozdielu medzi hodnotou pohľadávok v splátkovom kalendári a ich už vytvorenou opravnou položkou zahrnutou do daňových výdavkov podľa § 20 ods. 4 zákona. Opravné položky sa zahrnú do základu dane v zdaňovacom období, v ktorom bude pohľadávka uspokojená.</w:t>
      </w:r>
    </w:p>
    <w:p w:rsidR="007B2961" w:rsidRPr="00AC4812" w:rsidP="007B2961">
      <w:pPr>
        <w:bidi w:val="0"/>
        <w:spacing w:after="0" w:line="240" w:lineRule="auto"/>
        <w:jc w:val="both"/>
        <w:rPr>
          <w:rFonts w:ascii="Times New Roman" w:hAnsi="Times New Roman" w:cs="Times New Roman"/>
          <w:b/>
          <w:sz w:val="24"/>
          <w:szCs w:val="24"/>
          <w:u w:val="single"/>
          <w:lang w:eastAsia="cs-CZ"/>
        </w:rPr>
      </w:pPr>
    </w:p>
    <w:p w:rsidR="007B2961" w:rsidRPr="00AC4812" w:rsidP="007B2961">
      <w:pPr>
        <w:bidi w:val="0"/>
        <w:spacing w:after="0" w:line="240" w:lineRule="auto"/>
        <w:jc w:val="both"/>
        <w:rPr>
          <w:rFonts w:ascii="Times New Roman" w:hAnsi="Times New Roman" w:cs="Times New Roman"/>
          <w:b/>
          <w:sz w:val="24"/>
          <w:szCs w:val="24"/>
          <w:u w:val="single"/>
          <w:lang w:eastAsia="cs-CZ"/>
        </w:rPr>
      </w:pPr>
      <w:r w:rsidRPr="00AC4812">
        <w:rPr>
          <w:rFonts w:ascii="Times New Roman" w:hAnsi="Times New Roman" w:cs="Times New Roman"/>
          <w:b/>
          <w:sz w:val="24"/>
          <w:szCs w:val="24"/>
          <w:u w:val="single"/>
          <w:lang w:eastAsia="cs-CZ"/>
        </w:rPr>
        <w:t>K bod</w:t>
      </w:r>
      <w:r>
        <w:rPr>
          <w:rFonts w:ascii="Times New Roman" w:hAnsi="Times New Roman" w:cs="Times New Roman"/>
          <w:b/>
          <w:sz w:val="24"/>
          <w:szCs w:val="24"/>
          <w:u w:val="single"/>
          <w:lang w:eastAsia="cs-CZ"/>
        </w:rPr>
        <w:t>om</w:t>
      </w:r>
      <w:r w:rsidRPr="00AC4812">
        <w:rPr>
          <w:rFonts w:ascii="Times New Roman" w:hAnsi="Times New Roman" w:cs="Times New Roman"/>
          <w:b/>
          <w:sz w:val="24"/>
          <w:szCs w:val="24"/>
          <w:u w:val="single"/>
          <w:lang w:eastAsia="cs-CZ"/>
        </w:rPr>
        <w:t xml:space="preserve"> </w:t>
      </w:r>
      <w:r>
        <w:rPr>
          <w:rFonts w:ascii="Times New Roman" w:hAnsi="Times New Roman" w:cs="Times New Roman"/>
          <w:b/>
          <w:sz w:val="24"/>
          <w:szCs w:val="24"/>
          <w:u w:val="single"/>
          <w:lang w:eastAsia="cs-CZ"/>
        </w:rPr>
        <w:t>7 a 8</w:t>
      </w:r>
      <w:r w:rsidRPr="00AC4812">
        <w:rPr>
          <w:rFonts w:ascii="Times New Roman" w:hAnsi="Times New Roman" w:cs="Times New Roman"/>
          <w:b/>
          <w:sz w:val="24"/>
          <w:szCs w:val="24"/>
          <w:u w:val="single"/>
          <w:lang w:eastAsia="cs-CZ"/>
        </w:rPr>
        <w:t xml:space="preserve"> – poznámka pod čiarou k odkazu 27</w:t>
      </w:r>
      <w:r>
        <w:rPr>
          <w:rFonts w:ascii="Times New Roman" w:hAnsi="Times New Roman" w:cs="Times New Roman"/>
          <w:b/>
          <w:sz w:val="24"/>
          <w:szCs w:val="24"/>
          <w:u w:val="single"/>
          <w:lang w:eastAsia="cs-CZ"/>
        </w:rPr>
        <w:t xml:space="preserve"> a § 6 ods. 4</w:t>
      </w:r>
    </w:p>
    <w:p w:rsidR="007B2961"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 xml:space="preserve">Ide o legislatívno-technickú úpravu v nadväznosti na </w:t>
      </w:r>
      <w:r>
        <w:rPr>
          <w:rFonts w:ascii="Times New Roman" w:hAnsi="Times New Roman" w:cs="Times New Roman"/>
          <w:sz w:val="24"/>
          <w:szCs w:val="24"/>
          <w:lang w:eastAsia="cs-CZ"/>
        </w:rPr>
        <w:t>zmenu autorského zákona</w:t>
      </w:r>
      <w:r w:rsidRPr="00AC4812">
        <w:rPr>
          <w:rFonts w:ascii="Times New Roman" w:hAnsi="Times New Roman" w:cs="Times New Roman"/>
          <w:sz w:val="24"/>
          <w:szCs w:val="24"/>
          <w:lang w:eastAsia="cs-CZ"/>
        </w:rPr>
        <w:t>.</w:t>
      </w:r>
    </w:p>
    <w:p w:rsidR="007B2961" w:rsidP="007B2961">
      <w:pPr>
        <w:bidi w:val="0"/>
        <w:spacing w:after="0" w:line="240" w:lineRule="auto"/>
        <w:jc w:val="both"/>
        <w:rPr>
          <w:rFonts w:ascii="Times New Roman" w:hAnsi="Times New Roman" w:cs="Times New Roman"/>
          <w:sz w:val="24"/>
          <w:szCs w:val="24"/>
          <w:lang w:eastAsia="cs-CZ"/>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9</w:t>
      </w:r>
      <w:r w:rsidRPr="00AC4812">
        <w:rPr>
          <w:rFonts w:ascii="Times New Roman" w:hAnsi="Times New Roman" w:cs="Times New Roman"/>
          <w:b/>
          <w:sz w:val="24"/>
          <w:szCs w:val="24"/>
          <w:u w:val="single"/>
        </w:rPr>
        <w:t xml:space="preserve"> - § 8 ods. 1 písm. a)</w:t>
      </w:r>
    </w:p>
    <w:p w:rsidR="007B2961"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Návrhom zákona sa ustanovenie len legislatívne spresňuje</w:t>
      </w:r>
      <w:r>
        <w:rPr>
          <w:rFonts w:ascii="Times New Roman" w:hAnsi="Times New Roman" w:cs="Times New Roman"/>
          <w:sz w:val="24"/>
          <w:szCs w:val="24"/>
        </w:rPr>
        <w:t xml:space="preserve"> a to spresnením definície príležitostnej činnosti, za ktorú sa nepovažovalo a ani nepovažuje činnosť vykonávaná na základe zmluvného vzťahu, kde úhrada za ňu znižuje základ dane podnikateľov podľa § 17 až 29.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V takomto prípade je možné vychádzať z predpokladu, že </w:t>
      </w:r>
    </w:p>
    <w:p w:rsidR="007B2961" w:rsidRPr="003941D0" w:rsidP="007B2961">
      <w:pPr>
        <w:pStyle w:val="ListParagraph"/>
        <w:numPr>
          <w:numId w:val="43"/>
        </w:numPr>
        <w:bidi w:val="0"/>
        <w:ind w:left="426" w:hanging="426"/>
        <w:jc w:val="both"/>
        <w:rPr>
          <w:rFonts w:ascii="Times New Roman" w:hAnsi="Times New Roman"/>
        </w:rPr>
      </w:pPr>
      <w:r w:rsidRPr="003941D0">
        <w:rPr>
          <w:rFonts w:ascii="Times New Roman" w:hAnsi="Times New Roman"/>
        </w:rPr>
        <w:t>daňovník vykonávajúci príležitostnú činnosť nemá povinnosť vystavovania dokladov,</w:t>
      </w:r>
    </w:p>
    <w:p w:rsidR="007B2961" w:rsidRPr="003941D0" w:rsidP="007B2961">
      <w:pPr>
        <w:pStyle w:val="ListParagraph"/>
        <w:numPr>
          <w:numId w:val="43"/>
        </w:numPr>
        <w:bidi w:val="0"/>
        <w:ind w:left="426" w:hanging="426"/>
        <w:jc w:val="both"/>
        <w:rPr>
          <w:rFonts w:ascii="Times New Roman" w:hAnsi="Times New Roman"/>
        </w:rPr>
      </w:pPr>
      <w:r w:rsidRPr="003941D0">
        <w:rPr>
          <w:rFonts w:ascii="Times New Roman" w:hAnsi="Times New Roman"/>
        </w:rPr>
        <w:t xml:space="preserve">daňovník, ktorý platí za tovar alebo poskytnutú službu si plánuje takýto výdavok aj uplatniť do daňových výdavkov a preto musí mať zabezpečený preukázateľný doklad, na základe ktorého si tento výdavok zahrnie medzi daňové výdavky. Takýmto dokladom bude zmluva alebo iný doklad, ktorý obsahuje náležitosti účtovného dokladu v súlade so zákonom o účtovníctve. Aby bol však takto vystavený doklad aj hodnoverný mal by byť aspoň podpísaný prijímateľom odmeny, ktorý týmto zároveň dostane informáciu, že vystavením dokladu, si ho daňovník (objednávateľ služby alebo tovaru) plánuje uplatniť medzi daňové výdavky. Uvedené znamená, že odmenu za takúto činnosť už nemôže považovať za príležitostnú činnosť v zmysle § 8 ods. 1 písm. a) zákona, ktorý by bolo možné oslobodiť do výšky 500 eur ročne.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Aj do účinnosti tohto spresnenia sa za príležitostnú činnosť nepovažovali príjmy, ktoré bolo možné zaradiť medzi príjmy podľa § 5 až 7 zákona a príjmy dosiahnuté z činností, ktoré boli vykonávané na základe uzatvorených zmluvných vzťahov. </w:t>
      </w:r>
    </w:p>
    <w:p w:rsidR="007B2961" w:rsidRPr="00AC4812" w:rsidP="007B2961">
      <w:pPr>
        <w:bidi w:val="0"/>
        <w:spacing w:after="0" w:line="240" w:lineRule="auto"/>
        <w:jc w:val="both"/>
        <w:rPr>
          <w:rFonts w:ascii="Times New Roman" w:hAnsi="Times New Roman" w:cs="Times New Roman"/>
          <w:sz w:val="24"/>
          <w:szCs w:val="24"/>
          <w:lang w:eastAsia="sk-SK"/>
        </w:rPr>
      </w:pPr>
      <w:r w:rsidRPr="00AC4812">
        <w:rPr>
          <w:rFonts w:ascii="Times New Roman" w:hAnsi="Times New Roman" w:cs="Times New Roman"/>
          <w:sz w:val="24"/>
          <w:szCs w:val="24"/>
        </w:rPr>
        <w:t>A</w:t>
      </w:r>
      <w:r w:rsidRPr="00AC4812">
        <w:rPr>
          <w:rFonts w:ascii="Times New Roman" w:hAnsi="Times New Roman" w:cs="Times New Roman"/>
          <w:sz w:val="24"/>
          <w:szCs w:val="24"/>
          <w:lang w:eastAsia="sk-SK"/>
        </w:rPr>
        <w:t>k fyzickej osobe plynie príjem z činnosti, ktorú vykonáva na základe zmluvne dohodnutých podmienok, či už podľa Zákonníka práce, Občianskeho zákonníka alebo Obchodného zákonníka, treba v prvom rade určiť konkrétny druh tohto príjmu. V tomto prípade môže ísť o príjmy zo závislej činnosti, z podnikania, z inej samostatnej zárobkovej činnosti, z prenájmu, z vytvorenia alebo použitia umeleckého diela alebo výkonu alebo príjmy z kapitálového majetku. Iba v prípade, ak takýto druh činnosti nie je možné považovať za činnosť, z ktorej príjmy by sa zaradili medzi príjmy podľa § 5 až 7, je možné ich zaradiť medzi ostatné príjmy uvedené v § 8 zákona. Avšak aj v tomto prípade ide o príjem, ktorý sa zaradí medzi ostatné – iné príjmy a nie príjmy z príležitostnej činnosti. To znamená, že fyzickej osobe plynie príjem z príležitostnej činnosti vtedy, ak sa sama rozhodne vykonať určitú činnosť, a to bez zmluvne dohodnutej povinnosti, ktorú by  jej určila alebo prikázala iná osoba (napr. príjem z príležitostnej činnosti ako je zber lesných plodov, odvoz  nepotrebného papiera do zberných surovín, pokosenie trávy susedovi a pod.).</w:t>
      </w:r>
      <w:r>
        <w:rPr>
          <w:rFonts w:ascii="Times New Roman" w:hAnsi="Times New Roman" w:cs="Times New Roman"/>
          <w:sz w:val="24"/>
          <w:szCs w:val="24"/>
          <w:lang w:eastAsia="sk-SK"/>
        </w:rPr>
        <w:t xml:space="preserve"> </w:t>
      </w:r>
    </w:p>
    <w:p w:rsidR="007B2961" w:rsidRPr="00AC4812" w:rsidP="007B2961">
      <w:pPr>
        <w:bidi w:val="0"/>
        <w:spacing w:after="0" w:line="240" w:lineRule="auto"/>
        <w:jc w:val="both"/>
        <w:rPr>
          <w:rFonts w:ascii="Times New Roman" w:hAnsi="Times New Roman" w:cs="Times New Roman"/>
          <w:sz w:val="24"/>
          <w:szCs w:val="24"/>
          <w:lang w:eastAsia="sk-SK"/>
        </w:rPr>
      </w:pPr>
    </w:p>
    <w:p w:rsidR="007B2961" w:rsidP="007B2961">
      <w:pPr>
        <w:bidi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K bodu 10 - § 8 ods. 1 písm. j)</w:t>
      </w:r>
    </w:p>
    <w:p w:rsidR="007B2961" w:rsidRPr="0002556C" w:rsidP="007B2961">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úpravu v súvislosti so zadefinovaním špeciálneho príjmu športovcov v súvislosti s presunom špeciálnych druhov príjmov športovcov z § 6 ods. 2 písm. b) do ods. 2 písm. e).</w:t>
      </w:r>
    </w:p>
    <w:p w:rsidR="007B2961" w:rsidP="007B2961">
      <w:pPr>
        <w:bidi w:val="0"/>
        <w:spacing w:after="0" w:line="240" w:lineRule="auto"/>
        <w:rPr>
          <w:rFonts w:ascii="Times New Roman" w:hAnsi="Times New Roman" w:cs="Times New Roman"/>
          <w:b/>
          <w:sz w:val="24"/>
          <w:szCs w:val="24"/>
          <w:u w:val="single"/>
        </w:rPr>
      </w:pPr>
    </w:p>
    <w:p w:rsidR="007B2961" w:rsidP="007B2961">
      <w:pPr>
        <w:bidi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K bodom  11 a 102 - § 8 ods. 3 písm. c) a § 43 ods. 3 písm. o)</w:t>
      </w:r>
    </w:p>
    <w:p w:rsidR="007B2961" w:rsidP="007B2961">
      <w:pPr>
        <w:bidi w:val="0"/>
        <w:spacing w:after="0" w:line="240" w:lineRule="auto"/>
        <w:rPr>
          <w:rFonts w:ascii="Times New Roman" w:hAnsi="Times New Roman" w:cs="Times New Roman"/>
          <w:sz w:val="24"/>
          <w:szCs w:val="24"/>
        </w:rPr>
      </w:pPr>
      <w:r>
        <w:rPr>
          <w:rFonts w:ascii="Times New Roman" w:hAnsi="Times New Roman" w:cs="Times New Roman"/>
          <w:sz w:val="24"/>
          <w:szCs w:val="24"/>
        </w:rPr>
        <w:t>Ide o legislatívno-technickú úpravu.</w:t>
      </w:r>
    </w:p>
    <w:p w:rsidR="007B2961" w:rsidRPr="00506D17" w:rsidP="007B2961">
      <w:pPr>
        <w:bidi w:val="0"/>
        <w:spacing w:after="0" w:line="240" w:lineRule="auto"/>
        <w:rPr>
          <w:rFonts w:ascii="Times New Roman" w:hAnsi="Times New Roman" w:cs="Times New Roman"/>
          <w:sz w:val="24"/>
          <w:szCs w:val="24"/>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bodom </w:t>
      </w:r>
      <w:r>
        <w:rPr>
          <w:rFonts w:ascii="Times New Roman" w:hAnsi="Times New Roman" w:cs="Times New Roman"/>
          <w:b/>
          <w:sz w:val="24"/>
          <w:szCs w:val="24"/>
          <w:u w:val="single"/>
        </w:rPr>
        <w:t>14</w:t>
      </w:r>
      <w:r w:rsidRPr="00AC4812">
        <w:rPr>
          <w:rFonts w:ascii="Times New Roman" w:hAnsi="Times New Roman" w:cs="Times New Roman"/>
          <w:b/>
          <w:sz w:val="24"/>
          <w:szCs w:val="24"/>
          <w:u w:val="single"/>
        </w:rPr>
        <w:t xml:space="preserve">, </w:t>
      </w:r>
      <w:r>
        <w:rPr>
          <w:rFonts w:ascii="Times New Roman" w:hAnsi="Times New Roman" w:cs="Times New Roman"/>
          <w:b/>
          <w:sz w:val="24"/>
          <w:szCs w:val="24"/>
          <w:u w:val="single"/>
        </w:rPr>
        <w:t>73</w:t>
      </w:r>
      <w:r w:rsidRPr="00AC481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75, 76, 78, 79, 83 až 87, 89 a 91, 93 až 96, 117 a 118, 131 </w:t>
      </w:r>
      <w:r w:rsidRPr="00AC4812">
        <w:rPr>
          <w:rFonts w:ascii="Times New Roman" w:hAnsi="Times New Roman" w:cs="Times New Roman"/>
          <w:b/>
          <w:sz w:val="24"/>
          <w:szCs w:val="24"/>
          <w:u w:val="single"/>
        </w:rPr>
        <w:t>- § 9 ods. 2 písm. n)</w:t>
      </w:r>
      <w:r w:rsidRPr="00AC4812">
        <w:rPr>
          <w:rFonts w:ascii="Times New Roman" w:hAnsi="Times New Roman" w:cs="Times New Roman"/>
          <w:b/>
          <w:bCs/>
          <w:sz w:val="24"/>
          <w:szCs w:val="24"/>
          <w:u w:val="single"/>
        </w:rPr>
        <w:t>, § 32 ods.</w:t>
      </w:r>
      <w:r>
        <w:rPr>
          <w:rFonts w:ascii="Times New Roman" w:hAnsi="Times New Roman" w:cs="Times New Roman"/>
          <w:b/>
          <w:bCs/>
          <w:sz w:val="24"/>
          <w:szCs w:val="24"/>
          <w:u w:val="single"/>
        </w:rPr>
        <w:t xml:space="preserve"> </w:t>
      </w:r>
      <w:r w:rsidRPr="00AC4812">
        <w:rPr>
          <w:rFonts w:ascii="Times New Roman" w:hAnsi="Times New Roman" w:cs="Times New Roman"/>
          <w:b/>
          <w:bCs/>
          <w:sz w:val="24"/>
          <w:szCs w:val="24"/>
          <w:u w:val="single"/>
        </w:rPr>
        <w:t>10, § 33a, § 37 nadpis</w:t>
      </w:r>
      <w:r>
        <w:rPr>
          <w:rFonts w:ascii="Times New Roman" w:hAnsi="Times New Roman" w:cs="Times New Roman"/>
          <w:b/>
          <w:bCs/>
          <w:sz w:val="24"/>
          <w:szCs w:val="24"/>
          <w:u w:val="single"/>
        </w:rPr>
        <w:t>, § 37 ods</w:t>
      </w:r>
      <w:r w:rsidRPr="00AC4812">
        <w:rPr>
          <w:rFonts w:ascii="Times New Roman" w:hAnsi="Times New Roman" w:cs="Times New Roman"/>
          <w:b/>
          <w:bCs/>
          <w:sz w:val="24"/>
          <w:szCs w:val="24"/>
          <w:u w:val="single"/>
        </w:rPr>
        <w:t>. 5</w:t>
      </w:r>
      <w:r>
        <w:rPr>
          <w:rFonts w:ascii="Times New Roman" w:hAnsi="Times New Roman" w:cs="Times New Roman"/>
          <w:b/>
          <w:bCs/>
          <w:sz w:val="24"/>
          <w:szCs w:val="24"/>
          <w:u w:val="single"/>
        </w:rPr>
        <w:t xml:space="preserve"> a ods. 6, </w:t>
      </w:r>
      <w:r w:rsidRPr="00AC4812">
        <w:rPr>
          <w:rFonts w:ascii="Times New Roman" w:hAnsi="Times New Roman" w:cs="Times New Roman"/>
          <w:b/>
          <w:bCs/>
          <w:sz w:val="24"/>
          <w:szCs w:val="24"/>
          <w:u w:val="single"/>
        </w:rPr>
        <w:t>§ 38 ods. 4</w:t>
      </w:r>
      <w:r>
        <w:rPr>
          <w:rFonts w:ascii="Times New Roman" w:hAnsi="Times New Roman" w:cs="Times New Roman"/>
          <w:b/>
          <w:bCs/>
          <w:sz w:val="24"/>
          <w:szCs w:val="24"/>
          <w:u w:val="single"/>
        </w:rPr>
        <w:t xml:space="preserve"> až 7, § 39 ods. 6, ods. 9 písm. a) a b), ods. 11, 14, 15, § 40 ods. 9 až 12,</w:t>
      </w:r>
      <w:r w:rsidRPr="00AC4812">
        <w:rPr>
          <w:rFonts w:ascii="Times New Roman" w:hAnsi="Times New Roman" w:cs="Times New Roman"/>
          <w:b/>
          <w:bCs/>
          <w:sz w:val="24"/>
          <w:szCs w:val="24"/>
          <w:u w:val="single"/>
        </w:rPr>
        <w:t xml:space="preserve"> § 46a </w:t>
      </w:r>
      <w:r>
        <w:rPr>
          <w:rFonts w:ascii="Times New Roman" w:hAnsi="Times New Roman" w:cs="Times New Roman"/>
          <w:b/>
          <w:bCs/>
          <w:sz w:val="24"/>
          <w:szCs w:val="24"/>
          <w:u w:val="single"/>
        </w:rPr>
        <w:t xml:space="preserve">druhá veta </w:t>
      </w:r>
      <w:r w:rsidRPr="00AC4812">
        <w:rPr>
          <w:rFonts w:ascii="Times New Roman" w:hAnsi="Times New Roman" w:cs="Times New Roman"/>
          <w:b/>
          <w:bCs/>
          <w:sz w:val="24"/>
          <w:szCs w:val="24"/>
          <w:u w:val="single"/>
        </w:rPr>
        <w:t>a § 47 ods. 1 druhá veta</w:t>
      </w:r>
      <w:r>
        <w:rPr>
          <w:rFonts w:ascii="Times New Roman" w:hAnsi="Times New Roman" w:cs="Times New Roman"/>
          <w:b/>
          <w:bCs/>
          <w:sz w:val="24"/>
          <w:szCs w:val="24"/>
          <w:u w:val="single"/>
        </w:rPr>
        <w:t>, § 52zl ods. 4 a 17</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Navrhovanou úpravou sa zavádza daňový bonus na zaplatené úroky pri úveroch na bývanie určených v § 1 ods. </w:t>
      </w:r>
      <w:r>
        <w:rPr>
          <w:rFonts w:ascii="Times New Roman" w:hAnsi="Times New Roman" w:cs="Times New Roman"/>
          <w:sz w:val="24"/>
          <w:szCs w:val="24"/>
        </w:rPr>
        <w:t>6 a 7</w:t>
      </w:r>
      <w:r w:rsidRPr="00AC4812">
        <w:rPr>
          <w:rFonts w:ascii="Times New Roman" w:hAnsi="Times New Roman" w:cs="Times New Roman"/>
          <w:sz w:val="24"/>
          <w:szCs w:val="24"/>
        </w:rPr>
        <w:t xml:space="preserve"> zákona č. 90/2016 Z. z. o úveroch na bývanie.</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Návrh zákona zároveň upravuje podmienky, po ktorých splnení si môže daňovník  tento daňový bonus uplatniť.</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Hlavnými zákon</w:t>
      </w:r>
      <w:r>
        <w:rPr>
          <w:rFonts w:ascii="Times New Roman" w:hAnsi="Times New Roman" w:cs="Times New Roman"/>
          <w:sz w:val="24"/>
          <w:szCs w:val="24"/>
        </w:rPr>
        <w:t>n</w:t>
      </w:r>
      <w:r w:rsidRPr="00AC4812">
        <w:rPr>
          <w:rFonts w:ascii="Times New Roman" w:hAnsi="Times New Roman" w:cs="Times New Roman"/>
          <w:sz w:val="24"/>
          <w:szCs w:val="24"/>
        </w:rPr>
        <w:t>ými podmienkami je skutočnosť, že daňovník – žiadateľ o úver musí mať</w:t>
      </w:r>
    </w:p>
    <w:p w:rsidR="007B2961" w:rsidRPr="00AC4812" w:rsidP="007B2961">
      <w:pPr>
        <w:pStyle w:val="ListParagraph"/>
        <w:numPr>
          <w:numId w:val="34"/>
        </w:numPr>
        <w:bidi w:val="0"/>
        <w:contextualSpacing w:val="0"/>
        <w:jc w:val="both"/>
        <w:rPr>
          <w:rFonts w:ascii="Times New Roman" w:hAnsi="Times New Roman"/>
        </w:rPr>
      </w:pPr>
      <w:r w:rsidRPr="00AC4812">
        <w:rPr>
          <w:rFonts w:ascii="Times New Roman" w:hAnsi="Times New Roman"/>
        </w:rPr>
        <w:t>ku dňu podania žiadosti o úver na bývanie najmenej 18 rokov, ale najviac 35 rokov</w:t>
      </w:r>
    </w:p>
    <w:p w:rsidR="007B2961" w:rsidRPr="00AC4812" w:rsidP="007B2961">
      <w:pPr>
        <w:pStyle w:val="ListParagraph"/>
        <w:numPr>
          <w:numId w:val="34"/>
        </w:numPr>
        <w:bidi w:val="0"/>
        <w:contextualSpacing w:val="0"/>
        <w:jc w:val="both"/>
        <w:rPr>
          <w:rFonts w:ascii="Times New Roman" w:hAnsi="Times New Roman"/>
        </w:rPr>
      </w:pPr>
      <w:r w:rsidRPr="00AC4812">
        <w:rPr>
          <w:rFonts w:ascii="Times New Roman" w:hAnsi="Times New Roman"/>
        </w:rPr>
        <w:t xml:space="preserve">priemerný mesačný príjem vypočítaný z príjmov (základov dane) uvádzaných v daňovom priznaní v maximálnej výške 1,3 násobku priemernej mesačnej mzdy zamestnanca v hospodárstve </w:t>
      </w:r>
      <w:r>
        <w:rPr>
          <w:rFonts w:ascii="Times New Roman" w:hAnsi="Times New Roman"/>
        </w:rPr>
        <w:t>SR</w:t>
      </w:r>
      <w:r w:rsidRPr="00AC4812">
        <w:rPr>
          <w:rFonts w:ascii="Times New Roman" w:hAnsi="Times New Roman"/>
        </w:rPr>
        <w:t xml:space="preserve"> za kalendárny rok predchádzajúci kalendárnemu roku, v ktorom bola uzavretá zmluva o úvere na bývanie.</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Nárok na daňový bonus vzniká len jednému žiadateľovi, ak spĺňa zákonom stanovené podmienky a to aj v prípade, ak by o úver žiadal spolu s iným spoludlžníkom. Tento spoludlžník musí rovnako spĺňať podmienky veku a aj podmienku dosiahnutia maximálneho príjmu.</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Nárok na daňový bonus je určený vo výške 50% zo zaplatených úrokov v príslušnom zdaňovacom období, najviac však vo výške 400 eur</w:t>
      </w:r>
      <w:r>
        <w:rPr>
          <w:rFonts w:ascii="Times New Roman" w:hAnsi="Times New Roman" w:cs="Times New Roman"/>
          <w:sz w:val="24"/>
          <w:szCs w:val="24"/>
        </w:rPr>
        <w:t xml:space="preserve"> ročne</w:t>
      </w:r>
      <w:r w:rsidRPr="00AC4812">
        <w:rPr>
          <w:rFonts w:ascii="Times New Roman" w:hAnsi="Times New Roman" w:cs="Times New Roman"/>
          <w:sz w:val="24"/>
          <w:szCs w:val="24"/>
        </w:rPr>
        <w:t>, pričom výška úrokov musí byť vypočítaná z poskytnutého úveru najviac však zo sumy 50 000 eur na jednu nehnuteľnosť.</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Nárok na daňový bonus na zaplatené úroky vzniká počas piatich bezprostredne po sebe nasledujúcich rokov počnúc mesiacom, v ktorom sa začalo úročenie úveru na bývanie, poskytnutého na základe jednej a tej istej zmluvy o úvere na bývanie.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Ak úročenie úveru začalo v priebehu roka, musí sa zohľadniť len pomerná časť daňového bonusu pripadajúca na počet kalendárnych mesiacov v zdaňovacom období. Rovnako sa postupuje v roku, kedy uplynula päťročná lehota, počas ktorej má nárok uplatniť si daňový bonus na zaplatené úroky na bývanie.</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O sumu daňového bonusu na zaplatené úroky sa znižuje daň daňovníka, ktorý je dlžníkom zo zmluvy o úvere na bývanie, ktorú najskôr zníži o sumu daňového bonusu podľa § 33.</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Ak suma dane vypočítaná za príslušné zdaňovacie obdobie je nižšia ako suma uplatňovaného daňového bonusu na zaplatené úroky, daňovník, ktorý podáva daňové priznanie, požiada miestne príslušného správcu dane o vyplatenie sumy vo výške rozdielu medzi sumou daňového bonusu na zaplatené úroky a sumou dane vypočítanou za príslušné zdaňovacie obdobie, pričom pri vrátení tejto sumy správca dane postupuje ako pri vrátení daňového preplatku.</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Nárok na daňový bonus sa uplatňuje až po skončení zdaňovacieho obdobia a to</w:t>
      </w:r>
    </w:p>
    <w:p w:rsidR="007B2961" w:rsidRPr="00AC4812" w:rsidP="007B2961">
      <w:pPr>
        <w:pStyle w:val="ListParagraph"/>
        <w:numPr>
          <w:numId w:val="31"/>
        </w:numPr>
        <w:bidi w:val="0"/>
        <w:ind w:left="284" w:hanging="284"/>
        <w:contextualSpacing w:val="0"/>
        <w:jc w:val="both"/>
        <w:rPr>
          <w:rFonts w:ascii="Times New Roman" w:hAnsi="Times New Roman"/>
        </w:rPr>
      </w:pPr>
      <w:r w:rsidRPr="00AC4812">
        <w:rPr>
          <w:rFonts w:ascii="Times New Roman" w:hAnsi="Times New Roman"/>
        </w:rPr>
        <w:t>pri vykonaní ročného zúčtovania zamestnávateľom pre zamestnanca na základe ním predloženého dokladu vystaveného veriteľom (bankou poskytujúcou úver na bývanie), ktorý je povinný vydať  takéto potvrdenie na žiadosť žiadateľa a to na vzore tlačiva, ktoré je prílohou k zákonu č. 90/2016 Z.z.,</w:t>
      </w:r>
    </w:p>
    <w:p w:rsidR="007B2961" w:rsidP="007B2961">
      <w:pPr>
        <w:pStyle w:val="ListParagraph"/>
        <w:numPr>
          <w:numId w:val="31"/>
        </w:numPr>
        <w:bidi w:val="0"/>
        <w:ind w:left="284" w:hanging="284"/>
        <w:contextualSpacing w:val="0"/>
        <w:jc w:val="both"/>
        <w:rPr>
          <w:rFonts w:ascii="Times New Roman" w:hAnsi="Times New Roman"/>
        </w:rPr>
      </w:pPr>
      <w:r w:rsidRPr="00AC4812">
        <w:rPr>
          <w:rFonts w:ascii="Times New Roman" w:hAnsi="Times New Roman"/>
        </w:rPr>
        <w:t>pri podaní daňového priznania, na základe ním predloženého dokladu vystaveného veriteľom (rovnako ako v prípade, ak si daňovník uplatňuje tento nárok u zamestnávateľa).</w:t>
      </w:r>
    </w:p>
    <w:p w:rsidR="007B2961" w:rsidP="007B2961">
      <w:pPr>
        <w:bidi w:val="0"/>
        <w:spacing w:after="0" w:line="240" w:lineRule="auto"/>
        <w:jc w:val="both"/>
        <w:rPr>
          <w:rFonts w:ascii="Times New Roman" w:hAnsi="Times New Roman"/>
          <w:sz w:val="24"/>
          <w:szCs w:val="24"/>
        </w:rPr>
      </w:pPr>
    </w:p>
    <w:p w:rsidR="007B2961" w:rsidRPr="007B6510" w:rsidP="007B2961">
      <w:pPr>
        <w:bidi w:val="0"/>
        <w:spacing w:after="0" w:line="240" w:lineRule="auto"/>
        <w:jc w:val="both"/>
        <w:rPr>
          <w:rFonts w:ascii="Times New Roman" w:hAnsi="Times New Roman" w:cs="Times New Roman"/>
          <w:sz w:val="24"/>
          <w:szCs w:val="24"/>
        </w:rPr>
      </w:pPr>
      <w:r>
        <w:rPr>
          <w:rFonts w:ascii="Times New Roman" w:hAnsi="Times New Roman"/>
          <w:sz w:val="24"/>
          <w:szCs w:val="24"/>
        </w:rPr>
        <w:t>Ak daňovník, ktorému vznikol nárok na daňový bonus na zaplatené úroky, zomrie, nárok na daňový bonus si môže uplatniť daňovník, na ktorého prešli záväzky z úveru na bývanie. V takom prípade sa určité podmienky uplatnenia tohto bonusu neuplatnia, a to podmienky týkajúce sa veku a príjmu daňovníka, pretože tieto museli byť splnené ku dňu podania žiadosti o úver (podmienka veku) a ku dňu uzavretia zmluvy o úvere na bývanie (podmienka príjmu).   Rovnako sa v takom prípade nemusí dodržať podmienka podľa § 33a ods. 4 písm. c). Zároveň však bude platiť, že ustanovenia § 33a ods. 1 úvodnej vety a odsekov 2 a 6 tým nie sú dotknuté, čo znamená, že aj daňovník, ktorý prevzal úver po zomrelom daňovníkovi, si môže uplatniť nárok na daňový bonus za príslušné zdaňovacie obdobie len na jednu zmluvu o úvere na bývanie. Ak je zároveň dlžníkom z inej zmluvy o úvere na bývanie, na ktorú spĺňa podmienky pre uplatnenie daňového bonusu, tak sa musí rozhodnúť, na ktorú z týchto zmlúv si nárok na daňový bonus, ktorý je ohraničený dobou piatich rokov, douplatňuje. Ak je súčasne spoludlžníkom z inej zmluvy o úvere na bývanie, na ktorú sa uplatňuje daňový bonus na zaplatené úroky, nárok na daňový bonus z prevzatej zmluvy si môže uplatniť najskôr za zdaňovacie obdobie, za ktoré sa prestal uplatňovať nárok zo zmluvy, z ktorej je spoludlžníkom avšak maximálne do piatich rokov od začatia počítania doby pôvodným daňovníkom, ktorý zomrel a po ktorom prebral záväzky z úveru na bývanie.</w:t>
      </w:r>
    </w:p>
    <w:p w:rsidR="007B2961" w:rsidP="007B2961">
      <w:pPr>
        <w:bidi w:val="0"/>
        <w:spacing w:after="0" w:line="240" w:lineRule="auto"/>
        <w:rPr>
          <w:rFonts w:ascii="Times New Roman" w:hAnsi="Times New Roman" w:cs="Times New Roman"/>
          <w:b/>
          <w:sz w:val="24"/>
          <w:szCs w:val="24"/>
          <w:u w:val="single"/>
        </w:rPr>
      </w:pPr>
    </w:p>
    <w:p w:rsidR="00A57582" w:rsidP="007B2961">
      <w:pPr>
        <w:bidi w:val="0"/>
        <w:spacing w:after="0" w:line="240" w:lineRule="auto"/>
        <w:rPr>
          <w:rFonts w:ascii="Times New Roman" w:hAnsi="Times New Roman" w:cs="Times New Roman"/>
          <w:b/>
          <w:sz w:val="24"/>
          <w:szCs w:val="24"/>
          <w:u w:val="single"/>
        </w:rPr>
      </w:pPr>
    </w:p>
    <w:p w:rsidR="00A57582" w:rsidRPr="00AC4812" w:rsidP="007B2961">
      <w:pPr>
        <w:bidi w:val="0"/>
        <w:spacing w:after="0" w:line="240" w:lineRule="auto"/>
        <w:rPr>
          <w:rFonts w:ascii="Times New Roman" w:hAnsi="Times New Roman" w:cs="Times New Roman"/>
          <w:b/>
          <w:sz w:val="24"/>
          <w:szCs w:val="24"/>
          <w:u w:val="single"/>
        </w:rPr>
      </w:pPr>
    </w:p>
    <w:p w:rsidR="007B2961" w:rsidRPr="00AC4812" w:rsidP="007B2961">
      <w:pPr>
        <w:bidi w:val="0"/>
        <w:spacing w:after="0" w:line="240" w:lineRule="auto"/>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15</w:t>
      </w:r>
      <w:r w:rsidRPr="00AC481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 131 </w:t>
      </w:r>
      <w:r w:rsidRPr="00AC4812">
        <w:rPr>
          <w:rFonts w:ascii="Times New Roman" w:hAnsi="Times New Roman" w:cs="Times New Roman"/>
          <w:b/>
          <w:sz w:val="24"/>
          <w:szCs w:val="24"/>
          <w:u w:val="single"/>
        </w:rPr>
        <w:t>- § 9 ods. 2 písm. y)</w:t>
      </w:r>
      <w:r>
        <w:rPr>
          <w:rFonts w:ascii="Times New Roman" w:hAnsi="Times New Roman" w:cs="Times New Roman"/>
          <w:b/>
          <w:sz w:val="24"/>
          <w:szCs w:val="24"/>
          <w:u w:val="single"/>
        </w:rPr>
        <w:t xml:space="preserve"> a § 52zl ods. 5</w:t>
      </w:r>
      <w:r w:rsidRPr="00AC4812">
        <w:rPr>
          <w:rFonts w:ascii="Times New Roman" w:hAnsi="Times New Roman" w:cs="Times New Roman"/>
          <w:b/>
          <w:sz w:val="24"/>
          <w:szCs w:val="24"/>
          <w:u w:val="single"/>
        </w:rPr>
        <w:t xml:space="preserv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V navrhovanej úprave zákona sa oslobodzuje nepeňažné plnenie poskytnuté  držiteľom vo forme hodnoty stravy poskytnutej poskytovateľovi zdravotnej starostlivosti na odbornom podujatí určenom výhradne na vzdelávacie účely, ktoré definuje zákon o liekoch, v plnej výške. Oslobodenie nepeňažného plnenia formou poskytnutej stravy sa použije už pri poskytnutej strave na vzdelávacích podujatiach konaných v roku 2017, z ktorých mala byť  daň vyberaná zrážkou po 31. decembri 2017 prostredníctvom oznámenia podľa § 43 ods. 17 zákona podávaného do 31. </w:t>
      </w:r>
      <w:r>
        <w:rPr>
          <w:rFonts w:ascii="Times New Roman" w:hAnsi="Times New Roman" w:cs="Times New Roman"/>
          <w:sz w:val="24"/>
          <w:szCs w:val="24"/>
        </w:rPr>
        <w:t>marca</w:t>
      </w:r>
      <w:r w:rsidRPr="00AC4812">
        <w:rPr>
          <w:rFonts w:ascii="Times New Roman" w:hAnsi="Times New Roman" w:cs="Times New Roman"/>
          <w:sz w:val="24"/>
          <w:szCs w:val="24"/>
        </w:rPr>
        <w:t xml:space="preserve"> 2018, t.j. poskytnutá strava sa nebude uvádzať ako súčasť </w:t>
      </w:r>
      <w:r>
        <w:rPr>
          <w:rFonts w:ascii="Times New Roman" w:hAnsi="Times New Roman" w:cs="Times New Roman"/>
          <w:sz w:val="24"/>
          <w:szCs w:val="24"/>
        </w:rPr>
        <w:t xml:space="preserve">zdaniteľných </w:t>
      </w:r>
      <w:r w:rsidRPr="00AC4812">
        <w:rPr>
          <w:rFonts w:ascii="Times New Roman" w:hAnsi="Times New Roman" w:cs="Times New Roman"/>
          <w:sz w:val="24"/>
          <w:szCs w:val="24"/>
        </w:rPr>
        <w:t>nepeňažných plnení oznamovaných správcovi dane ani od držiteľa a ani od poskytovateľa zdravotnej starostlivosti.</w:t>
      </w:r>
    </w:p>
    <w:p w:rsidR="007B2961" w:rsidRPr="00AC4812" w:rsidP="007B2961">
      <w:pPr>
        <w:bidi w:val="0"/>
        <w:spacing w:after="0" w:line="240" w:lineRule="auto"/>
        <w:rPr>
          <w:rFonts w:ascii="Times New Roman" w:hAnsi="Times New Roman" w:cs="Times New Roman"/>
          <w:b/>
          <w:sz w:val="24"/>
          <w:szCs w:val="24"/>
          <w:u w:val="single"/>
        </w:rPr>
      </w:pPr>
    </w:p>
    <w:p w:rsidR="007B2961" w:rsidP="007B2961">
      <w:pPr>
        <w:bidi w:val="0"/>
        <w:spacing w:after="0" w:line="240" w:lineRule="auto"/>
        <w:rPr>
          <w:rFonts w:ascii="Times New Roman" w:hAnsi="Times New Roman"/>
          <w:b/>
          <w:bCs/>
          <w:sz w:val="24"/>
          <w:szCs w:val="24"/>
          <w:u w:val="single"/>
        </w:rPr>
      </w:pPr>
      <w:r>
        <w:rPr>
          <w:rFonts w:ascii="Times New Roman" w:hAnsi="Times New Roman"/>
          <w:b/>
          <w:bCs/>
          <w:sz w:val="24"/>
          <w:szCs w:val="24"/>
          <w:u w:val="single"/>
        </w:rPr>
        <w:t>K bodu 16 - § 9 ods. 2 písm. ac)</w:t>
      </w:r>
    </w:p>
    <w:p w:rsidR="007B2961" w:rsidP="007B2961">
      <w:pPr>
        <w:bidi w:val="0"/>
        <w:spacing w:after="0" w:line="240" w:lineRule="auto"/>
        <w:jc w:val="both"/>
        <w:rPr>
          <w:rFonts w:ascii="Times New Roman" w:hAnsi="Times New Roman"/>
          <w:bCs/>
          <w:sz w:val="24"/>
          <w:szCs w:val="24"/>
        </w:rPr>
      </w:pPr>
      <w:r>
        <w:rPr>
          <w:rFonts w:ascii="Times New Roman" w:hAnsi="Times New Roman"/>
          <w:bCs/>
          <w:sz w:val="24"/>
          <w:szCs w:val="24"/>
        </w:rPr>
        <w:t>Navrhovaná úprava s účinnosťou od 1.1.2018 oslobodzuje  peňažné a nepeňažné plnenia poskytnuté z prostriedkov štátneho rozpočtu pri príležitosti udeľovania štátnych cien a štátnych vyznamenaní.</w:t>
      </w:r>
    </w:p>
    <w:p w:rsidR="007B2961" w:rsidRPr="002F5B4C" w:rsidP="007B2961">
      <w:pPr>
        <w:bidi w:val="0"/>
        <w:spacing w:after="0" w:line="240" w:lineRule="auto"/>
        <w:rPr>
          <w:rFonts w:ascii="Times New Roman" w:hAnsi="Times New Roman"/>
          <w:bCs/>
          <w:sz w:val="24"/>
          <w:szCs w:val="24"/>
        </w:rPr>
      </w:pPr>
    </w:p>
    <w:p w:rsidR="007B2961" w:rsidP="007B2961">
      <w:pPr>
        <w:bidi w:val="0"/>
        <w:spacing w:after="0" w:line="240" w:lineRule="auto"/>
        <w:rPr>
          <w:rFonts w:ascii="Times New Roman" w:hAnsi="Times New Roman"/>
          <w:b/>
          <w:bCs/>
          <w:sz w:val="24"/>
          <w:szCs w:val="24"/>
          <w:u w:val="single"/>
        </w:rPr>
      </w:pPr>
      <w:r>
        <w:rPr>
          <w:rFonts w:ascii="Times New Roman" w:hAnsi="Times New Roman"/>
          <w:b/>
          <w:bCs/>
          <w:sz w:val="24"/>
          <w:szCs w:val="24"/>
          <w:u w:val="single"/>
        </w:rPr>
        <w:t xml:space="preserve">K bodom 17, 19, 72, 77 a 83  - § 11 ods. 1 a 14, § 32 ods. 6 písm. d),  § 35 ods. 1 písm. b),  § 37 ods. 1 písm. d) a § 38 ods. 4 </w:t>
      </w:r>
    </w:p>
    <w:p w:rsidR="007B2961" w:rsidRPr="003941D0" w:rsidP="007B2961">
      <w:pPr>
        <w:bidi w:val="0"/>
        <w:spacing w:after="0" w:line="240" w:lineRule="auto"/>
        <w:jc w:val="both"/>
        <w:rPr>
          <w:rFonts w:ascii="Times New Roman" w:hAnsi="Times New Roman"/>
          <w:sz w:val="24"/>
          <w:szCs w:val="24"/>
        </w:rPr>
      </w:pPr>
      <w:r>
        <w:rPr>
          <w:rFonts w:ascii="Times New Roman" w:hAnsi="Times New Roman"/>
          <w:sz w:val="24"/>
          <w:szCs w:val="24"/>
        </w:rPr>
        <w:t xml:space="preserve">Navrhovanou úpravou sa zavádza nová nezdaniteľná časť základu dane daňovníka na uhradené služby v kúpeľných zariadeniach, ktoré majú povolenie na kúpeľnú starostlivosť podľa zákona č. 538/2005 Z. z. o prírodných liečivých vodách, prírodných liečebných kúpeľoch, kúpeľných miestach a prírodných minerálnych vodách a o zmene a doplnení niektorých zákonov. Ide o úhrady za stravu, ubytovanie, kúpeľné procedúry, ktoré nie sú preplácané zo zdravotného poistenia. Odpočítateľná položka je určená v ročnej výške 50 eur z preukázateľne zaplatených úhrad, pričom daňovník si môže uplatniť 50 eur z preukázateľne zaplatených úhrad aj za manželku a 50 eur aj za svoje vyživované dieťa, ktoré je vymedzené v § 33 zákona, ak sa títo spolu s ním zúčastnili kúpeľnej starostlivosti. Uvedenú nezdaniteľnú časť základu dane si môže uplatniť len jeden z týchto daňovníkov. Nárok na túto nezdaniteľnú časť základu dane si daňovník uplatní až po skončení zdaňovacieho obdobia a to na základe preukázateľných dokladov vystavených v kúpeľnom zariadení. V prípade, ak doklady neznejú konkrétne na daňovníka uplatňujúceho si nezdaniteľnú časť (alebo manželku, manžela alebo vyživované </w:t>
      </w:r>
      <w:r w:rsidRPr="003941D0">
        <w:rPr>
          <w:rFonts w:ascii="Times New Roman" w:hAnsi="Times New Roman"/>
          <w:sz w:val="24"/>
          <w:szCs w:val="24"/>
        </w:rPr>
        <w:t>dieťa) musí iným spôsobom preukázať, že využil uvedené služby v kúpeľnom zariadení (napr. potvrdenie od poskytovateľa služieb, že služby spotreboval uvedený daňovník). V prípade, že  daňovník uplatní túto nezdaniteľnú časť základu dane za manželku (manžela) alebo vyživované dieťa, predloží  zamestnávateľovi vyhlásenie manželky (manžela), resp. plnoletého dieťaťa o tom, že táto osoba si za rovnaké zdaňovacie obdobie neuplatňuje túto nezdaniteľnú časť.</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rPr>
          <w:rFonts w:ascii="Times New Roman" w:hAnsi="Times New Roman" w:cs="Times New Roman"/>
          <w:b/>
          <w:sz w:val="24"/>
          <w:szCs w:val="24"/>
          <w:u w:val="single"/>
        </w:rPr>
      </w:pPr>
      <w:r w:rsidRPr="003941D0">
        <w:rPr>
          <w:rFonts w:ascii="Times New Roman" w:hAnsi="Times New Roman" w:cs="Times New Roman"/>
          <w:b/>
          <w:sz w:val="24"/>
          <w:szCs w:val="24"/>
          <w:u w:val="single"/>
        </w:rPr>
        <w:t>K bodom 18 a 1</w:t>
      </w:r>
      <w:r>
        <w:rPr>
          <w:rFonts w:ascii="Times New Roman" w:hAnsi="Times New Roman" w:cs="Times New Roman"/>
          <w:b/>
          <w:sz w:val="24"/>
          <w:szCs w:val="24"/>
          <w:u w:val="single"/>
        </w:rPr>
        <w:t>31</w:t>
      </w:r>
      <w:r w:rsidRPr="003941D0">
        <w:rPr>
          <w:rFonts w:ascii="Times New Roman" w:hAnsi="Times New Roman" w:cs="Times New Roman"/>
          <w:b/>
          <w:sz w:val="24"/>
          <w:szCs w:val="24"/>
          <w:u w:val="single"/>
        </w:rPr>
        <w:t xml:space="preserve"> - § 11 ods. 6 a § 52zl ods. 6</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Legislatívna úprava z dôvodu rovnakého daňového posudzovania výsluhových dôchodkov poskytovaných podľa slovenských právnych noriem a zo zdrojov v zahraničí. Uvedeným spôsobom sa bude postupovať už pri výpočte dane za zdaňovacie obdobie 2017.</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rPr>
          <w:rFonts w:ascii="Times New Roman" w:hAnsi="Times New Roman" w:cs="Times New Roman"/>
          <w:b/>
          <w:sz w:val="24"/>
          <w:szCs w:val="24"/>
          <w:u w:val="single"/>
        </w:rPr>
      </w:pPr>
      <w:r w:rsidRPr="003941D0">
        <w:rPr>
          <w:rFonts w:ascii="Times New Roman" w:hAnsi="Times New Roman" w:cs="Times New Roman"/>
          <w:b/>
          <w:sz w:val="24"/>
          <w:szCs w:val="24"/>
          <w:u w:val="single"/>
        </w:rPr>
        <w:t>K bodu 20 - § 13a a § 13b</w:t>
      </w:r>
    </w:p>
    <w:p w:rsidR="007B2961" w:rsidRPr="003941D0" w:rsidP="007B2961">
      <w:pPr>
        <w:bidi w:val="0"/>
        <w:spacing w:after="0" w:line="240" w:lineRule="auto"/>
        <w:rPr>
          <w:rFonts w:ascii="Times New Roman" w:hAnsi="Times New Roman" w:cs="Times New Roman"/>
          <w:sz w:val="24"/>
          <w:szCs w:val="24"/>
        </w:rPr>
      </w:pPr>
      <w:r w:rsidRPr="003941D0">
        <w:rPr>
          <w:rFonts w:ascii="Times New Roman" w:hAnsi="Times New Roman" w:cs="Times New Roman"/>
          <w:sz w:val="24"/>
          <w:szCs w:val="24"/>
        </w:rPr>
        <w:t>K § 13a</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Oslobodením vymedzených príjmov sa navrhuje zaviesť osobitný daňový režim pre komerčné využívanie nehmotných aktív. Jedná sa o</w:t>
      </w:r>
      <w:r>
        <w:rPr>
          <w:rFonts w:ascii="Times New Roman" w:hAnsi="Times New Roman" w:cs="Times New Roman"/>
          <w:sz w:val="24"/>
          <w:szCs w:val="24"/>
          <w:lang w:eastAsia="sk-SK"/>
        </w:rPr>
        <w:t> </w:t>
      </w:r>
      <w:r w:rsidRPr="003941D0">
        <w:rPr>
          <w:rFonts w:ascii="Times New Roman" w:hAnsi="Times New Roman" w:cs="Times New Roman"/>
          <w:sz w:val="24"/>
          <w:szCs w:val="24"/>
          <w:lang w:eastAsia="sk-SK"/>
        </w:rPr>
        <w:t>oslobodenie</w:t>
      </w:r>
      <w:r>
        <w:rPr>
          <w:rFonts w:ascii="Times New Roman" w:hAnsi="Times New Roman" w:cs="Times New Roman"/>
          <w:sz w:val="24"/>
          <w:szCs w:val="24"/>
          <w:lang w:eastAsia="sk-SK"/>
        </w:rPr>
        <w:t xml:space="preserve"> príjmov (výnosov) z odplát za poskytnutie práva na použitie alebo za použitie </w:t>
      </w:r>
      <w:r w:rsidRPr="003941D0">
        <w:rPr>
          <w:rFonts w:ascii="Times New Roman" w:hAnsi="Times New Roman" w:cs="Times New Roman"/>
          <w:sz w:val="24"/>
          <w:szCs w:val="24"/>
          <w:lang w:eastAsia="sk-SK"/>
        </w:rPr>
        <w:t xml:space="preserve">udelených a registrovaných patentov a úžitkových vzorov, ale aj z použitia alebo za použitie počítačových programov (softvér). Podmienkou uplatnenia tohto  oslobodenia je, že uvedené predmety duševného vlastníctva sú výsledkami výskumu a vývoja vykonávaného daňovníkom, t. j. oslobodenie nie je možné uplatniť na príjmy plynúce z výlučne nakúpených patentov, úžitkových vzorov, alebo softvéru. Oslobodenie sa vzťahuje na právnickú osobu – daňovníka s neobmedzenou daňovou povinnosťou, ale podľa ods. 2 aj na daňovníka s obmedzenou daňovou povinnosťou, ktorý vykonáva činnosť na území SR prostredníctvom stálej prevádzkarne, pričom predmetné predmety duševného vlastníctva (patent, úžitkový vzor, softvér) sú funkčne spojené s touto stálou prevádzkarňou umiestnenou na území SR. Zámerom je podporiť priemyselný výskum a vývoj a z dôvodu, že sa jedná o finančne nákladnú činnosť, len u daňovníkov – právnických osôb. Z dôvodu, že sa navrhuje podporovať finančne nákladný podnikový výskum a vývoj technického charakteru, z predmetov ochrany spadajúcich pod autorský zákon sa navrhuje do oslobodenia zahrnúť len softvér. Okrem toho na príjmy z využívania iných predmetov spadajúcich pod autorský zákon sa aplikujú iné formy daňového zvýhodnenia.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3 je vymedzená doba uplatňovania oslobodenia, a to počas uplatňovania daňových odpisov z aktivovaných nákladov na vývoj vynálezu chráneného patentom, technického riešenia chráneného úžitkovým vzorom alebo softvéru. Z uvedeného vyplýva, že oslobodenie od dane je možné uplatniť len na </w:t>
      </w:r>
      <w:r>
        <w:rPr>
          <w:rFonts w:ascii="Times New Roman" w:hAnsi="Times New Roman" w:cs="Times New Roman"/>
          <w:sz w:val="24"/>
          <w:szCs w:val="24"/>
          <w:lang w:eastAsia="sk-SK"/>
        </w:rPr>
        <w:t>príjmy (výnosy) z odplát za poskytnutie práva na použitie alebo za použitie</w:t>
      </w:r>
      <w:r w:rsidRPr="003941D0">
        <w:rPr>
          <w:rFonts w:ascii="Times New Roman" w:hAnsi="Times New Roman" w:cs="Times New Roman"/>
          <w:sz w:val="24"/>
          <w:szCs w:val="24"/>
          <w:lang w:eastAsia="sk-SK"/>
        </w:rPr>
        <w:t xml:space="preserve"> plynúce z patentov, úžitkových vzorov a softvéru, ktoré sú aktivované ako nehmotný majetok daňovníka. Po úplnom odpísaní uvedeného nehmotného majetku do daňových výdavkov, v prípade, že daňovníkovi budú naďalej plynúť príjmy spojené s týmto nehmotným majetkom, budú súčasťou základu dane v súlade s ich zaúčtovaním do výnosov.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Podľa ods. 4 je výška príjmov, na ktoré je možné uplatniť oslobodenie, modifikovaná v závislosti od toho, či pri vývoji aktivovaného nehmotného aktíva bolo potrebné obstarať (kooperácia, resp. outsourcing) čiastkové nehmotné výsledky výskumu a vývoja, vrátane služieb výskumu a vývoja, od inej osoby. V takom prípade je výška príjmov plynúcich z nehmotného aktíva, na ktoré možno uplatniť oslobodenie vo výške podľa ods. 1, modifikovaná spôsobom uvedeným v ods. 4. Čím vyššia hodnota aktivovaného nehmotného aktíva bola obstaraná formou kooperácie od inej osoby, tým menšiu časť </w:t>
      </w:r>
      <w:r>
        <w:rPr>
          <w:rFonts w:ascii="Times New Roman" w:hAnsi="Times New Roman" w:cs="Times New Roman"/>
          <w:sz w:val="24"/>
          <w:szCs w:val="24"/>
          <w:lang w:eastAsia="sk-SK"/>
        </w:rPr>
        <w:t>príjmov</w:t>
      </w:r>
      <w:r w:rsidRPr="003941D0">
        <w:rPr>
          <w:rFonts w:ascii="Times New Roman" w:hAnsi="Times New Roman" w:cs="Times New Roman"/>
          <w:sz w:val="24"/>
          <w:szCs w:val="24"/>
          <w:lang w:eastAsia="sk-SK"/>
        </w:rPr>
        <w:t xml:space="preserve"> plynúcich z tohto aktíva možno kvalifikovať do oslobodenia.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Podľa ods. 5 sa zamedzuje v uplatňovaní oslobodenia u právneho nástupcu daňovníka zrušeného bez likvidácie pri zlúčení, splynutí a rozdelení, nakoľko by sa jednalo o oslobodenie príjmov plynúcich z nehmotných aktív, ktoré neboli výsledkom vlastnej činnosti právneho nástupcu. Obdobne sa zamedzuje v uplatňovaní oslobodenia u prijímateľa nepeňažného vkladu, ak jeho predmetom sú patent, úžitkový vzor, alebo softvér a z týchto mu budú plynúť príjmy, na ktoré sa oslobodenie vzťahuje.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6 sa ukladá Finančnému riaditeľstvu SR povinnosť zverejňovania zoznamu daňovníkov, ktorí si uplatňujú oslobodenie príjmov plynúcich z príjmov z nehmotných aktív.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V ods. 7 sa ukladá daňovníkovi povinnosť vedenia evidencie na účely uplatnenia oslobodenia s uvedením rozsahu tejto evidencie.</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Podľa ods. 8 sa ukladá daňovníkovi povinnosť predloženie evidencie vedenej podľa ods. 7 správcovi dane po tom, ako ho správca dane na to vyzve.</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Ods. 9 vymedzuje situácie, kedy daňovník stráca nárok na uplatnenie oslobodenia, pričom podľa ods. 10 sa stanovuje ako následok týchto situácií povinnosť podania dodatočného daňového priznania.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11 sa navrhuje špecifický postup uplatnenia oslobodenia u daňovníka, ktorý sa až dodatočne, t. j. až po tom, ako mu začali plynúť príjmy </w:t>
      </w:r>
      <w:r>
        <w:rPr>
          <w:rFonts w:ascii="Times New Roman" w:hAnsi="Times New Roman" w:cs="Times New Roman"/>
          <w:sz w:val="24"/>
          <w:szCs w:val="24"/>
          <w:lang w:eastAsia="sk-SK"/>
        </w:rPr>
        <w:t>(výnosy) z odplát za poskytnutie práva na použitie alebo za použitie</w:t>
      </w:r>
      <w:r w:rsidRPr="003941D0">
        <w:rPr>
          <w:rFonts w:ascii="Times New Roman" w:hAnsi="Times New Roman" w:cs="Times New Roman"/>
          <w:sz w:val="24"/>
          <w:szCs w:val="24"/>
          <w:lang w:eastAsia="sk-SK"/>
        </w:rPr>
        <w:t>, rozhodne tieto náklady na vývoj aktivovať do majetku. Vtedy sa ešte pred uplatnením modifikácie výšky príjmov podľa ods. 4, na ktoré možno uplatniť oslobodenie, uplatní krátenie v závislosti od pomeru medzi aktivovanými nákladmi na vývoj a súčtom nákladov na vývoj vynaložených najviac za päť zdaňovacích období bezprostredne predchádzajúcich zdaňovaciemu obdobiu aktivácie nákladov na vývoj a aktivovaných nákladov na vývoj.</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Ods. 12 reaguje na možnosť, že oslobodenie podľa ods. 1 by mohlo uplatňovať viac daňovníkov z dôvodu, že pri plnení úloh z pracovnoprávneho vzťahu existuje viacero spolupôvodcov vynálezu, úžitkového vzoru alebo softvéru. V takom prípade sa navrhuje, aby sa oslobodenie mohlo uplatniť na každého takéhoto daňovníka len v rozsahu, v akom sa podieľal na výskume a vývoji vynálezu, úžitkového vzoru alebo softvéru.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13 sa zamedzuje situácii, aby sa daňovník v priebehu obdobia uplatňovania daňových odpisov z predmetných aktivovaných nákladov na vývoj mohol rozhodovať o uplatňovaní, resp. neuplatňovaní oslobodenia v závislosti od výšky nákladov vzťahujúcich sa k oslobodeným príjmom. Aj v prípade, že náklady vzťahujúce sa k oslobodeným príjmom prevyšujú príjmy oslobodené od dane podľa tohto ustanovenia, musí daňovník oslobodenie uplatniť, náklady vzťahujúce sa k oslobodeným príjmom na účely ich zahrnovania do základu dane krátiť podľa § 17 ods. 40, t. j. vylúčiť ich zo základu dane, čím sa zamedzí vzniku daňovej straty z činnosti priemyselného využívania nehmotných aktív, ktoré sú výsledkom výskumu a vývoja. </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bCs/>
          <w:sz w:val="24"/>
          <w:szCs w:val="24"/>
        </w:rPr>
      </w:pPr>
      <w:r w:rsidRPr="003941D0">
        <w:rPr>
          <w:rFonts w:ascii="Times New Roman" w:hAnsi="Times New Roman" w:cs="Times New Roman"/>
          <w:bCs/>
          <w:sz w:val="24"/>
          <w:szCs w:val="24"/>
        </w:rPr>
        <w:t>K § 13b</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sz w:val="24"/>
          <w:szCs w:val="24"/>
          <w:lang w:eastAsia="sk-SK"/>
        </w:rPr>
        <w:t>Oslobodením vymedzených príjmov sa navrhuje zaviesť druhú formu osobitného daňového režimu pre komerčné využívanie tzv. vnorených nehmotných aktív (embedded royalties), t. j. patentov a úžitkových vzorov využívaných pri výrobe výrobkov. Jedná sa o oslobodenie časti príjmov (výnosov) z predaja výrobkov, pri ktorých výrobe sa využíva registrovaný patent alebo technické riešenie chránené úžitkovým vzorom. Pri uplatňovaní oslobodenia je potrebné vychádzať z</w:t>
      </w:r>
      <w:r>
        <w:rPr>
          <w:rFonts w:ascii="Times New Roman" w:hAnsi="Times New Roman"/>
          <w:sz w:val="24"/>
          <w:szCs w:val="24"/>
          <w:lang w:eastAsia="sk-SK"/>
        </w:rPr>
        <w:t> následnej kalkulácie</w:t>
      </w:r>
      <w:r w:rsidRPr="003941D0">
        <w:rPr>
          <w:rFonts w:ascii="Times New Roman" w:hAnsi="Times New Roman"/>
          <w:sz w:val="24"/>
          <w:szCs w:val="24"/>
          <w:lang w:eastAsia="sk-SK"/>
        </w:rPr>
        <w:t xml:space="preserve"> predajnej ceny výrobkov založenej na skutočných priamych a nepriamych nákladoch vrátane k nim prislúchajúcich réžií (výrobná, správna a odbytová, ktorej súčasťou sú predovšetkým náklady na marketing, reklamu, náklady na sprostredkovanie predaja a pod). Podmienkou uplatnenia tejto formy oslobodenia je, že uvedené predmety duševného vlastníctva sú výsledkami </w:t>
      </w:r>
      <w:r w:rsidRPr="003941D0">
        <w:rPr>
          <w:rFonts w:ascii="Times New Roman" w:hAnsi="Times New Roman" w:cs="Times New Roman"/>
          <w:sz w:val="24"/>
          <w:szCs w:val="24"/>
          <w:lang w:eastAsia="sk-SK"/>
        </w:rPr>
        <w:t>výskumu a vývoja vykonávaného daňovníkom. Oslobodenie sa vzťahuje na právnickú osobu – daňovníka s neobmedzenou daňovou povinnosťou, ale podľa ods. 2, takisto ako pri oslobodení podľa § 13a, aj na daňovníka s obmedzenou daňovou povinnosťou, ktorý vykonáva činnosť na území SR prostredníctvom stálej prevádzkarne, pričom predmetné predmety duševného vlastníctva (patent a úžitkový vzor) sú funkčne spojené s touto stálou prevádzkarňou umiestnenou na území SR.</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3 je vymedzená doba uplatňovania oslobodenia, a to počas uplatňovania daňových odpisov z aktivovaných nákladov na vývoj vynálezu chráneného patentom a technického riešenia chráneného úžitkovým vzorom. Z uvedeného vyplýva, že oslobodenie od dane je možné uplatniť len na príjmy (výnosy) z predaja výrobkov, pri ktorých výrobe sa využili patenty alebo úžitkové vzory, pri ktorých sú náklady na ich vývoj aktivované ako nehmotný majetok daňovníka. Po úplnom odpísaní uvedeného nehmotného majetku do daňových výdavkov, v prípade, že daňovníkovi budú naďalej plynúť príjmy (výnosy) podľa ods. 1, budú súčasťou základu dane v súlade s ich zaúčtovaním do výnosov. </w:t>
      </w:r>
      <w:r w:rsidRPr="003941D0">
        <w:rPr>
          <w:rFonts w:ascii="Times New Roman" w:hAnsi="Times New Roman"/>
          <w:sz w:val="24"/>
          <w:szCs w:val="24"/>
          <w:lang w:eastAsia="sk-SK"/>
        </w:rPr>
        <w:t xml:space="preserve"> </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sz w:val="24"/>
          <w:szCs w:val="24"/>
          <w:lang w:eastAsia="sk-SK"/>
        </w:rPr>
        <w:t>Oslobodenie, podľa odseku 4 vo výške 50 %, je možné aplikovať len na časť príjmov (výnosov), ktorá sa vypočíta ako súčin počtu predaných výrobkov a predajnej ceny výrobku po znížení o skutočné priame a nepriame náklady a tiež po znížení o výrobnú, správnu a odbytovú réžiu a o cenovú prirážku uplatnenú tým istým dodávateľom vo vzťahu k nezávislým osobám z hľadiska vykonávaných funkcií a trhových podmienok. Len na takúto zostatkovú časť príjmov (výnosov) z predaja výrobkov, pri ktorých výrobe sa využíva patent alebo úžitkový vzor, je následne možné aplikovať oslobodenie vo výške podľa ods. 4.</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sz w:val="24"/>
          <w:szCs w:val="24"/>
          <w:lang w:eastAsia="sk-SK"/>
        </w:rPr>
        <w:t xml:space="preserve">Podľa ods. 5 je výška príjmov (výnosov), na ktoré je možné uplatniť oslobodenie, modifikovaná v závislosti od toho, či pri vývoji aktivovaného nehmotného aktíva bolo potrebné obstarať (kooperácia, resp. outsourcing) čiastkové nehmotné výsledku výskumu a vývoja, </w:t>
      </w:r>
      <w:r w:rsidRPr="003941D0">
        <w:rPr>
          <w:rFonts w:ascii="Times New Roman" w:hAnsi="Times New Roman" w:cs="Times New Roman"/>
          <w:sz w:val="24"/>
          <w:szCs w:val="24"/>
          <w:lang w:eastAsia="sk-SK"/>
        </w:rPr>
        <w:t>vrátane služieb výskumu a vývoja,</w:t>
      </w:r>
      <w:r w:rsidRPr="003941D0">
        <w:rPr>
          <w:rFonts w:ascii="Times New Roman" w:hAnsi="Times New Roman"/>
          <w:sz w:val="24"/>
          <w:szCs w:val="24"/>
          <w:lang w:eastAsia="sk-SK"/>
        </w:rPr>
        <w:t xml:space="preserve"> od inej osoby. V takom prípade je výška príjmov (výnosov) z predaja výrobkov, na ktoré možno uplatniť oslobodenie vo výške podľa odseku 4, modifikovaná spôsobom uvedeným v ods. 5. Čím vyššia hodnota špecifikovaného aktivovaného nehmotného majetku bola obstaraná formou kooperácie od inej osoby, tým menšiu časť predajnej ceny výrobku, nesúceho v sebe tento nehmotný majetok, možno kvalifikovať do oslobodenia. </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sz w:val="24"/>
          <w:szCs w:val="24"/>
          <w:lang w:eastAsia="sk-SK"/>
        </w:rPr>
        <w:t xml:space="preserve">Podľa ods. 6 sa zamedzuje v uplatňovaní oslobodenia u právneho nástupcu daňovníka zrušeného bez likvidácie pri zlúčení, splynutí a rozdelení, nakoľko by sa jednalo o oslobodenie príjmov plynúcich z nehmotných aktív, ktoré neboli výsledkom vlastnej činnosti právneho nástupcu. Obdobne sa zamedzuje v uplatňovaní oslobodenia u prijímateľa nepeňažného vkladu, ak jeho predmetom sú patent alebo úžitkový vzor a tieto sú spojené s predajnom výrobkov, na ktoré sa oslobodenie vzťahuje. </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sz w:val="24"/>
          <w:szCs w:val="24"/>
          <w:lang w:eastAsia="sk-SK"/>
        </w:rPr>
        <w:t>V ods. 7 sa ukladá Finančnému riaditeľstvu SR povinnosť zverejňovania zoznamu daňovníkov, ktorí si uplatňujú oslobodenie príjmov (výnosov) z predaja výrobkov, pri ktorých výrobe sa patent alebo úžitkový vzor využil.</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V ods. 8 sa ukladá daňovníkovi povinnosť vedenia evidencie na účely uplatnenia oslobodenia s uvedením rozsahu tejto evidencie.</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Podľa ods. 9 sa ukladá daňovníkovi povinnosť predloženie evidencie vedenej podľa ods. 8 správcovi dane po tom, ako ho správca dane na to vyzve.</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Ods. 10 vymedzuje situácie, kedy daňovník stráca nárok na uplatnenie oslobodenia, pričom podľa ods. 11 sa stanovuje ako následok týchto situácií povinnosť podania dodatočného daňového priznania.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V ods. 12 sa navrhuje špecifický postup uplatnenia oslobodenia u daňovníka, ktorý sa až dodatočne, t. j. až po tom, ako mu začali plynúť príjmy (výnosy) z predaja výrobkov nesúcich v sebe využitý patent alebo úžitkový vzor, rozhodne tieto náklady na vývoj aktivovať do majetku. Vtedy sa ešte pred uplatnením modifikácie výšky príjmov podľa ods. 5, na ktoré možno uplatniť oslobodenie, uplatní krátenie v závislosti od pomeru medzi aktivovanými nákladmi na vývoj a súčtom nákladov na vývoj vynaložených najviac za päť zdaňovacích období bezprostredne predchádzajúcich zdaňovaciemu obdobiu aktivácie nákladov na vývoj a aktivovaných nákladov na vývoj.</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Ods. 13 reaguje na možnosť, že oslobodenie podľa ods. 1 by mohlo uplatňovať viac daňovníkov z dôvodu, že pri plnení úloh z pracovnoprávneho vzťahu existuje viacero spolupôvodcov vynálezu alebo úžitkového vzoru. V takom prípade sa navrhuje, aby sa oslobodenie mohlo uplatniť na každého takéhoto daňovníka len v rozsahu, v akom sa podieľal na výskume a vývoji vynálezu alebo úžitkového vzoru. </w:t>
      </w:r>
    </w:p>
    <w:p w:rsidR="007B2961" w:rsidRPr="003941D0" w:rsidP="007B2961">
      <w:pPr>
        <w:shd w:val="clear" w:color="auto" w:fill="FFFFFF"/>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lang w:eastAsia="sk-SK"/>
        </w:rPr>
        <w:t xml:space="preserve">V ods. 14 sa zamedzuje situácii, aby sa daňovník v priebehu obdobia uplatňovania daňových odpisov z predmetných aktivovaných nákladov na vývoj mohol rozhodovať o uplatňovaní, resp. neuplatňovaní oslobodenia v závislosti od výšky nákladov vzťahujúcich sa k oslobodeným príjmom. Aj v prípade, že náklady vzťahujúce sa k oslobodeným príjmom prevyšujú príjmy oslobodené od dane podľa tohto ustanovenia, musí daňovník oslobodenie uplatniť, náklady vzťahujúce sa k oslobodeným príjmom na účely ich zahrnovania do základu dane krátiť podľa § 17 ods. 40, t. j. vylúčiť ich zo základu dane, čím sa zamedzí vzniku daňovej straty z predaja výrobkov, pri ktorých výrobe sa patent alebo úžitkový vzor využil.  </w:t>
      </w:r>
    </w:p>
    <w:p w:rsidR="007B2961" w:rsidRPr="00224A84" w:rsidP="007B2961">
      <w:pPr>
        <w:shd w:val="clear" w:color="auto" w:fill="FFFFFF"/>
        <w:bidi w:val="0"/>
        <w:spacing w:after="0" w:line="240" w:lineRule="auto"/>
        <w:jc w:val="both"/>
        <w:rPr>
          <w:rFonts w:ascii="Times New Roman" w:hAnsi="Times New Roman"/>
          <w:sz w:val="24"/>
          <w:szCs w:val="24"/>
          <w:lang w:eastAsia="sk-SK"/>
        </w:rPr>
      </w:pPr>
    </w:p>
    <w:p w:rsidR="007B2961" w:rsidRPr="00AC4812" w:rsidP="007B2961">
      <w:pPr>
        <w:bidi w:val="0"/>
        <w:spacing w:after="0" w:line="240" w:lineRule="auto"/>
        <w:jc w:val="both"/>
        <w:rPr>
          <w:rFonts w:ascii="Times New Roman" w:hAnsi="Times New Roman" w:cs="Times New Roman"/>
          <w:b/>
          <w:sz w:val="24"/>
          <w:szCs w:val="24"/>
          <w:u w:val="single"/>
          <w:lang w:eastAsia="cs-CZ"/>
        </w:rPr>
      </w:pPr>
      <w:r w:rsidRPr="00AC4812">
        <w:rPr>
          <w:rFonts w:ascii="Times New Roman" w:hAnsi="Times New Roman" w:cs="Times New Roman"/>
          <w:b/>
          <w:sz w:val="24"/>
          <w:szCs w:val="24"/>
          <w:u w:val="single"/>
          <w:lang w:eastAsia="cs-CZ"/>
        </w:rPr>
        <w:t xml:space="preserve">K bodu </w:t>
      </w:r>
      <w:r>
        <w:rPr>
          <w:rFonts w:ascii="Times New Roman" w:hAnsi="Times New Roman" w:cs="Times New Roman"/>
          <w:b/>
          <w:sz w:val="24"/>
          <w:szCs w:val="24"/>
          <w:u w:val="single"/>
          <w:lang w:eastAsia="cs-CZ"/>
        </w:rPr>
        <w:t>21</w:t>
      </w:r>
      <w:r w:rsidRPr="00AC4812">
        <w:rPr>
          <w:rFonts w:ascii="Times New Roman" w:hAnsi="Times New Roman" w:cs="Times New Roman"/>
          <w:b/>
          <w:sz w:val="24"/>
          <w:szCs w:val="24"/>
          <w:u w:val="single"/>
          <w:lang w:eastAsia="cs-CZ"/>
        </w:rPr>
        <w:t xml:space="preserve"> - § 15 písm. a) tretí a štvrtý bod a písm. b) druhý bod</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Ide o legislatívno-technickú úpravu v nadväznosti na spresnenie zdanenia podielov na zisku, podielov na likvidačnom zostatku a vyrovnacích podielov spoločníkov verejných obchodných spoločností a komplementárov komanditných spoločností</w:t>
      </w:r>
      <w:r>
        <w:rPr>
          <w:rFonts w:ascii="Times New Roman" w:hAnsi="Times New Roman" w:cs="Times New Roman"/>
          <w:sz w:val="24"/>
          <w:szCs w:val="24"/>
          <w:lang w:eastAsia="cs-CZ"/>
        </w:rPr>
        <w:t>, ktoré sú im vyplácané z dôvodu majetkovej účasti v.o.s. alebo k.s. na inej právnickej osobe</w:t>
      </w:r>
      <w:r w:rsidRPr="00AC4812">
        <w:rPr>
          <w:rFonts w:ascii="Times New Roman" w:hAnsi="Times New Roman" w:cs="Times New Roman"/>
          <w:sz w:val="24"/>
          <w:szCs w:val="24"/>
          <w:lang w:eastAsia="cs-CZ"/>
        </w:rPr>
        <w:t>.</w:t>
      </w:r>
    </w:p>
    <w:p w:rsidR="007B2961" w:rsidRPr="00AC4812" w:rsidP="007B2961">
      <w:pPr>
        <w:bidi w:val="0"/>
        <w:spacing w:after="0" w:line="240" w:lineRule="auto"/>
        <w:jc w:val="both"/>
        <w:rPr>
          <w:rFonts w:ascii="Times New Roman" w:hAnsi="Times New Roman" w:cs="Times New Roman"/>
          <w:b/>
          <w:sz w:val="24"/>
          <w:szCs w:val="24"/>
          <w:u w:val="single"/>
          <w:lang w:eastAsia="cs-CZ"/>
        </w:rPr>
      </w:pPr>
      <w:r w:rsidRPr="00AC4812">
        <w:rPr>
          <w:rFonts w:ascii="Times New Roman" w:hAnsi="Times New Roman" w:cs="Times New Roman"/>
          <w:b/>
          <w:sz w:val="24"/>
          <w:szCs w:val="24"/>
          <w:u w:val="single"/>
          <w:lang w:eastAsia="cs-CZ"/>
        </w:rPr>
        <w:t xml:space="preserve">K bodu </w:t>
      </w:r>
      <w:r>
        <w:rPr>
          <w:rFonts w:ascii="Times New Roman" w:hAnsi="Times New Roman" w:cs="Times New Roman"/>
          <w:b/>
          <w:sz w:val="24"/>
          <w:szCs w:val="24"/>
          <w:u w:val="single"/>
          <w:lang w:eastAsia="cs-CZ"/>
        </w:rPr>
        <w:t>22</w:t>
      </w:r>
      <w:r w:rsidRPr="00AC4812">
        <w:rPr>
          <w:rFonts w:ascii="Times New Roman" w:hAnsi="Times New Roman" w:cs="Times New Roman"/>
          <w:b/>
          <w:sz w:val="24"/>
          <w:szCs w:val="24"/>
          <w:u w:val="single"/>
          <w:lang w:eastAsia="cs-CZ"/>
        </w:rPr>
        <w:t xml:space="preserve"> - § 15 písm. b) tretí bod</w:t>
      </w:r>
    </w:p>
    <w:p w:rsidR="007B2961"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V nadväznosti na implementáciu Smernice ATAD sa v § 17</w:t>
      </w:r>
      <w:r>
        <w:rPr>
          <w:rFonts w:ascii="Times New Roman" w:hAnsi="Times New Roman" w:cs="Times New Roman"/>
          <w:sz w:val="24"/>
          <w:szCs w:val="24"/>
          <w:lang w:eastAsia="cs-CZ"/>
        </w:rPr>
        <w:t>f</w:t>
      </w:r>
      <w:r w:rsidRPr="00AC4812">
        <w:rPr>
          <w:rFonts w:ascii="Times New Roman" w:hAnsi="Times New Roman" w:cs="Times New Roman"/>
          <w:sz w:val="24"/>
          <w:szCs w:val="24"/>
          <w:lang w:eastAsia="cs-CZ"/>
        </w:rPr>
        <w:t xml:space="preserve"> a</w:t>
      </w:r>
      <w:r>
        <w:rPr>
          <w:rFonts w:ascii="Times New Roman" w:hAnsi="Times New Roman" w:cs="Times New Roman"/>
          <w:sz w:val="24"/>
          <w:szCs w:val="24"/>
          <w:lang w:eastAsia="cs-CZ"/>
        </w:rPr>
        <w:t> </w:t>
      </w:r>
      <w:r w:rsidRPr="00AC4812">
        <w:rPr>
          <w:rFonts w:ascii="Times New Roman" w:hAnsi="Times New Roman" w:cs="Times New Roman"/>
          <w:sz w:val="24"/>
          <w:szCs w:val="24"/>
          <w:lang w:eastAsia="cs-CZ"/>
        </w:rPr>
        <w:t>17</w:t>
      </w:r>
      <w:r>
        <w:rPr>
          <w:rFonts w:ascii="Times New Roman" w:hAnsi="Times New Roman" w:cs="Times New Roman"/>
          <w:sz w:val="24"/>
          <w:szCs w:val="24"/>
          <w:lang w:eastAsia="cs-CZ"/>
        </w:rPr>
        <w:t>g</w:t>
      </w:r>
      <w:r w:rsidRPr="00AC4812">
        <w:rPr>
          <w:rFonts w:ascii="Times New Roman" w:hAnsi="Times New Roman" w:cs="Times New Roman"/>
          <w:sz w:val="24"/>
          <w:szCs w:val="24"/>
          <w:lang w:eastAsia="cs-CZ"/>
        </w:rPr>
        <w:t xml:space="preserve"> upravuje nový koncept - zdanenie pri odchode. Zdanenie pri odchode, ktoré sa týka iba právnických osôb sa vyčísli v osobitnom základe dane, ktorý bude zdaňovaný sadzbou dane vo výške 21 %. V tejto súvislosti sa do § 15 písm. b) dopĺňa tretí bod – sadzba dane 21 % pre osobitný základ dane podľa § 17</w:t>
      </w:r>
      <w:r>
        <w:rPr>
          <w:rFonts w:ascii="Times New Roman" w:hAnsi="Times New Roman" w:cs="Times New Roman"/>
          <w:sz w:val="24"/>
          <w:szCs w:val="24"/>
          <w:lang w:eastAsia="cs-CZ"/>
        </w:rPr>
        <w:t>f</w:t>
      </w:r>
      <w:r w:rsidRPr="00AC4812">
        <w:rPr>
          <w:rFonts w:ascii="Times New Roman" w:hAnsi="Times New Roman" w:cs="Times New Roman"/>
          <w:sz w:val="24"/>
          <w:szCs w:val="24"/>
          <w:lang w:eastAsia="cs-CZ"/>
        </w:rPr>
        <w:t xml:space="preserve"> ods. 1 a 2.</w:t>
      </w:r>
    </w:p>
    <w:p w:rsidR="007B2961" w:rsidP="007B2961">
      <w:pPr>
        <w:bidi w:val="0"/>
        <w:spacing w:after="0" w:line="240" w:lineRule="auto"/>
        <w:jc w:val="both"/>
        <w:rPr>
          <w:rFonts w:ascii="Times New Roman" w:hAnsi="Times New Roman" w:cs="Times New Roman"/>
          <w:sz w:val="24"/>
          <w:szCs w:val="24"/>
          <w:lang w:eastAsia="cs-CZ"/>
        </w:rPr>
      </w:pPr>
    </w:p>
    <w:p w:rsidR="007B2961" w:rsidP="007B2961">
      <w:pPr>
        <w:bidi w:val="0"/>
        <w:spacing w:after="0" w:line="240" w:lineRule="auto"/>
        <w:jc w:val="both"/>
        <w:rPr>
          <w:rFonts w:ascii="Times New Roman" w:hAnsi="Times New Roman" w:cs="Times New Roman"/>
          <w:b/>
          <w:sz w:val="24"/>
          <w:szCs w:val="24"/>
          <w:u w:val="single"/>
          <w:lang w:eastAsia="cs-CZ"/>
        </w:rPr>
      </w:pPr>
      <w:r>
        <w:rPr>
          <w:rFonts w:ascii="Times New Roman" w:hAnsi="Times New Roman" w:cs="Times New Roman"/>
          <w:b/>
          <w:sz w:val="24"/>
          <w:szCs w:val="24"/>
          <w:u w:val="single"/>
          <w:lang w:eastAsia="cs-CZ"/>
        </w:rPr>
        <w:t>K bodu 23 - § 16 ods. 1 písm. e) desiaty bod</w:t>
      </w:r>
    </w:p>
    <w:p w:rsidR="007B2961" w:rsidRPr="003941D0" w:rsidP="007B2961">
      <w:pPr>
        <w:bidi w:val="0"/>
        <w:spacing w:after="0" w:line="240" w:lineRule="auto"/>
        <w:jc w:val="both"/>
        <w:rPr>
          <w:rFonts w:ascii="Times New Roman" w:hAnsi="Times New Roman" w:cs="Times New Roman"/>
          <w:strike/>
          <w:sz w:val="24"/>
          <w:szCs w:val="24"/>
        </w:rPr>
      </w:pPr>
      <w:r w:rsidRPr="00FC44C7">
        <w:rPr>
          <w:rFonts w:ascii="Times New Roman" w:hAnsi="Times New Roman" w:cs="Times New Roman"/>
          <w:sz w:val="24"/>
          <w:szCs w:val="24"/>
        </w:rPr>
        <w:t xml:space="preserve">V § 16 v ods. 1 sa dopĺňa </w:t>
      </w:r>
      <w:r>
        <w:rPr>
          <w:rFonts w:ascii="Times New Roman" w:hAnsi="Times New Roman" w:cs="Times New Roman"/>
          <w:sz w:val="24"/>
          <w:szCs w:val="24"/>
        </w:rPr>
        <w:t>desiaty</w:t>
      </w:r>
      <w:r w:rsidRPr="00FC44C7">
        <w:rPr>
          <w:rFonts w:ascii="Times New Roman" w:hAnsi="Times New Roman" w:cs="Times New Roman"/>
          <w:sz w:val="24"/>
          <w:szCs w:val="24"/>
        </w:rPr>
        <w:t xml:space="preserve"> bod, ktorý stanovuje, že za príjem zo zdrojov na území </w:t>
      </w:r>
      <w:r>
        <w:rPr>
          <w:rFonts w:ascii="Times New Roman" w:hAnsi="Times New Roman" w:cs="Times New Roman"/>
          <w:sz w:val="24"/>
          <w:szCs w:val="24"/>
        </w:rPr>
        <w:t>SR</w:t>
      </w:r>
      <w:r w:rsidRPr="00FC44C7">
        <w:rPr>
          <w:rFonts w:ascii="Times New Roman" w:hAnsi="Times New Roman" w:cs="Times New Roman"/>
          <w:sz w:val="24"/>
          <w:szCs w:val="24"/>
        </w:rPr>
        <w:t xml:space="preserve"> </w:t>
      </w:r>
      <w:r w:rsidRPr="003941D0">
        <w:rPr>
          <w:rFonts w:ascii="Times New Roman" w:hAnsi="Times New Roman" w:cs="Times New Roman"/>
          <w:sz w:val="24"/>
          <w:szCs w:val="24"/>
        </w:rPr>
        <w:t>možno považovať aj úhrady od daňovníkov s neobmedzenou daňovou povinnosťou a od stálych prevádzkarní daňovníkov s obmedzenou daňovou povinnosťou v</w:t>
      </w:r>
      <w:r>
        <w:rPr>
          <w:rFonts w:ascii="Times New Roman" w:hAnsi="Times New Roman" w:cs="Times New Roman"/>
          <w:sz w:val="24"/>
          <w:szCs w:val="24"/>
        </w:rPr>
        <w:t> </w:t>
      </w:r>
      <w:r w:rsidRPr="003941D0">
        <w:rPr>
          <w:rFonts w:ascii="Times New Roman" w:hAnsi="Times New Roman" w:cs="Times New Roman"/>
          <w:sz w:val="24"/>
          <w:szCs w:val="24"/>
        </w:rPr>
        <w:t>prípade</w:t>
      </w:r>
      <w:r>
        <w:rPr>
          <w:rFonts w:ascii="Times New Roman" w:hAnsi="Times New Roman" w:cs="Times New Roman"/>
          <w:sz w:val="24"/>
          <w:szCs w:val="24"/>
        </w:rPr>
        <w:t>,</w:t>
      </w:r>
      <w:r w:rsidRPr="003941D0">
        <w:rPr>
          <w:rFonts w:ascii="Times New Roman" w:hAnsi="Times New Roman" w:cs="Times New Roman"/>
          <w:sz w:val="24"/>
          <w:szCs w:val="24"/>
        </w:rPr>
        <w:t xml:space="preserve"> že predmetné odplaty za poskytnutie služieb obchodného, technického alebo iného poradenstva, za spracovanie dát, za marketingové služby, z riadiacej činnosti a sprostredkovateľskej činnosti sú u týchto daňovníkov uznanými daňovými výdavkami. </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lang w:eastAsia="cs-CZ"/>
        </w:rPr>
        <w:t xml:space="preserve">K bodu </w:t>
      </w:r>
      <w:r>
        <w:rPr>
          <w:rFonts w:ascii="Times New Roman" w:hAnsi="Times New Roman" w:cs="Times New Roman"/>
          <w:b/>
          <w:sz w:val="24"/>
          <w:szCs w:val="24"/>
          <w:u w:val="single"/>
          <w:lang w:eastAsia="cs-CZ"/>
        </w:rPr>
        <w:t>23</w:t>
      </w:r>
      <w:r w:rsidRPr="00AC4812">
        <w:rPr>
          <w:rFonts w:ascii="Times New Roman" w:hAnsi="Times New Roman" w:cs="Times New Roman"/>
          <w:b/>
          <w:sz w:val="24"/>
          <w:szCs w:val="24"/>
          <w:u w:val="single"/>
          <w:lang w:eastAsia="cs-CZ"/>
        </w:rPr>
        <w:t xml:space="preserve">, </w:t>
      </w:r>
      <w:r>
        <w:rPr>
          <w:rFonts w:ascii="Times New Roman" w:hAnsi="Times New Roman" w:cs="Times New Roman"/>
          <w:b/>
          <w:sz w:val="24"/>
          <w:szCs w:val="24"/>
          <w:u w:val="single"/>
          <w:lang w:eastAsia="cs-CZ"/>
        </w:rPr>
        <w:t>100, 103, 113, 114, 128 až 130</w:t>
      </w:r>
      <w:r w:rsidRPr="00AC4812">
        <w:rPr>
          <w:rFonts w:ascii="Times New Roman" w:hAnsi="Times New Roman" w:cs="Times New Roman"/>
          <w:b/>
          <w:sz w:val="24"/>
          <w:szCs w:val="24"/>
          <w:u w:val="single"/>
          <w:lang w:eastAsia="cs-CZ"/>
        </w:rPr>
        <w:t xml:space="preserve"> - </w:t>
      </w:r>
      <w:r w:rsidRPr="00AC4812">
        <w:rPr>
          <w:rFonts w:ascii="Times New Roman" w:hAnsi="Times New Roman" w:cs="Times New Roman"/>
          <w:b/>
          <w:sz w:val="24"/>
          <w:szCs w:val="24"/>
          <w:u w:val="single"/>
        </w:rPr>
        <w:t xml:space="preserve">§ 16 ods. 1 písm. e) </w:t>
      </w:r>
      <w:r>
        <w:rPr>
          <w:rFonts w:ascii="Times New Roman" w:hAnsi="Times New Roman" w:cs="Times New Roman"/>
          <w:b/>
          <w:sz w:val="24"/>
          <w:szCs w:val="24"/>
          <w:u w:val="single"/>
        </w:rPr>
        <w:t>jedenásty</w:t>
      </w:r>
      <w:r w:rsidRPr="00AC4812">
        <w:rPr>
          <w:rFonts w:ascii="Times New Roman" w:hAnsi="Times New Roman" w:cs="Times New Roman"/>
          <w:b/>
          <w:sz w:val="24"/>
          <w:szCs w:val="24"/>
          <w:u w:val="single"/>
        </w:rPr>
        <w:t xml:space="preserve"> bod,  § 43 ods. 1 písm. a), ods. 3 písm. s), ods. 5 písm. d), ods. 24 a</w:t>
      </w:r>
      <w:r>
        <w:rPr>
          <w:rFonts w:ascii="Times New Roman" w:hAnsi="Times New Roman" w:cs="Times New Roman"/>
          <w:b/>
          <w:sz w:val="24"/>
          <w:szCs w:val="24"/>
          <w:u w:val="single"/>
        </w:rPr>
        <w:t> </w:t>
      </w:r>
      <w:r w:rsidRPr="00AC4812">
        <w:rPr>
          <w:rFonts w:ascii="Times New Roman" w:hAnsi="Times New Roman" w:cs="Times New Roman"/>
          <w:b/>
          <w:sz w:val="24"/>
          <w:szCs w:val="24"/>
          <w:u w:val="single"/>
        </w:rPr>
        <w:t>25</w:t>
      </w:r>
      <w:r>
        <w:rPr>
          <w:rFonts w:ascii="Times New Roman" w:hAnsi="Times New Roman" w:cs="Times New Roman"/>
          <w:b/>
          <w:sz w:val="24"/>
          <w:szCs w:val="24"/>
          <w:u w:val="single"/>
        </w:rPr>
        <w:t>, § 44 ods. 7</w:t>
      </w:r>
      <w:r w:rsidRPr="00AC4812">
        <w:rPr>
          <w:rFonts w:ascii="Times New Roman" w:hAnsi="Times New Roman" w:cs="Times New Roman"/>
          <w:b/>
          <w:sz w:val="24"/>
          <w:szCs w:val="24"/>
          <w:u w:val="single"/>
        </w:rPr>
        <w:t xml:space="preserve"> a § 51e ods. 2 až 4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Navrhovanými úpravami sa spresňuje zdanenie podielov na zisku, podielov na likvidačnom zostatku a vyrovnacích podielov spoločníkov verejných obchodných spoločností a komplementárov komanditných spoločností v prípadoch, ak im plynú tieto príjmy z dôvodu, že uvedené spoločnosti majú majetkovú účasť na inej obchodnej spoločnosti (napr. s.r.o., a.s.) alebo družstve.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Uvedená úprava je potrebná z dôvodu, že v prípade verejných obchodných spoločností a komanditných spoločností, tieto nie sú zdaňované na úrovni spoločnosti, ale až na úrovni jednotlivých spoločníkov alebo komplementárov. V prípade, ak má verejná obchodná spoločnosť alebo komanditná spoločnosť majetkovú účasť na inej obchodnej spoločnosti alebo družstve, a táto by delila ňou vytvorené podiely na zisku na verejnú obchodnú spoločnosť alebo komanditnú spoločnosť, ktorá o nich účtuje do svojho výsledku hospodárenia, ale vzhľadom na skutočnosť, že takéto podiely na zisku sú vylúčené z predmetu dane u prijímateľa právnickej osoby, tak ich vyjme zo základu dane. Týmto spôsobom sa nedostane podiel na zisku ako súčasť deleného základu dane podľa vlastníckych podielov na jednotlivých spoločníkov fyzické osoby a došlo by k zdaneniu v rámci príjmov podľa § 8 zákona a to sadzbou dane vo výške 19 % alebo 25 %. Predmetná úprava by znamenala nerovnaké daňové zaobchádzanie s podielmi na zisku, ktoré sú vyplácané napr. spoločníkom s.r.o. a spoločníkom verejnej obchodnej spoločnosti.</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V prípade, ak sú príjmy uvedené v § 3 ods. 1 písm. f) zákona vyplácané zo zdrojov na území </w:t>
      </w:r>
      <w:r>
        <w:rPr>
          <w:rFonts w:ascii="Times New Roman" w:hAnsi="Times New Roman" w:cs="Times New Roman"/>
          <w:sz w:val="24"/>
          <w:szCs w:val="24"/>
        </w:rPr>
        <w:t xml:space="preserve">SR, </w:t>
      </w:r>
      <w:r w:rsidRPr="00AC4812">
        <w:rPr>
          <w:rFonts w:ascii="Times New Roman" w:hAnsi="Times New Roman" w:cs="Times New Roman"/>
          <w:sz w:val="24"/>
          <w:szCs w:val="24"/>
        </w:rPr>
        <w:t xml:space="preserve">môže dôjsť k dvom situáciám v osobe, ktorá je povinná vybrať daň zrážkou, t.j. v osobe platiteľa dane.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Prvým prípadom je skutočnosť, ak sú tieto príjmy vyplácané napr. s.r.o. so sídlom na území </w:t>
      </w:r>
      <w:r>
        <w:rPr>
          <w:rFonts w:ascii="Times New Roman" w:hAnsi="Times New Roman" w:cs="Times New Roman"/>
          <w:sz w:val="24"/>
          <w:szCs w:val="24"/>
        </w:rPr>
        <w:t>SR</w:t>
      </w:r>
      <w:r w:rsidRPr="00AC4812">
        <w:rPr>
          <w:rFonts w:ascii="Times New Roman" w:hAnsi="Times New Roman" w:cs="Times New Roman"/>
          <w:sz w:val="24"/>
          <w:szCs w:val="24"/>
        </w:rPr>
        <w:t xml:space="preserve"> verejnej obchodnej spoločnosti so sídlom na území </w:t>
      </w:r>
      <w:r>
        <w:rPr>
          <w:rFonts w:ascii="Times New Roman" w:hAnsi="Times New Roman" w:cs="Times New Roman"/>
          <w:sz w:val="24"/>
          <w:szCs w:val="24"/>
        </w:rPr>
        <w:t>SR</w:t>
      </w:r>
      <w:r w:rsidRPr="00AC4812">
        <w:rPr>
          <w:rFonts w:ascii="Times New Roman" w:hAnsi="Times New Roman" w:cs="Times New Roman"/>
          <w:sz w:val="24"/>
          <w:szCs w:val="24"/>
        </w:rPr>
        <w:t>. V takomto prípade je platiteľom dane verejná obchodná spoločnosť, ktorá presne vie komu a v akej výške vypláca napr. podiely na zisku a preto vie správne vybrať a odviesť daň zrážkou.</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Druhým prípadom je skutočnosť, ak vyplácajúca obchodná spoločnosť na území </w:t>
      </w:r>
      <w:r>
        <w:rPr>
          <w:rFonts w:ascii="Times New Roman" w:hAnsi="Times New Roman" w:cs="Times New Roman"/>
          <w:sz w:val="24"/>
          <w:szCs w:val="24"/>
        </w:rPr>
        <w:t>SR</w:t>
      </w:r>
      <w:r w:rsidRPr="00AC4812">
        <w:rPr>
          <w:rFonts w:ascii="Times New Roman" w:hAnsi="Times New Roman" w:cs="Times New Roman"/>
          <w:sz w:val="24"/>
          <w:szCs w:val="24"/>
        </w:rPr>
        <w:t xml:space="preserve"> vie, že vypláca podiel na zisku právnickej osobe so sídlom v zahraničí, ktorá je zdaňovaná obdobným spôsobom ako naša verejná obchodná spoločnosť</w:t>
      </w:r>
      <w:r>
        <w:rPr>
          <w:rFonts w:ascii="Times New Roman" w:hAnsi="Times New Roman" w:cs="Times New Roman"/>
          <w:sz w:val="24"/>
          <w:szCs w:val="24"/>
        </w:rPr>
        <w:t xml:space="preserve"> alebo komanditná spoločnosť</w:t>
      </w:r>
      <w:r w:rsidRPr="00AC4812">
        <w:rPr>
          <w:rFonts w:ascii="Times New Roman" w:hAnsi="Times New Roman" w:cs="Times New Roman"/>
          <w:sz w:val="24"/>
          <w:szCs w:val="24"/>
        </w:rPr>
        <w:t>, pričom ak</w:t>
      </w:r>
    </w:p>
    <w:p w:rsidR="007B2961" w:rsidRPr="00AC4812" w:rsidP="007B2961">
      <w:pPr>
        <w:pStyle w:val="ListParagraph"/>
        <w:numPr>
          <w:numId w:val="30"/>
        </w:numPr>
        <w:bidi w:val="0"/>
        <w:ind w:left="426" w:hanging="426"/>
        <w:contextualSpacing w:val="0"/>
        <w:jc w:val="both"/>
        <w:rPr>
          <w:rFonts w:ascii="Times New Roman" w:hAnsi="Times New Roman"/>
        </w:rPr>
      </w:pPr>
      <w:r w:rsidRPr="00AC4812">
        <w:rPr>
          <w:rFonts w:ascii="Times New Roman" w:hAnsi="Times New Roman"/>
        </w:rPr>
        <w:t xml:space="preserve">zahraničná verejná obchodná spoločnosť nepreukáže </w:t>
      </w:r>
      <w:r>
        <w:rPr>
          <w:rFonts w:ascii="Times New Roman" w:hAnsi="Times New Roman"/>
        </w:rPr>
        <w:t>konečného príjemcu</w:t>
      </w:r>
      <w:r w:rsidRPr="00AC4812">
        <w:rPr>
          <w:rFonts w:ascii="Times New Roman" w:hAnsi="Times New Roman"/>
        </w:rPr>
        <w:t xml:space="preserve"> (</w:t>
      </w:r>
      <w:r>
        <w:rPr>
          <w:rFonts w:ascii="Times New Roman" w:hAnsi="Times New Roman"/>
        </w:rPr>
        <w:t>spoločníka</w:t>
      </w:r>
      <w:r w:rsidRPr="00AC4812">
        <w:rPr>
          <w:rFonts w:ascii="Times New Roman" w:hAnsi="Times New Roman"/>
        </w:rPr>
        <w:t>) podielov na zisku zrazí daň vyplácajúca obchodná spoločnosť so sídlom na našom území z celej sumy a to v najvyššej možnej sadzbe dane 35% (nevie preukázať</w:t>
      </w:r>
      <w:r>
        <w:rPr>
          <w:rFonts w:ascii="Times New Roman" w:hAnsi="Times New Roman"/>
        </w:rPr>
        <w:t>,</w:t>
      </w:r>
      <w:r w:rsidRPr="00AC4812">
        <w:rPr>
          <w:rFonts w:ascii="Times New Roman" w:hAnsi="Times New Roman"/>
        </w:rPr>
        <w:t xml:space="preserve"> či sú spoločníci zo zmluvných štátov)</w:t>
      </w:r>
      <w:r>
        <w:rPr>
          <w:rFonts w:ascii="Times New Roman" w:hAnsi="Times New Roman"/>
        </w:rPr>
        <w:t>,</w:t>
      </w:r>
    </w:p>
    <w:p w:rsidR="007B2961" w:rsidRPr="00AC4812" w:rsidP="007B2961">
      <w:pPr>
        <w:pStyle w:val="ListParagraph"/>
        <w:numPr>
          <w:numId w:val="30"/>
        </w:numPr>
        <w:bidi w:val="0"/>
        <w:ind w:left="426" w:hanging="426"/>
        <w:contextualSpacing w:val="0"/>
        <w:jc w:val="both"/>
        <w:rPr>
          <w:rFonts w:ascii="Times New Roman" w:hAnsi="Times New Roman"/>
        </w:rPr>
      </w:pPr>
      <w:r w:rsidRPr="00AC4812">
        <w:rPr>
          <w:rFonts w:ascii="Times New Roman" w:hAnsi="Times New Roman"/>
        </w:rPr>
        <w:t xml:space="preserve">zahraničná verejná obchodná spoločnosť preukáže </w:t>
      </w:r>
      <w:r>
        <w:rPr>
          <w:rFonts w:ascii="Times New Roman" w:hAnsi="Times New Roman"/>
        </w:rPr>
        <w:t>konečného príjemcu (spoločníka</w:t>
      </w:r>
      <w:r w:rsidRPr="00AC4812">
        <w:rPr>
          <w:rFonts w:ascii="Times New Roman" w:hAnsi="Times New Roman"/>
        </w:rPr>
        <w:t>) podielov na zisku</w:t>
      </w:r>
      <w:r>
        <w:rPr>
          <w:rFonts w:ascii="Times New Roman" w:hAnsi="Times New Roman"/>
        </w:rPr>
        <w:t>,</w:t>
      </w:r>
      <w:r w:rsidRPr="00AC4812">
        <w:rPr>
          <w:rFonts w:ascii="Times New Roman" w:hAnsi="Times New Roman"/>
        </w:rPr>
        <w:t xml:space="preserve"> zrazí daň vyplácajúca obchodná spoločnosť so sídlom na našom území zo  sumy príslušnej len fyzickej osobe, ktorá je </w:t>
      </w:r>
      <w:r>
        <w:rPr>
          <w:rFonts w:ascii="Times New Roman" w:hAnsi="Times New Roman"/>
        </w:rPr>
        <w:t xml:space="preserve">konečným </w:t>
      </w:r>
      <w:r w:rsidRPr="00AC4812">
        <w:rPr>
          <w:rFonts w:ascii="Times New Roman" w:hAnsi="Times New Roman"/>
        </w:rPr>
        <w:t xml:space="preserve">príjemcom podielov na zisku resp. zo sumy príslušnej právnickej osobe, ktorá je </w:t>
      </w:r>
      <w:r>
        <w:rPr>
          <w:rFonts w:ascii="Times New Roman" w:hAnsi="Times New Roman"/>
        </w:rPr>
        <w:t xml:space="preserve">konečným </w:t>
      </w:r>
      <w:r w:rsidRPr="00AC4812">
        <w:rPr>
          <w:rFonts w:ascii="Times New Roman" w:hAnsi="Times New Roman"/>
        </w:rPr>
        <w:t>príjemcom podielov na zisku, ak má táto sídlo v nezmluvnom štáte.</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V prípade, ak plynú príjmy uvedené v § 3 ods. 1 písm. f) zákona spoločníkom verejnej obchodnej spoločnosti alebo komplementárom komanditnej spoločnosti zo zdrojov v zahraničí, budú tieto príjmy súčasťou osobitného základu dane podľa § 51e zákona.</w:t>
      </w:r>
    </w:p>
    <w:p w:rsidR="007B2961" w:rsidRPr="00AC4812" w:rsidP="007B2961">
      <w:pPr>
        <w:bidi w:val="0"/>
        <w:spacing w:after="0" w:line="240" w:lineRule="auto"/>
        <w:jc w:val="both"/>
        <w:rPr>
          <w:rFonts w:ascii="Times New Roman" w:hAnsi="Times New Roman" w:cs="Times New Roman"/>
          <w:b/>
          <w:sz w:val="24"/>
          <w:szCs w:val="24"/>
          <w:u w:val="single"/>
          <w:lang w:eastAsia="cs-CZ"/>
        </w:rPr>
      </w:pPr>
    </w:p>
    <w:p w:rsidR="007B2961" w:rsidRPr="00153DB7" w:rsidP="007B2961">
      <w:pPr>
        <w:bidi w:val="0"/>
        <w:spacing w:after="0" w:line="240" w:lineRule="auto"/>
        <w:jc w:val="both"/>
        <w:rPr>
          <w:rFonts w:ascii="Times New Roman" w:hAnsi="Times New Roman" w:cs="Times New Roman"/>
          <w:b/>
          <w:sz w:val="24"/>
          <w:szCs w:val="24"/>
          <w:u w:val="single"/>
          <w:lang w:eastAsia="cs-CZ"/>
        </w:rPr>
      </w:pPr>
      <w:r w:rsidRPr="00153DB7">
        <w:rPr>
          <w:rFonts w:ascii="Times New Roman" w:hAnsi="Times New Roman" w:cs="Times New Roman"/>
          <w:b/>
          <w:sz w:val="24"/>
          <w:szCs w:val="24"/>
          <w:u w:val="single"/>
          <w:lang w:eastAsia="cs-CZ"/>
        </w:rPr>
        <w:t>K bodu 24 - § 16 ods. 2</w:t>
      </w:r>
    </w:p>
    <w:p w:rsidR="007B2961" w:rsidRPr="00626715" w:rsidP="007B2961">
      <w:pPr>
        <w:bidi w:val="0"/>
        <w:spacing w:after="0" w:line="240" w:lineRule="auto"/>
        <w:jc w:val="both"/>
        <w:rPr>
          <w:rFonts w:ascii="Times New Roman" w:hAnsi="Times New Roman" w:cs="Times New Roman"/>
          <w:sz w:val="24"/>
          <w:szCs w:val="24"/>
        </w:rPr>
      </w:pPr>
      <w:r w:rsidRPr="00153DB7">
        <w:rPr>
          <w:rFonts w:ascii="Times New Roman" w:hAnsi="Times New Roman" w:cs="Times New Roman"/>
          <w:sz w:val="24"/>
          <w:szCs w:val="24"/>
        </w:rPr>
        <w:t xml:space="preserve">Navrhovanou úpravou § 16 ods. 2 je spresnená definícia výkonu činnosti a trvalého miesta, ktoré sú základnými podmienkami pre vznik stálej prevádzkarne na území SR. Za výkon činnosti s trvalým miestom na území SR je možné považovať aj výkon činností prostredníctvom digitálnej platformy na území SR. Za takéto činnosti digitálnej platformy môžeme považovať najmä sprostredkovávanie uzatvárania kontraktov medzi držiteľmi hnuteľných alebo nehnuteľných vecí alebo poskytovateľmi služby a koncovým užívateľom. Cieľom ustanovenia je spresniť definíciu stálej prevádzkarne zavedením právnej fikcie, nakoľko </w:t>
      </w:r>
      <w:r w:rsidRPr="00626715">
        <w:rPr>
          <w:rFonts w:ascii="Times New Roman" w:hAnsi="Times New Roman" w:cs="Times New Roman"/>
          <w:sz w:val="24"/>
          <w:szCs w:val="24"/>
        </w:rPr>
        <w:t xml:space="preserve">súčasné znenie nereflektuje novodobé modely podnikania posledných rokov, kedy sa činnosti na území jednotlivých štátov poskytujú aj bez fyzickej prítomnosti podnikateľa na území štátu a postačujúca je jeho virtuálna prítomnosť, pričom prichádza k diskriminácií podnikateľov – daňovníkov s obmedzenou daňovou povinnosťou poskytujúcich činnosti na našom území prostredníctvom stálych prevádzkarní a daňovníkov s neobmedzenou daňovou povinnosťou, ktorí sú povinní svoje príjmy riadne zdaňovať. Uvedení podnikatelia operujúci prostredníctvom digitálnych platforiem týmto spôsobom poberajú príjmy zo zdrojov na území </w:t>
      </w:r>
      <w:r>
        <w:rPr>
          <w:rFonts w:ascii="Times New Roman" w:hAnsi="Times New Roman" w:cs="Times New Roman"/>
          <w:sz w:val="24"/>
          <w:szCs w:val="24"/>
        </w:rPr>
        <w:t>SR</w:t>
      </w:r>
      <w:r w:rsidRPr="00626715">
        <w:rPr>
          <w:rFonts w:ascii="Times New Roman" w:hAnsi="Times New Roman" w:cs="Times New Roman"/>
          <w:sz w:val="24"/>
          <w:szCs w:val="24"/>
        </w:rPr>
        <w:t xml:space="preserve">, pričom na jej území neplatia zo zisku žiadne dane. Navrhovanou úpravou sa zriaďuje pre uvedené podniky povinnosť zdaňovať príjmy, ktoré boli vytvorené prostredníctvom stálej prevádzkarne na území </w:t>
      </w:r>
      <w:r>
        <w:rPr>
          <w:rFonts w:ascii="Times New Roman" w:hAnsi="Times New Roman" w:cs="Times New Roman"/>
          <w:sz w:val="24"/>
          <w:szCs w:val="24"/>
        </w:rPr>
        <w:t>SR</w:t>
      </w:r>
      <w:r w:rsidRPr="00626715">
        <w:rPr>
          <w:rFonts w:ascii="Times New Roman" w:hAnsi="Times New Roman" w:cs="Times New Roman"/>
          <w:sz w:val="24"/>
          <w:szCs w:val="24"/>
        </w:rPr>
        <w:t>.</w:t>
      </w:r>
    </w:p>
    <w:p w:rsidR="007B2961" w:rsidRPr="00626715" w:rsidP="007B2961">
      <w:pPr>
        <w:bidi w:val="0"/>
        <w:spacing w:after="0" w:line="240" w:lineRule="auto"/>
        <w:jc w:val="both"/>
        <w:rPr>
          <w:rFonts w:ascii="Times New Roman" w:hAnsi="Times New Roman" w:cs="Times New Roman"/>
          <w:sz w:val="24"/>
          <w:szCs w:val="24"/>
        </w:rPr>
      </w:pPr>
      <w:r w:rsidRPr="00626715">
        <w:rPr>
          <w:rFonts w:ascii="Times New Roman" w:hAnsi="Times New Roman" w:cs="Times New Roman"/>
          <w:sz w:val="24"/>
          <w:szCs w:val="24"/>
        </w:rPr>
        <w:t>Prepojenými úpravami sú úpravy v § 16 ods. 1 a § 43 ods. 2 a ods. 6</w:t>
      </w:r>
      <w:r>
        <w:rPr>
          <w:rFonts w:ascii="Times New Roman" w:hAnsi="Times New Roman" w:cs="Times New Roman"/>
          <w:sz w:val="24"/>
          <w:szCs w:val="24"/>
        </w:rPr>
        <w:t xml:space="preserve"> písm. b) zákona</w:t>
      </w:r>
      <w:r w:rsidRPr="00626715">
        <w:rPr>
          <w:rFonts w:ascii="Times New Roman" w:hAnsi="Times New Roman" w:cs="Times New Roman"/>
          <w:sz w:val="24"/>
          <w:szCs w:val="24"/>
        </w:rPr>
        <w:t>. V § 16 ods. 1 v bode 10</w:t>
      </w:r>
      <w:r>
        <w:rPr>
          <w:rFonts w:ascii="Times New Roman" w:hAnsi="Times New Roman" w:cs="Times New Roman"/>
          <w:sz w:val="24"/>
          <w:szCs w:val="24"/>
        </w:rPr>
        <w:t xml:space="preserve"> zákona</w:t>
      </w:r>
      <w:r w:rsidRPr="00626715">
        <w:rPr>
          <w:rFonts w:ascii="Times New Roman" w:hAnsi="Times New Roman" w:cs="Times New Roman"/>
          <w:sz w:val="24"/>
          <w:szCs w:val="24"/>
        </w:rPr>
        <w:t xml:space="preserve"> je stanovený nový zdroj príjmov na území </w:t>
      </w:r>
      <w:r>
        <w:rPr>
          <w:rFonts w:ascii="Times New Roman" w:hAnsi="Times New Roman" w:cs="Times New Roman"/>
          <w:sz w:val="24"/>
          <w:szCs w:val="24"/>
        </w:rPr>
        <w:t>SR</w:t>
      </w:r>
      <w:r w:rsidRPr="00626715">
        <w:rPr>
          <w:rFonts w:ascii="Times New Roman" w:hAnsi="Times New Roman" w:cs="Times New Roman"/>
          <w:sz w:val="24"/>
          <w:szCs w:val="24"/>
        </w:rPr>
        <w:t xml:space="preserve">, ak sú úhrady vykonávané od daňovníkov s neobmedzenou daňovou povinnosťou a od stálych prevádzkarní daňovníkov s obmedzenou daňovou povinnosťou. Daň z takýchto druhov príjmov sa bude vyberať zrážkou, pokiaľ tieto príjmy plynú daňovníkom s obmedzenou daňovou povinnosťou.  </w:t>
      </w:r>
    </w:p>
    <w:p w:rsidR="007B2961" w:rsidRPr="00626715" w:rsidP="007B2961">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SR</w:t>
      </w:r>
      <w:r w:rsidRPr="00626715">
        <w:rPr>
          <w:rFonts w:ascii="Times New Roman" w:hAnsi="Times New Roman" w:cs="Times New Roman"/>
          <w:sz w:val="24"/>
          <w:szCs w:val="24"/>
        </w:rPr>
        <w:t xml:space="preserve"> sa ako člen OECD zaviazala k plneniu odporúčaní projektu BEPS, ktorého cieľom je riešenie praktík vyhýbania sa daňovej povinnosti zo strany niektorých daňovníkov. Súčasťou tohto projektu je aj Akcia 7, ktorej predmetom je spresnenie podmienok vzniku stálej prevádzkarne a Mnohostranný dohovor o zavedení opatrení na zamedzenie narúšania základov dane a presunov ziskov súvisiacich s daňovými zmluvami vychádzajúci z Akcie 15. V súlade s navrhovanou úpravou § 16 ods. 2</w:t>
      </w:r>
      <w:r>
        <w:rPr>
          <w:rFonts w:ascii="Times New Roman" w:hAnsi="Times New Roman" w:cs="Times New Roman"/>
          <w:sz w:val="24"/>
          <w:szCs w:val="24"/>
        </w:rPr>
        <w:t xml:space="preserve"> zákona</w:t>
      </w:r>
      <w:r w:rsidRPr="00626715">
        <w:rPr>
          <w:rFonts w:ascii="Times New Roman" w:hAnsi="Times New Roman" w:cs="Times New Roman"/>
          <w:sz w:val="24"/>
          <w:szCs w:val="24"/>
        </w:rPr>
        <w:t xml:space="preserve"> sa za stálu prevádzkareň bude považovať stavenisko, miesto vykonávania stavebných projektov a montážnych projektov, na ktorom daňovník s obmedzenou daňovou povinnosťou vrátane jeho závislých osôb vykonáva činnosť, ak táto činnosť súhrnne presiahne časové obdobie 6 mesiacov. Cieľom tejto úpravy je zamedziť úmyselnému rozdeľovaniu činností navzájom prepojených daňovníkov do niekoľkých kratších činností, z ktorých ani jedna nepresiahne 6 mesiacov. Činnosti vykonávané daňovníkom s obmedzenou daňovou povinnosťou a jeho závislými osobami sa budú považovať za jeden celok, ak tieto činnosti spolu súvisia a na sebe nadväzujú, t. j. pri posúdení vzniku stavebnej stálej prevádzkarne sa bude zohľadňovať celkový časový úsek realizácie stavby, stavebných a montážnych projektov. </w:t>
      </w:r>
    </w:p>
    <w:p w:rsidR="007B2961" w:rsidRPr="00626715" w:rsidP="007B2961">
      <w:pPr>
        <w:bidi w:val="0"/>
        <w:spacing w:after="0" w:line="240" w:lineRule="auto"/>
        <w:jc w:val="both"/>
        <w:rPr>
          <w:rFonts w:ascii="Times New Roman" w:hAnsi="Times New Roman" w:cs="Times New Roman"/>
          <w:sz w:val="24"/>
          <w:szCs w:val="24"/>
        </w:rPr>
      </w:pPr>
      <w:r w:rsidRPr="00626715">
        <w:rPr>
          <w:rFonts w:ascii="Times New Roman" w:hAnsi="Times New Roman" w:cs="Times New Roman"/>
          <w:sz w:val="24"/>
          <w:szCs w:val="24"/>
        </w:rPr>
        <w:t>V nadväznosti na Akciu 7 sa v § 16 ods. 2</w:t>
      </w:r>
      <w:r>
        <w:rPr>
          <w:rFonts w:ascii="Times New Roman" w:hAnsi="Times New Roman" w:cs="Times New Roman"/>
          <w:sz w:val="24"/>
          <w:szCs w:val="24"/>
        </w:rPr>
        <w:t xml:space="preserve"> zákona</w:t>
      </w:r>
      <w:r w:rsidRPr="00626715">
        <w:rPr>
          <w:rFonts w:ascii="Times New Roman" w:hAnsi="Times New Roman" w:cs="Times New Roman"/>
          <w:sz w:val="24"/>
          <w:szCs w:val="24"/>
        </w:rPr>
        <w:t xml:space="preserve"> zároveň spresňuje podmienka vzniku stálej prevádzkarne daňovníka s obmedzenou daňovou povinnosťou, ktorého na území </w:t>
      </w:r>
      <w:r>
        <w:rPr>
          <w:rFonts w:ascii="Times New Roman" w:hAnsi="Times New Roman" w:cs="Times New Roman"/>
          <w:sz w:val="24"/>
          <w:szCs w:val="24"/>
        </w:rPr>
        <w:t>SR</w:t>
      </w:r>
      <w:r w:rsidRPr="00626715">
        <w:rPr>
          <w:rFonts w:ascii="Times New Roman" w:hAnsi="Times New Roman" w:cs="Times New Roman"/>
          <w:sz w:val="24"/>
          <w:szCs w:val="24"/>
        </w:rPr>
        <w:t xml:space="preserve"> zastupuje iná osoba (zástupca, agent). Akcia 7 identifikovala stratégie, ktoré niektorí daňovníci využívajú za účelom zabránenia vzniku stálej prevádzkarne tým, že zmluvy v podstatnej miere dohodnuté v jednom štáte sú formálne uzavreté daňovníkom v zahraničí. Z tohto dôvodu, v zmysle úpravy § 16 ods. 2</w:t>
      </w:r>
      <w:r>
        <w:rPr>
          <w:rFonts w:ascii="Times New Roman" w:hAnsi="Times New Roman" w:cs="Times New Roman"/>
          <w:sz w:val="24"/>
          <w:szCs w:val="24"/>
        </w:rPr>
        <w:t xml:space="preserve"> zákona</w:t>
      </w:r>
      <w:r w:rsidRPr="00626715">
        <w:rPr>
          <w:rFonts w:ascii="Times New Roman" w:hAnsi="Times New Roman" w:cs="Times New Roman"/>
          <w:sz w:val="24"/>
          <w:szCs w:val="24"/>
        </w:rPr>
        <w:t xml:space="preserve">, daňovníkovi s obmedzenou daňovou povinnosťou môže na území </w:t>
      </w:r>
      <w:r>
        <w:rPr>
          <w:rFonts w:ascii="Times New Roman" w:hAnsi="Times New Roman" w:cs="Times New Roman"/>
          <w:sz w:val="24"/>
          <w:szCs w:val="24"/>
        </w:rPr>
        <w:t>SR</w:t>
      </w:r>
      <w:r w:rsidRPr="00626715">
        <w:rPr>
          <w:rFonts w:ascii="Times New Roman" w:hAnsi="Times New Roman" w:cs="Times New Roman"/>
          <w:sz w:val="24"/>
          <w:szCs w:val="24"/>
        </w:rPr>
        <w:t xml:space="preserve"> vzniknúť stála prevádzkareň aj v prípade, že zástupca má rozhodujúci vplyv vedúci k uzavretiu zmluvy následne uzatvorenej daňovníkom bez zásadnej zmeny. V záujme vyhnutia sa vzniku stálej prevádzkarne sa v niektorých prípadoch využívajú aj napríklad komisionárske zmluvy, pomocou ktorých daňovník (komitent) využíva na predaj svojich tovarov v druhom štáte zástupcu (komisionára), ktorý predáva tovary vo vlastnom mene, ale na účet a riziko komitenta. Predmetom týchto komisionárskych zmlúv a obdobných zmlúv môže byť prevod vlastníckeho práva alebo udelenie práva na užívanie majetku vo vlastníctve daňovníka alebo majetku, ktorý má daňovník právo užívať alebo poskytnutie služieb daňovníkom.</w:t>
      </w:r>
    </w:p>
    <w:p w:rsidR="007B2961" w:rsidRPr="00AC4812" w:rsidP="007B2961">
      <w:pPr>
        <w:bidi w:val="0"/>
        <w:spacing w:after="0" w:line="240" w:lineRule="auto"/>
        <w:jc w:val="both"/>
        <w:rPr>
          <w:rFonts w:ascii="Times New Roman" w:hAnsi="Times New Roman" w:cs="Times New Roman"/>
          <w:sz w:val="24"/>
          <w:szCs w:val="24"/>
        </w:rPr>
      </w:pPr>
    </w:p>
    <w:p w:rsidR="007B2961" w:rsidP="007B2961">
      <w:pPr>
        <w:bidi w:val="0"/>
        <w:spacing w:after="0" w:line="240" w:lineRule="auto"/>
        <w:jc w:val="both"/>
        <w:rPr>
          <w:rFonts w:ascii="Times New Roman" w:hAnsi="Times New Roman" w:cs="Times New Roman"/>
          <w:b/>
          <w:sz w:val="24"/>
          <w:szCs w:val="24"/>
          <w:u w:val="single"/>
          <w:lang w:eastAsia="cs-CZ"/>
        </w:rPr>
      </w:pPr>
      <w:r w:rsidRPr="00AC4812">
        <w:rPr>
          <w:rFonts w:ascii="Times New Roman" w:hAnsi="Times New Roman" w:cs="Times New Roman"/>
          <w:b/>
          <w:sz w:val="24"/>
          <w:szCs w:val="24"/>
          <w:u w:val="single"/>
          <w:lang w:eastAsia="cs-CZ"/>
        </w:rPr>
        <w:t>K bod</w:t>
      </w:r>
      <w:r>
        <w:rPr>
          <w:rFonts w:ascii="Times New Roman" w:hAnsi="Times New Roman" w:cs="Times New Roman"/>
          <w:b/>
          <w:sz w:val="24"/>
          <w:szCs w:val="24"/>
          <w:u w:val="single"/>
          <w:lang w:eastAsia="cs-CZ"/>
        </w:rPr>
        <w:t>u</w:t>
      </w:r>
      <w:r w:rsidRPr="00AC4812">
        <w:rPr>
          <w:rFonts w:ascii="Times New Roman" w:hAnsi="Times New Roman" w:cs="Times New Roman"/>
          <w:b/>
          <w:sz w:val="24"/>
          <w:szCs w:val="24"/>
          <w:u w:val="single"/>
          <w:lang w:eastAsia="cs-CZ"/>
        </w:rPr>
        <w:t xml:space="preserve"> </w:t>
      </w:r>
      <w:r>
        <w:rPr>
          <w:rFonts w:ascii="Times New Roman" w:hAnsi="Times New Roman" w:cs="Times New Roman"/>
          <w:b/>
          <w:sz w:val="24"/>
          <w:szCs w:val="24"/>
          <w:u w:val="single"/>
          <w:lang w:eastAsia="cs-CZ"/>
        </w:rPr>
        <w:t>25</w:t>
      </w:r>
      <w:r w:rsidRPr="00AC4812">
        <w:rPr>
          <w:rFonts w:ascii="Times New Roman" w:hAnsi="Times New Roman" w:cs="Times New Roman"/>
          <w:b/>
          <w:sz w:val="24"/>
          <w:szCs w:val="24"/>
          <w:u w:val="single"/>
          <w:lang w:eastAsia="cs-CZ"/>
        </w:rPr>
        <w:t xml:space="preserve">  - § 17 ods. 6 prvá a druhá veta, ods. 7, § 18 ods. 4</w:t>
      </w:r>
      <w:r>
        <w:rPr>
          <w:rFonts w:ascii="Times New Roman" w:hAnsi="Times New Roman" w:cs="Times New Roman"/>
          <w:b/>
          <w:sz w:val="24"/>
          <w:szCs w:val="24"/>
          <w:u w:val="single"/>
          <w:lang w:eastAsia="cs-CZ"/>
        </w:rPr>
        <w:t>, 5, 7</w:t>
      </w:r>
      <w:r w:rsidRPr="00AC4812">
        <w:rPr>
          <w:rFonts w:ascii="Times New Roman" w:hAnsi="Times New Roman" w:cs="Times New Roman"/>
          <w:b/>
          <w:sz w:val="24"/>
          <w:szCs w:val="24"/>
          <w:u w:val="single"/>
          <w:lang w:eastAsia="cs-CZ"/>
        </w:rPr>
        <w:t xml:space="preserve"> až 10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Ide o zmenu súvisiacu s vnútorným presunom kompetencií v rámci finančnej správy.</w:t>
      </w:r>
    </w:p>
    <w:p w:rsidR="007B2961" w:rsidP="007B2961">
      <w:pPr>
        <w:bidi w:val="0"/>
        <w:spacing w:after="0" w:line="240" w:lineRule="auto"/>
        <w:jc w:val="both"/>
        <w:rPr>
          <w:rFonts w:ascii="Times New Roman" w:hAnsi="Times New Roman" w:cs="Times New Roman"/>
          <w:b/>
          <w:sz w:val="24"/>
          <w:szCs w:val="24"/>
          <w:u w:val="single"/>
          <w:lang w:eastAsia="cs-CZ"/>
        </w:rPr>
      </w:pPr>
    </w:p>
    <w:p w:rsidR="007B2961" w:rsidRPr="00685BF0" w:rsidP="007B2961">
      <w:pPr>
        <w:bidi w:val="0"/>
        <w:spacing w:after="0" w:line="240" w:lineRule="auto"/>
        <w:jc w:val="both"/>
        <w:rPr>
          <w:rFonts w:ascii="Times New Roman" w:hAnsi="Times New Roman"/>
          <w:b/>
          <w:sz w:val="24"/>
          <w:szCs w:val="24"/>
          <w:u w:val="single"/>
        </w:rPr>
      </w:pPr>
      <w:r w:rsidRPr="00685BF0">
        <w:rPr>
          <w:rFonts w:ascii="Times New Roman" w:hAnsi="Times New Roman"/>
          <w:b/>
          <w:sz w:val="24"/>
          <w:szCs w:val="24"/>
          <w:u w:val="single"/>
        </w:rPr>
        <w:t>K bodu 26 -  § 17 ods. 7 posledn</w:t>
      </w:r>
      <w:r>
        <w:rPr>
          <w:rFonts w:ascii="Times New Roman" w:hAnsi="Times New Roman"/>
          <w:b/>
          <w:sz w:val="24"/>
          <w:szCs w:val="24"/>
          <w:u w:val="single"/>
        </w:rPr>
        <w:t>á</w:t>
      </w:r>
      <w:r w:rsidRPr="00685BF0">
        <w:rPr>
          <w:rFonts w:ascii="Times New Roman" w:hAnsi="Times New Roman"/>
          <w:b/>
          <w:sz w:val="24"/>
          <w:szCs w:val="24"/>
          <w:u w:val="single"/>
        </w:rPr>
        <w:t xml:space="preserve"> vet</w:t>
      </w:r>
      <w:r>
        <w:rPr>
          <w:rFonts w:ascii="Times New Roman" w:hAnsi="Times New Roman"/>
          <w:b/>
          <w:sz w:val="24"/>
          <w:szCs w:val="24"/>
          <w:u w:val="single"/>
        </w:rPr>
        <w:t>a</w:t>
      </w:r>
      <w:r w:rsidRPr="00685BF0">
        <w:rPr>
          <w:rFonts w:ascii="Times New Roman" w:hAnsi="Times New Roman"/>
          <w:b/>
          <w:sz w:val="24"/>
          <w:szCs w:val="24"/>
          <w:u w:val="single"/>
        </w:rPr>
        <w:t xml:space="preserve">  </w:t>
      </w:r>
    </w:p>
    <w:p w:rsidR="007B2961" w:rsidP="007B2961">
      <w:pPr>
        <w:bidi w:val="0"/>
        <w:spacing w:after="0" w:line="240" w:lineRule="auto"/>
        <w:jc w:val="both"/>
        <w:rPr>
          <w:rFonts w:ascii="Times New Roman" w:hAnsi="Times New Roman"/>
          <w:sz w:val="24"/>
          <w:szCs w:val="24"/>
        </w:rPr>
      </w:pPr>
      <w:r>
        <w:rPr>
          <w:rFonts w:ascii="Times New Roman" w:hAnsi="Times New Roman"/>
          <w:sz w:val="24"/>
          <w:szCs w:val="24"/>
        </w:rPr>
        <w:t>Ide o legislatívno-technickú zmenu, a to o zosúladenie odkazu na postup pri žiadostiach o odsúhlasenie použitia konkrétnej metódy určenia základu dane stálej prevádzkarne s ustanoveniami v § 18, ktoré upravujú žiadosti o vydanie rozhodnutia o odsúhlasení použitia metódy a spôsobu určenia ceny.</w:t>
      </w:r>
    </w:p>
    <w:p w:rsidR="007B2961" w:rsidP="007B2961">
      <w:pPr>
        <w:bidi w:val="0"/>
        <w:spacing w:after="0" w:line="240" w:lineRule="auto"/>
        <w:jc w:val="both"/>
        <w:rPr>
          <w:rFonts w:ascii="Times New Roman" w:hAnsi="Times New Roman" w:cs="Times New Roman"/>
          <w:b/>
          <w:sz w:val="24"/>
          <w:szCs w:val="24"/>
          <w:u w:val="single"/>
          <w:lang w:eastAsia="cs-CZ"/>
        </w:rPr>
      </w:pPr>
    </w:p>
    <w:p w:rsidR="007B2961" w:rsidP="007B2961">
      <w:pPr>
        <w:bidi w:val="0"/>
        <w:spacing w:after="0" w:line="240" w:lineRule="auto"/>
        <w:jc w:val="both"/>
        <w:rPr>
          <w:rFonts w:ascii="Times New Roman" w:hAnsi="Times New Roman" w:cs="Times New Roman"/>
          <w:b/>
          <w:sz w:val="24"/>
          <w:szCs w:val="24"/>
          <w:u w:val="single"/>
          <w:lang w:eastAsia="cs-CZ"/>
        </w:rPr>
      </w:pPr>
      <w:r>
        <w:rPr>
          <w:rFonts w:ascii="Times New Roman" w:hAnsi="Times New Roman" w:cs="Times New Roman"/>
          <w:b/>
          <w:sz w:val="24"/>
          <w:szCs w:val="24"/>
          <w:u w:val="single"/>
          <w:lang w:eastAsia="cs-CZ"/>
        </w:rPr>
        <w:t>K bodom  27 a 99  - § 17 ods. 26 a § 41 ods. 12 a 13</w:t>
      </w:r>
    </w:p>
    <w:p w:rsidR="007B2961" w:rsidRPr="002F5B4C" w:rsidP="007B2961">
      <w:pPr>
        <w:bidi w:val="0"/>
        <w:spacing w:after="0" w:line="240" w:lineRule="auto"/>
        <w:jc w:val="both"/>
        <w:rPr>
          <w:rFonts w:ascii="Times New Roman" w:hAnsi="Times New Roman" w:cs="Times New Roman"/>
          <w:sz w:val="24"/>
          <w:szCs w:val="24"/>
        </w:rPr>
      </w:pPr>
      <w:r w:rsidRPr="001C2D0D">
        <w:rPr>
          <w:rFonts w:ascii="Times New Roman" w:hAnsi="Times New Roman" w:cs="Times New Roman"/>
          <w:sz w:val="24"/>
          <w:szCs w:val="24"/>
        </w:rPr>
        <w:t>V</w:t>
      </w:r>
      <w:r>
        <w:rPr>
          <w:rFonts w:ascii="Times New Roman" w:hAnsi="Times New Roman" w:cs="Times New Roman"/>
          <w:sz w:val="24"/>
          <w:szCs w:val="24"/>
        </w:rPr>
        <w:t xml:space="preserve"> § 41</w:t>
      </w:r>
      <w:r w:rsidRPr="001C2D0D">
        <w:rPr>
          <w:rFonts w:ascii="Times New Roman" w:hAnsi="Times New Roman" w:cs="Times New Roman"/>
          <w:sz w:val="24"/>
          <w:szCs w:val="24"/>
        </w:rPr>
        <w:t xml:space="preserve"> odseku 12 sa upravuje situácia, kedy pri zmene sídla alebo miesta skutočného vedenia nezostáva spoločnosti na území </w:t>
      </w:r>
      <w:r>
        <w:rPr>
          <w:rFonts w:ascii="Times New Roman" w:hAnsi="Times New Roman" w:cs="Times New Roman"/>
          <w:sz w:val="24"/>
          <w:szCs w:val="24"/>
        </w:rPr>
        <w:t>SR</w:t>
      </w:r>
      <w:r w:rsidRPr="001C2D0D">
        <w:rPr>
          <w:rFonts w:ascii="Times New Roman" w:hAnsi="Times New Roman" w:cs="Times New Roman"/>
          <w:sz w:val="24"/>
          <w:szCs w:val="24"/>
        </w:rPr>
        <w:t xml:space="preserve"> stála prevádzkareň. Zdaňovacie obdobie daňovníka sa v tomto prípade končí dňom predchádzajúcim dňu, </w:t>
      </w:r>
      <w:r w:rsidRPr="00F711B9">
        <w:rPr>
          <w:rFonts w:ascii="Times New Roman" w:hAnsi="Times New Roman" w:cs="Times New Roman"/>
          <w:sz w:val="24"/>
          <w:szCs w:val="24"/>
        </w:rPr>
        <w:t xml:space="preserve">ku ktorému došlo k zmene sídla (zápis zmeny do Obchodného registra v SR) alebo ak tu spoločnosť mala iba miesto skutočného vedenia, ku dňu skutočnej zmeny miesta, kde sa tvoria a prijímajú zásadné riadiace a obchodné rozhodnutia pre spoločnosť alebo družstvo ako celok s primeranými vecnými ale najmä personálnymi podmienkami pre takúto činnosť a nevznikne jej tu stála prevádzkareň. Vzhľadom na to, že na území SR nezostáva stála prevádzkareň a všetok majetok je presunutý mimo územia SR, je daňovník povinný na presunutý majetok uplatniť </w:t>
      </w:r>
      <w:r w:rsidRPr="001C2D0D">
        <w:rPr>
          <w:rFonts w:ascii="Times New Roman" w:hAnsi="Times New Roman" w:cs="Times New Roman"/>
          <w:sz w:val="24"/>
          <w:szCs w:val="24"/>
        </w:rPr>
        <w:t xml:space="preserve">postup </w:t>
      </w:r>
      <w:r w:rsidRPr="002F5B4C">
        <w:rPr>
          <w:rFonts w:ascii="Times New Roman" w:hAnsi="Times New Roman" w:cs="Times New Roman"/>
          <w:sz w:val="24"/>
          <w:szCs w:val="24"/>
        </w:rPr>
        <w:t xml:space="preserve">podľa § 17f – zdaňovanie pri odchode. </w:t>
      </w:r>
    </w:p>
    <w:p w:rsidR="007B2961" w:rsidRPr="003941D0" w:rsidP="007B2961">
      <w:pPr>
        <w:bidi w:val="0"/>
        <w:spacing w:after="0" w:line="240" w:lineRule="auto"/>
        <w:jc w:val="both"/>
        <w:rPr>
          <w:rFonts w:ascii="Times New Roman" w:hAnsi="Times New Roman" w:cs="Times New Roman"/>
          <w:sz w:val="24"/>
          <w:szCs w:val="24"/>
        </w:rPr>
      </w:pPr>
      <w:r w:rsidRPr="001C2D0D">
        <w:rPr>
          <w:rFonts w:ascii="Times New Roman" w:hAnsi="Times New Roman" w:cs="Times New Roman"/>
          <w:sz w:val="24"/>
          <w:szCs w:val="24"/>
        </w:rPr>
        <w:t>V </w:t>
      </w:r>
      <w:r>
        <w:rPr>
          <w:rFonts w:ascii="Times New Roman" w:hAnsi="Times New Roman" w:cs="Times New Roman"/>
          <w:sz w:val="24"/>
          <w:szCs w:val="24"/>
        </w:rPr>
        <w:t xml:space="preserve">§ 41 </w:t>
      </w:r>
      <w:r w:rsidRPr="001C2D0D">
        <w:rPr>
          <w:rFonts w:ascii="Times New Roman" w:hAnsi="Times New Roman" w:cs="Times New Roman"/>
          <w:sz w:val="24"/>
          <w:szCs w:val="24"/>
        </w:rPr>
        <w:t xml:space="preserve">odseku 13 sa upravuje situácia, kedy pri zmene sídla alebo miesta skutočného vedenia zostáva spoločnosti na území </w:t>
      </w:r>
      <w:r>
        <w:rPr>
          <w:rFonts w:ascii="Times New Roman" w:hAnsi="Times New Roman" w:cs="Times New Roman"/>
          <w:sz w:val="24"/>
          <w:szCs w:val="24"/>
        </w:rPr>
        <w:t>SR</w:t>
      </w:r>
      <w:r w:rsidRPr="001C2D0D">
        <w:rPr>
          <w:rFonts w:ascii="Times New Roman" w:hAnsi="Times New Roman" w:cs="Times New Roman"/>
          <w:sz w:val="24"/>
          <w:szCs w:val="24"/>
        </w:rPr>
        <w:t xml:space="preserve"> stála prevádzkareň. Zdaňovacie obdobie daňovníka sa v tomto prípade končí posledným dňom zdaňovacieho obdobia, ktoré mal daňovník pred zmenou sídla alebo miesta skutočného vedenia (t.</w:t>
      </w:r>
      <w:r>
        <w:rPr>
          <w:rFonts w:ascii="Times New Roman" w:hAnsi="Times New Roman" w:cs="Times New Roman"/>
          <w:sz w:val="24"/>
          <w:szCs w:val="24"/>
        </w:rPr>
        <w:t xml:space="preserve"> </w:t>
      </w:r>
      <w:r w:rsidRPr="001C2D0D">
        <w:rPr>
          <w:rFonts w:ascii="Times New Roman" w:hAnsi="Times New Roman" w:cs="Times New Roman"/>
          <w:sz w:val="24"/>
          <w:szCs w:val="24"/>
        </w:rPr>
        <w:t>j. posledný deň kalendárneho alebo hospodárskeho roku, ktorý bol zdaňovacím obdobím daňovníka pred zmenou</w:t>
      </w:r>
      <w:r>
        <w:rPr>
          <w:rFonts w:ascii="Times New Roman" w:hAnsi="Times New Roman" w:cs="Times New Roman"/>
          <w:sz w:val="24"/>
          <w:szCs w:val="24"/>
        </w:rPr>
        <w:t>)</w:t>
      </w:r>
      <w:r w:rsidRPr="001C2D0D">
        <w:rPr>
          <w:rFonts w:ascii="Times New Roman" w:hAnsi="Times New Roman" w:cs="Times New Roman"/>
          <w:sz w:val="24"/>
          <w:szCs w:val="24"/>
        </w:rPr>
        <w:t xml:space="preserve">. Daňovník za toto zdaňovacie obdobie podá jedno daňové priznanie, v ktorom uvedie všetky príjmy, ktoré v zdaňovacom období dosiahol: celosvetové príjmy, ktoré dosiahol do dňa zmeny a príjmy zo zdroja na území </w:t>
      </w:r>
      <w:r>
        <w:rPr>
          <w:rFonts w:ascii="Times New Roman" w:hAnsi="Times New Roman" w:cs="Times New Roman"/>
          <w:sz w:val="24"/>
          <w:szCs w:val="24"/>
        </w:rPr>
        <w:t>SR</w:t>
      </w:r>
      <w:r w:rsidRPr="001C2D0D">
        <w:rPr>
          <w:rFonts w:ascii="Times New Roman" w:hAnsi="Times New Roman" w:cs="Times New Roman"/>
          <w:sz w:val="24"/>
          <w:szCs w:val="24"/>
        </w:rPr>
        <w:t xml:space="preserve">, </w:t>
      </w:r>
      <w:r w:rsidRPr="003941D0">
        <w:rPr>
          <w:rFonts w:ascii="Times New Roman" w:hAnsi="Times New Roman" w:cs="Times New Roman"/>
          <w:sz w:val="24"/>
          <w:szCs w:val="24"/>
        </w:rPr>
        <w:t>ktoré dosiahol po zmene.  Na všetok majetok, ktorý bol presunutý mimo územia SR, je daňovník povinný uplatniť postup podľa  § 17f – zdaňovanie pri odchode. V § 17 ods. 26 sa spresňuje, že v tomto prípade daňovník pokračuje v tvorbe rezerv, opravných položiek a v odpisovaní majetku, ktorý zostáva súčasťou stálej prevádzkarne. Rovnako môže pokračovať aj v odpočítavaní daňovej straty podľa § 30, ak sa vzťahuje k majetku a záväzkom tejto stálej prevádzkarne.</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K bodu 28 - § 17 ods. 40</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Navrhuje sa, aby </w:t>
      </w:r>
      <w:r>
        <w:rPr>
          <w:rFonts w:ascii="Times New Roman" w:hAnsi="Times New Roman" w:cs="Times New Roman"/>
          <w:sz w:val="24"/>
          <w:szCs w:val="24"/>
        </w:rPr>
        <w:t xml:space="preserve">sa </w:t>
      </w:r>
      <w:r w:rsidRPr="003941D0">
        <w:rPr>
          <w:rFonts w:ascii="Times New Roman" w:hAnsi="Times New Roman" w:cs="Times New Roman"/>
          <w:sz w:val="24"/>
          <w:szCs w:val="24"/>
        </w:rPr>
        <w:t>pri uplatňovaní oslobodenia podľa § 13a alebo § 13b vylučovali zo základu dane výdavky (náklady) vynaložené na príjmy (výnosy) podľa § 13a alebo § 13b, a to v rovnakom pomere, v akom sa tieto príjmy (výnosy) oslobodzujú od dane. Jedná sa o všetky náklady vynaložené na tieto oslobodzované príjmy (výnosy), a v rámci nich napr. o náklady marketingového a reklamného charakteru, nákladov na sprostredkovanie predaja a atď. V § 17 ods. 4</w:t>
      </w:r>
      <w:r>
        <w:rPr>
          <w:rFonts w:ascii="Times New Roman" w:hAnsi="Times New Roman" w:cs="Times New Roman"/>
          <w:sz w:val="24"/>
          <w:szCs w:val="24"/>
        </w:rPr>
        <w:t>0</w:t>
      </w:r>
      <w:r w:rsidRPr="003941D0">
        <w:rPr>
          <w:rFonts w:ascii="Times New Roman" w:hAnsi="Times New Roman" w:cs="Times New Roman"/>
          <w:sz w:val="24"/>
          <w:szCs w:val="24"/>
        </w:rPr>
        <w:t xml:space="preserve"> sa navrhuje osobitne uviesť pravidlo uplatňované, resp. uvedené v § 21 ods. 1 písm. j) zákona, t. j. že daňovým výdavkom nie sú výdavky (náklady) vynaložené na príjmy nezahŕňané do základu dane.</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A57582"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 xml:space="preserve">K bodu </w:t>
      </w:r>
      <w:r>
        <w:rPr>
          <w:rFonts w:ascii="Times New Roman" w:hAnsi="Times New Roman" w:cs="Times New Roman"/>
          <w:b/>
          <w:sz w:val="24"/>
          <w:szCs w:val="24"/>
          <w:u w:val="single"/>
          <w:lang w:eastAsia="cs-CZ"/>
        </w:rPr>
        <w:t>29</w:t>
      </w:r>
      <w:r w:rsidRPr="003941D0">
        <w:rPr>
          <w:rFonts w:ascii="Times New Roman" w:hAnsi="Times New Roman" w:cs="Times New Roman"/>
          <w:b/>
          <w:sz w:val="24"/>
          <w:szCs w:val="24"/>
          <w:u w:val="single"/>
          <w:lang w:eastAsia="cs-CZ"/>
        </w:rPr>
        <w:t xml:space="preserve"> až 3</w:t>
      </w:r>
      <w:r>
        <w:rPr>
          <w:rFonts w:ascii="Times New Roman" w:hAnsi="Times New Roman" w:cs="Times New Roman"/>
          <w:b/>
          <w:sz w:val="24"/>
          <w:szCs w:val="24"/>
          <w:u w:val="single"/>
          <w:lang w:eastAsia="cs-CZ"/>
        </w:rPr>
        <w:t>2</w:t>
      </w:r>
      <w:r w:rsidRPr="003941D0">
        <w:rPr>
          <w:rFonts w:ascii="Times New Roman" w:hAnsi="Times New Roman" w:cs="Times New Roman"/>
          <w:b/>
          <w:sz w:val="24"/>
          <w:szCs w:val="24"/>
          <w:u w:val="single"/>
          <w:lang w:eastAsia="cs-CZ"/>
        </w:rPr>
        <w:t xml:space="preserve"> a 1</w:t>
      </w:r>
      <w:r>
        <w:rPr>
          <w:rFonts w:ascii="Times New Roman" w:hAnsi="Times New Roman" w:cs="Times New Roman"/>
          <w:b/>
          <w:sz w:val="24"/>
          <w:szCs w:val="24"/>
          <w:u w:val="single"/>
          <w:lang w:eastAsia="cs-CZ"/>
        </w:rPr>
        <w:t>31</w:t>
      </w:r>
      <w:r w:rsidRPr="003941D0">
        <w:rPr>
          <w:rFonts w:ascii="Times New Roman" w:hAnsi="Times New Roman" w:cs="Times New Roman"/>
          <w:b/>
          <w:sz w:val="24"/>
          <w:szCs w:val="24"/>
          <w:u w:val="single"/>
          <w:lang w:eastAsia="cs-CZ"/>
        </w:rPr>
        <w:t xml:space="preserve"> - § 17b ods. </w:t>
      </w:r>
      <w:r>
        <w:rPr>
          <w:rFonts w:ascii="Times New Roman" w:hAnsi="Times New Roman" w:cs="Times New Roman"/>
          <w:b/>
          <w:sz w:val="24"/>
          <w:szCs w:val="24"/>
          <w:u w:val="single"/>
          <w:lang w:eastAsia="cs-CZ"/>
        </w:rPr>
        <w:t xml:space="preserve">8, </w:t>
      </w:r>
      <w:r w:rsidRPr="003941D0">
        <w:rPr>
          <w:rFonts w:ascii="Times New Roman" w:hAnsi="Times New Roman" w:cs="Times New Roman"/>
          <w:b/>
          <w:sz w:val="24"/>
          <w:szCs w:val="24"/>
          <w:u w:val="single"/>
          <w:lang w:eastAsia="cs-CZ"/>
        </w:rPr>
        <w:t>9, 11 a 13 a § 52zl ods. 9</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Upravuje sa oblasť nepeňažných vkladov, kedy tieto bude možné na daňové účely realizovať iba v reálnych hodnotách. Iba v reálnych hodnotách bude možné realizovať nielen vklady realizované v rámci slovenských transakcií, ale aj individuálne vklady resp. vklady podniku alebo jeho časti mimo územia SR. Výnimkou z toho pravidla je individuálny vklad, ktorým je cenný papier alebo obchodný podiel, vklad podniku alebo jeho časti, ak prijímateľom nepeňažného vkladu je daňovník so sídlom v členskom štáte EÚ alebo EHP a na území SR zostáva majetok, podnik alebo jeho časť súčasťou stálej prevádzkarne tohto daňovníka, avšak len v prípade, ak štát prijímateľa nepeňažného vkladu umožňuje prevzatie majetku iba v pôvodných cenách, alebo dáva možnosť prevzatia nepeňažného vkladu v reálnych hodnotách alebo v pôvodných cenách a rozhodnutie o výbere ocenenia nadobudnutého nepeňažného vkladu je na prijímateľovi nepeňažného vkladu (výnimka uvedená v § 17d). V ostatných prípadoch bude možné na daňové účely uplatniť iba ocenenie v reálnych hodnotách a použiť iba úpravu základu dane v reálnych hodnotách podľa § 17b zákona, pričom ak prijímateľom nepeňažného vkladu je daňovník so sídlom v zahraničí a nie sú splnené podmienky pre možnosť uplatnenia pôvodných hodnôt, vkladateľ nepeňažného vkladu musí rozdiel medzi uznanou hodnotou vkladu a účtovnou hodnotou vkladaného majetku zahrnúť do základu dane jednorazovo, t.j. uplatní iba postup podľa § 17b ods. 1 písm. a) zákona.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Dopĺňa sa zároveň nový odsek 13, ktorý ustanovuje, že, ak po vzniku stálej prevádzkarne na území SR z titulu nepeňažného vkladu podniku alebo jeho časti mimo územia SR následne dôjde k presunu majetku alebo činnosti stálej prevádzkarne mimo územia SR, na takýto presun sa uplatní zdanenie pri odchode podľa § 17f.</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Podľa prechodného ustanovenia sa obmedzenie použitia pôvodných cien pri nepeňažných vkladoch realizovaných mimo územia SR použije až na nepeňažné vklady splatené v zdaňovacom období, ktoré začína najskôr 1. januára 2018.</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K bodom 3</w:t>
      </w:r>
      <w:r>
        <w:rPr>
          <w:rFonts w:ascii="Times New Roman" w:hAnsi="Times New Roman" w:cs="Times New Roman"/>
          <w:b/>
          <w:sz w:val="24"/>
          <w:szCs w:val="24"/>
          <w:u w:val="single"/>
          <w:lang w:eastAsia="cs-CZ"/>
        </w:rPr>
        <w:t>3</w:t>
      </w:r>
      <w:r w:rsidRPr="003941D0">
        <w:rPr>
          <w:rFonts w:ascii="Times New Roman" w:hAnsi="Times New Roman" w:cs="Times New Roman"/>
          <w:b/>
          <w:sz w:val="24"/>
          <w:szCs w:val="24"/>
          <w:u w:val="single"/>
          <w:lang w:eastAsia="cs-CZ"/>
        </w:rPr>
        <w:t xml:space="preserve"> a 3</w:t>
      </w:r>
      <w:r>
        <w:rPr>
          <w:rFonts w:ascii="Times New Roman" w:hAnsi="Times New Roman" w:cs="Times New Roman"/>
          <w:b/>
          <w:sz w:val="24"/>
          <w:szCs w:val="24"/>
          <w:u w:val="single"/>
          <w:lang w:eastAsia="cs-CZ"/>
        </w:rPr>
        <w:t>4</w:t>
      </w:r>
      <w:r w:rsidRPr="003941D0">
        <w:rPr>
          <w:rFonts w:ascii="Times New Roman" w:hAnsi="Times New Roman" w:cs="Times New Roman"/>
          <w:b/>
          <w:sz w:val="24"/>
          <w:szCs w:val="24"/>
          <w:u w:val="single"/>
          <w:lang w:eastAsia="cs-CZ"/>
        </w:rPr>
        <w:t xml:space="preserve"> - § 17c ods. 3 písm. a) a § 17c ods. 11</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Navrhovanou úpravou sa ustanovuje daňové posúdenie výplaty oceňovacích rozdielov z precenenia pri zlúčení, splynutí alebo rozdelení. Ak príde k ich vyplateniu skôr ako boli v plnej výške zdanené podľa § 17c ods. 3 písm. a), je právny nástupca povinný zahrnúť do základu dane tú časť vyplatených oceňovacích rozdielov, ktorá ešte neprešla zdanením a bude sa vyplácať. V tejto súvislosti sa do § 17c ods. 3 písm. a) dopĺňa podmienka, ak zákon v § 17 ods. 11 neustanovuje inak. Rovnaký postup sa uplatní, ak dochádza k výplate týchto oceňovacích rozdielov, ktoré boli predtým použité na zvýšenie ZI alebo boli účtované ako súčasť kapitálového fondu podľa § 217a Obchodného zákonníka. </w:t>
      </w:r>
    </w:p>
    <w:p w:rsidR="007B2961"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K bodom 3</w:t>
      </w:r>
      <w:r>
        <w:rPr>
          <w:rFonts w:ascii="Times New Roman" w:hAnsi="Times New Roman" w:cs="Times New Roman"/>
          <w:b/>
          <w:sz w:val="24"/>
          <w:szCs w:val="24"/>
          <w:u w:val="single"/>
          <w:lang w:eastAsia="cs-CZ"/>
        </w:rPr>
        <w:t>4</w:t>
      </w:r>
      <w:r w:rsidRPr="003941D0">
        <w:rPr>
          <w:rFonts w:ascii="Times New Roman" w:hAnsi="Times New Roman" w:cs="Times New Roman"/>
          <w:b/>
          <w:sz w:val="24"/>
          <w:szCs w:val="24"/>
          <w:u w:val="single"/>
          <w:lang w:eastAsia="cs-CZ"/>
        </w:rPr>
        <w:t xml:space="preserve"> a 1</w:t>
      </w:r>
      <w:r>
        <w:rPr>
          <w:rFonts w:ascii="Times New Roman" w:hAnsi="Times New Roman" w:cs="Times New Roman"/>
          <w:b/>
          <w:sz w:val="24"/>
          <w:szCs w:val="24"/>
          <w:u w:val="single"/>
          <w:lang w:eastAsia="cs-CZ"/>
        </w:rPr>
        <w:t>31</w:t>
      </w:r>
      <w:r w:rsidRPr="003941D0">
        <w:rPr>
          <w:rFonts w:ascii="Times New Roman" w:hAnsi="Times New Roman" w:cs="Times New Roman"/>
          <w:b/>
          <w:sz w:val="24"/>
          <w:szCs w:val="24"/>
          <w:u w:val="single"/>
          <w:lang w:eastAsia="cs-CZ"/>
        </w:rPr>
        <w:t xml:space="preserve"> - § 17c ods. 9 a 10 a § 52zl ods. 10</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Upravuje sa oblasť zlúčenia, splynutia alebo rozdelenia obchodných spoločností alebo družstiev, kedy bude možná uplatniť iba daňový režim v reálnych hodnotách. Výnimkou je iba situácia podľa § 17e. Ak právnemu nástupcovi so sídlom v zahraničí nezostane majetok a záväzky daňovníka zrušeného bez likvidácie ako súčasť stálej prevádzkarne (funkčne spojené so stálou prevádzkarňou) na území SR, je povinný uplatniť iba reálne hodnoty a oceňovací rozdiel z precenenia pri zlúčení, splynutí alebo rozdelení obchodných spoločností alebo družstiev je povinný zahrnúť do základu dane daňovník zrušený bez likvidácie jednorazovo.</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Dopĺňa sa zároveň nový odsek 10, ktorý ustanovuje, že ak z titulu nepeňažného vkladu podniku alebo jeho časti mimo územia SR zostane vkladateľovi nepeňažného vkladu na území SR stála prevádzkareň (majetok a záväzky sú funkčne spojené so stálou prevádzkarňou) a následne dôjde k presunu majetku alebo činnosti z tejto stálej prevádzkarne mimo územia SR, na takýto presun sa uplatní zdanenie pri odchode podľa § 17f.</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Podľa prechodného ustanovenia sa obmedzenie použitia pôvodných cien pri cezhraničných zlúčeniach, splynutiach alebo rozdeleniach obchodných spoločností alebo družstiev použije na situácie, kedy je rozhodný deň stanovený v zdaňovacom období začínajúcom najskôr 1. januára 2018, t.j. ak bude rozhodný deň stanovený na 1. januára 2018, daňovník zrušený bez likvidácie postupuje už podľa ustanovení platných od 1. januára 2018.</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K bodom 3</w:t>
      </w:r>
      <w:r>
        <w:rPr>
          <w:rFonts w:ascii="Times New Roman" w:hAnsi="Times New Roman" w:cs="Times New Roman"/>
          <w:b/>
          <w:sz w:val="24"/>
          <w:szCs w:val="24"/>
          <w:u w:val="single"/>
          <w:lang w:eastAsia="cs-CZ"/>
        </w:rPr>
        <w:t>5 až 39</w:t>
      </w:r>
      <w:r w:rsidRPr="003941D0">
        <w:rPr>
          <w:rFonts w:ascii="Times New Roman" w:hAnsi="Times New Roman" w:cs="Times New Roman"/>
          <w:b/>
          <w:sz w:val="24"/>
          <w:szCs w:val="24"/>
          <w:u w:val="single"/>
          <w:lang w:eastAsia="cs-CZ"/>
        </w:rPr>
        <w:t xml:space="preserve"> a 1</w:t>
      </w:r>
      <w:r>
        <w:rPr>
          <w:rFonts w:ascii="Times New Roman" w:hAnsi="Times New Roman" w:cs="Times New Roman"/>
          <w:b/>
          <w:sz w:val="24"/>
          <w:szCs w:val="24"/>
          <w:u w:val="single"/>
          <w:lang w:eastAsia="cs-CZ"/>
        </w:rPr>
        <w:t>31</w:t>
      </w:r>
      <w:r w:rsidRPr="003941D0">
        <w:rPr>
          <w:rFonts w:ascii="Times New Roman" w:hAnsi="Times New Roman" w:cs="Times New Roman"/>
          <w:b/>
          <w:sz w:val="24"/>
          <w:szCs w:val="24"/>
          <w:u w:val="single"/>
          <w:lang w:eastAsia="cs-CZ"/>
        </w:rPr>
        <w:t xml:space="preserve"> - §17d ods. 7</w:t>
      </w:r>
      <w:r>
        <w:rPr>
          <w:rFonts w:ascii="Times New Roman" w:hAnsi="Times New Roman" w:cs="Times New Roman"/>
          <w:b/>
          <w:sz w:val="24"/>
          <w:szCs w:val="24"/>
          <w:u w:val="single"/>
          <w:lang w:eastAsia="cs-CZ"/>
        </w:rPr>
        <w:t>,</w:t>
      </w:r>
      <w:r w:rsidRPr="003941D0">
        <w:rPr>
          <w:rFonts w:ascii="Times New Roman" w:hAnsi="Times New Roman" w:cs="Times New Roman"/>
          <w:b/>
          <w:sz w:val="24"/>
          <w:szCs w:val="24"/>
          <w:u w:val="single"/>
          <w:lang w:eastAsia="cs-CZ"/>
        </w:rPr>
        <w:t> 8</w:t>
      </w:r>
      <w:r>
        <w:rPr>
          <w:rFonts w:ascii="Times New Roman" w:hAnsi="Times New Roman" w:cs="Times New Roman"/>
          <w:b/>
          <w:sz w:val="24"/>
          <w:szCs w:val="24"/>
          <w:u w:val="single"/>
          <w:lang w:eastAsia="cs-CZ"/>
        </w:rPr>
        <w:t>,</w:t>
      </w:r>
      <w:r w:rsidRPr="003941D0">
        <w:rPr>
          <w:rFonts w:ascii="Times New Roman" w:hAnsi="Times New Roman" w:cs="Times New Roman"/>
          <w:b/>
          <w:sz w:val="24"/>
          <w:szCs w:val="24"/>
          <w:u w:val="single"/>
          <w:lang w:eastAsia="cs-CZ"/>
        </w:rPr>
        <w:t xml:space="preserve"> </w:t>
      </w:r>
      <w:r>
        <w:rPr>
          <w:rFonts w:ascii="Times New Roman" w:hAnsi="Times New Roman" w:cs="Times New Roman"/>
          <w:b/>
          <w:sz w:val="24"/>
          <w:szCs w:val="24"/>
          <w:u w:val="single"/>
          <w:lang w:eastAsia="cs-CZ"/>
        </w:rPr>
        <w:t>10, 11 a</w:t>
      </w:r>
      <w:r w:rsidRPr="003941D0">
        <w:rPr>
          <w:rFonts w:ascii="Times New Roman" w:hAnsi="Times New Roman" w:cs="Times New Roman"/>
          <w:b/>
          <w:sz w:val="24"/>
          <w:szCs w:val="24"/>
          <w:u w:val="single"/>
          <w:lang w:eastAsia="cs-CZ"/>
        </w:rPr>
        <w:t> 13, § 52zl ods. 9</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Upravuje sa oblasť nepeňažných vkladov a ich dopad na základ dane z príjmov. Individuálne nepeňažné vklady, či už budú vložené daňovníkom s neobmedzenou daňovou povinnosťou do tuzemských spoločností alebo zahraničných spoločností bude možné realizovať už iba v reálnych hodnotách s výnimkou, ktoré je špecifikovaná v § 17d ods. 7. Nepeňažné vklady podniku alebo jeho časti v rámci tuzemských spoločností bude možné na daňové účely realizovať iba v reálnych hodnotách. Možnosť použitia pôvodných hodnôt pri realizácii nepeňažných vkladov sa bude vzťahovať iba na situácie individuálneho nepeňažného vkladu, ktorým je cenný papier alebo obchodný podiel a nepeňažného vkladu podniku alebo jeho časti, ak</w:t>
      </w:r>
    </w:p>
    <w:p w:rsidR="007B2961" w:rsidRPr="003941D0" w:rsidP="007B2961">
      <w:pPr>
        <w:pStyle w:val="ListParagraph"/>
        <w:numPr>
          <w:numId w:val="42"/>
        </w:numPr>
        <w:bidi w:val="0"/>
        <w:ind w:left="426"/>
        <w:jc w:val="both"/>
        <w:rPr>
          <w:rFonts w:ascii="Times New Roman" w:hAnsi="Times New Roman"/>
        </w:rPr>
      </w:pPr>
      <w:r w:rsidRPr="003941D0">
        <w:rPr>
          <w:rFonts w:ascii="Times New Roman" w:hAnsi="Times New Roman"/>
        </w:rPr>
        <w:t>vkladateľom je daňovník so sídlom na území SR, ktorý vkladá majetok, podnik alebo jeho časť a zároveň</w:t>
      </w:r>
    </w:p>
    <w:p w:rsidR="007B2961" w:rsidRPr="003941D0" w:rsidP="007B2961">
      <w:pPr>
        <w:pStyle w:val="ListParagraph"/>
        <w:numPr>
          <w:numId w:val="42"/>
        </w:numPr>
        <w:bidi w:val="0"/>
        <w:ind w:left="426"/>
        <w:jc w:val="both"/>
        <w:rPr>
          <w:rFonts w:ascii="Times New Roman" w:hAnsi="Times New Roman"/>
        </w:rPr>
      </w:pPr>
      <w:r w:rsidRPr="003941D0">
        <w:rPr>
          <w:rFonts w:ascii="Times New Roman" w:hAnsi="Times New Roman"/>
        </w:rPr>
        <w:t>prijímateľom nepeňažného vkladu, ktorým je podnik alebo jeho časť, je daňovník so sídlom v členskom štáte Európskej únie alebo EHP, avšak iba vtedy, ak  majetok, podnik alebo jeho časť, ktoré sú predmetom vkladu zostanú súčasťou stálej prevádzkarne na území SR prijímateľa nepeňažného vkladu a legislatíva členského štátu príjemcu nepeňažného vkladu umožňuje prevzatie nepeňažného vkladu iba v pôvodných cenách alebo dáva daňovníkovi možnosť zvoliť si spôsob ocenenia nepeňažného vkladu v reálnych hodnotách a pôvodných cenách a daňovník si zvolí ocenenie nepeňažného vkladu v pôvodných cenách.</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Ak je predmetom nepeňažného vkladu podnik alebo jeho časť, pričom príjemca nepeňažného vkladu so sídlom v zahraničí nebude na území SR vykonávať činnosť tohto podniku alebo jeho časti prostredníctvom stálej prevádzkarne, t. j. celý podnik alebo jeho časť presunie do zahraničia, vkladateľ bude povinný uplatniť iba postup podľa § 17b, t. j. nepeňažné vklady v reálnych hodnotách.</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Podľa odseku 8, ak vkladateľom nepeňažného vkladu, ktorým je podnik alebo jeho časť, bude daňovník so sídlom v zahraničí, pričom slovenskému prijímateľovi nepeňažného vkladu vznikne mimo územia SR stála prevádzkareň, môže slovenský daňovník pri vyčíslení základu dane stálej prevádzkarne použiť pôvodné hodnoty vkladateľa, avšak len v prípade, že ak štát prijímateľa nepeňažného vkladu umožňuje prevzatie majetku iba v pôvodných cenách, alebo dáva možnosť prevzatia nepeňažného vkladu v reálnych hodnotách alebo v pôvodných cenách a rozhodnutie o výbere ocenenia nadobudnutého nepeňažného vkladu je na prijímateľovi nepeňažného vkladu a ten si zvolí ocenenie v pôvodných cenách.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Dopĺňa sa zároveň nový odsek 10, ktorý ustanovuje, že ak z titulu nepeňažného vkladu podniku alebo jeho časti mimo územia SR zostane vkladateľovi nepeňažného vkladu na území SR stála prevádzkareň (majetok a záväzky zostávajú funkčne spojené so stálou prevádzkarňou na území SR) a následne dôjde k presunu majetku alebo činnosti z tejto stálej prevádzkarne mimo územia SR, na takýto presun sa uplatní zdanenie pri odchode podľa § 17f.</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Zároveň sa dopĺňa nový odsek 13, podľa ktorého pôvodné hodnoty nebudú môcť byť použité, ak hlavným cieľom alebo jedným z hlavných dôvodov realizácie nepeňažného vkladu podniku alebo jeho časti bolo zníženie alebo vyhnutie sa daňovej povinnosti.</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Podľa prechodného ustanovenia sa obmedzenie použitia pôvodných cien pri nepeňažných vkladov realizovaných mimo územia SR použije až na nepeňažné vklady splatené v zdaňovacom období, ktoré začína najskôr 1. januára 2018.</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A57582" w:rsidP="007B2961">
      <w:pPr>
        <w:bidi w:val="0"/>
        <w:spacing w:after="0" w:line="240" w:lineRule="auto"/>
        <w:jc w:val="both"/>
        <w:rPr>
          <w:rFonts w:ascii="Times New Roman" w:hAnsi="Times New Roman" w:cs="Times New Roman"/>
          <w:b/>
          <w:sz w:val="24"/>
          <w:szCs w:val="24"/>
          <w:u w:val="single"/>
          <w:lang w:eastAsia="cs-CZ"/>
        </w:rPr>
      </w:pPr>
    </w:p>
    <w:p w:rsidR="00A57582"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b/>
          <w:sz w:val="24"/>
          <w:szCs w:val="24"/>
          <w:u w:val="single"/>
          <w:lang w:eastAsia="cs-CZ"/>
        </w:rPr>
      </w:pPr>
      <w:r w:rsidRPr="003941D0">
        <w:rPr>
          <w:rFonts w:ascii="Times New Roman" w:hAnsi="Times New Roman" w:cs="Times New Roman"/>
          <w:b/>
          <w:sz w:val="24"/>
          <w:szCs w:val="24"/>
          <w:u w:val="single"/>
          <w:lang w:eastAsia="cs-CZ"/>
        </w:rPr>
        <w:t xml:space="preserve">K bodom </w:t>
      </w:r>
      <w:r>
        <w:rPr>
          <w:rFonts w:ascii="Times New Roman" w:hAnsi="Times New Roman" w:cs="Times New Roman"/>
          <w:b/>
          <w:sz w:val="24"/>
          <w:szCs w:val="24"/>
          <w:u w:val="single"/>
          <w:lang w:eastAsia="cs-CZ"/>
        </w:rPr>
        <w:t>40 až 43 a 131</w:t>
      </w:r>
      <w:r w:rsidRPr="003941D0">
        <w:rPr>
          <w:rFonts w:ascii="Times New Roman" w:hAnsi="Times New Roman" w:cs="Times New Roman"/>
          <w:b/>
          <w:sz w:val="24"/>
          <w:szCs w:val="24"/>
          <w:u w:val="single"/>
          <w:lang w:eastAsia="cs-CZ"/>
        </w:rPr>
        <w:t xml:space="preserve"> - § 17e ods. 8 až 10, 12 a 13 a § 52zl ods. 10</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Upravuje sa oblasť zlúčenia, splynutia alebo rozdelenia obchodných spoločností alebo družstiev, kedy bude možné uplatniť iba daňový režim v reálnych hodnotách a v pôvodných hodnotách iba po splnení podmienok v § 17e ods. 8.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Možnosť použitia pôvodných hodnôt u právneho nástupcu daňovníka zrušeného bez likvidácie sa bude vzťahovať iba na situáciu, ak:</w:t>
      </w:r>
    </w:p>
    <w:p w:rsidR="007B2961" w:rsidRPr="003941D0" w:rsidP="007B2961">
      <w:pPr>
        <w:numPr>
          <w:numId w:val="40"/>
        </w:numPr>
        <w:bidi w:val="0"/>
        <w:spacing w:after="0" w:line="240" w:lineRule="auto"/>
        <w:ind w:left="426"/>
        <w:jc w:val="both"/>
        <w:rPr>
          <w:rFonts w:ascii="Times New Roman" w:hAnsi="Times New Roman" w:cs="Times New Roman"/>
          <w:sz w:val="24"/>
          <w:szCs w:val="24"/>
        </w:rPr>
      </w:pPr>
      <w:r w:rsidRPr="003941D0">
        <w:rPr>
          <w:rFonts w:ascii="Times New Roman" w:hAnsi="Times New Roman" w:cs="Times New Roman"/>
          <w:sz w:val="24"/>
          <w:szCs w:val="24"/>
        </w:rPr>
        <w:t>daňovníkom zrušeným bez likvidácie je daňovník so sídlom na území SR a zároveň</w:t>
      </w:r>
    </w:p>
    <w:p w:rsidR="007B2961" w:rsidRPr="003941D0" w:rsidP="007B2961">
      <w:pPr>
        <w:numPr>
          <w:numId w:val="40"/>
        </w:numPr>
        <w:bidi w:val="0"/>
        <w:spacing w:after="0" w:line="240" w:lineRule="auto"/>
        <w:ind w:left="425" w:hanging="357"/>
        <w:jc w:val="both"/>
        <w:rPr>
          <w:rFonts w:ascii="Times New Roman" w:hAnsi="Times New Roman" w:cs="Times New Roman"/>
          <w:sz w:val="24"/>
          <w:szCs w:val="24"/>
        </w:rPr>
      </w:pPr>
      <w:r w:rsidRPr="003941D0">
        <w:rPr>
          <w:rFonts w:ascii="Times New Roman" w:hAnsi="Times New Roman" w:cs="Times New Roman"/>
          <w:sz w:val="24"/>
          <w:szCs w:val="24"/>
        </w:rPr>
        <w:t>právnym nástupcom je daňovník so sídlom v členskom štáte Európskej únie, avšak iba vtedy, ak majetok a záväzky daňovníka zrušeného bez likvidácie zostanú súčasťou stálej prevádzkarne právneho nástupcu na území SR a legislatíva členského štátu právneho nástupcu umožňuje prevzatie majetku a záväzkov nadobudnutých právnym nástupníctvom iba v pôvodných cenách alebo dáva daňovníkovi možnosť zvoliť si spôsob ocenenia v reálnych hodnotách a pôvodných cenách a daňovník si zvolí ocenenie majetku a záväzkov nadobudnutých právnym nástupníctvom v pôvodných cenách.</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Ak právnym nástupcom je daňovník so sídlom v zahraničí a nie sú splnené podmienky podľa odseku 8, uplatní sa postup podľa § 17c, t.j. reálne hodnoty.</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Podľa odseku 10, ak právny nástupca je daňovník so sídlom na území SR, ktorému z tohto dôvodu vzniká mimo územia SR stála prevádzkareň, môže slovenský daňovník pri vyčíslení základu dane stálej prevádzkarne použiť pôvodné hodnoty daňovníka zrušeného bez likvidácie, v prípade, ak štát v ktorom má daňovník zrušený bez likvidácie sídlo umožňuje prevzatie majetku a záväzkov nadobudnutých právnym nástupníctvom iba v pôvodných cenách alebo dáva daňovníkovi možnosť zvoliť si spôsob ocenenia v reálnych hodnotách a pôvodných cenách a daňovník si zvolí ocenenie majetku a záväzkov nadobudnutých právnym nástupníctvom v pôvodných cenách.</w:t>
      </w:r>
    </w:p>
    <w:p w:rsidR="007B2961" w:rsidRPr="007923D7" w:rsidP="007B2961">
      <w:pPr>
        <w:bidi w:val="0"/>
        <w:spacing w:after="0" w:line="240" w:lineRule="auto"/>
        <w:jc w:val="both"/>
        <w:rPr>
          <w:rFonts w:ascii="Times New Roman" w:hAnsi="Times New Roman" w:cs="Times New Roman"/>
          <w:sz w:val="24"/>
          <w:szCs w:val="24"/>
        </w:rPr>
      </w:pPr>
      <w:r w:rsidRPr="007923D7">
        <w:rPr>
          <w:rFonts w:ascii="Times New Roman" w:hAnsi="Times New Roman" w:cs="Times New Roman"/>
          <w:sz w:val="24"/>
          <w:szCs w:val="24"/>
        </w:rPr>
        <w:t>Dopĺňa sa zároveň nový odsek 12, ktorý ustanovuje, že ak z titulu zlúčenia, splynutia alebo rozdelenia obchodných spoločností alebo družstiev zostane právnemu nástupcovi na území SR stála prevádzkareň a následne dôjde k presunu majetku alebo činnosti z tejto stálej prevádzkarne mimo územia SR, na takýto presun sa uplatní zdanenie pri odchode podľa § 17f.</w:t>
      </w:r>
    </w:p>
    <w:p w:rsidR="007B2961" w:rsidRPr="007923D7" w:rsidP="007B2961">
      <w:pPr>
        <w:bidi w:val="0"/>
        <w:spacing w:after="0" w:line="240" w:lineRule="auto"/>
        <w:jc w:val="both"/>
        <w:rPr>
          <w:rFonts w:ascii="Times New Roman" w:hAnsi="Times New Roman" w:cs="Times New Roman"/>
          <w:sz w:val="24"/>
          <w:szCs w:val="24"/>
        </w:rPr>
      </w:pPr>
      <w:r w:rsidRPr="007923D7">
        <w:rPr>
          <w:rFonts w:ascii="Times New Roman" w:hAnsi="Times New Roman" w:cs="Times New Roman"/>
          <w:sz w:val="24"/>
          <w:szCs w:val="24"/>
        </w:rPr>
        <w:t>Zároveň sa dopĺňa nový odsek 1</w:t>
      </w:r>
      <w:r>
        <w:rPr>
          <w:rFonts w:ascii="Times New Roman" w:hAnsi="Times New Roman" w:cs="Times New Roman"/>
          <w:sz w:val="24"/>
          <w:szCs w:val="24"/>
        </w:rPr>
        <w:t>3</w:t>
      </w:r>
      <w:r w:rsidRPr="007923D7">
        <w:rPr>
          <w:rFonts w:ascii="Times New Roman" w:hAnsi="Times New Roman" w:cs="Times New Roman"/>
          <w:sz w:val="24"/>
          <w:szCs w:val="24"/>
        </w:rPr>
        <w:t>, podľa ktorého pôvodné hodnoty nebudú môcť byť použité, ak hlavným cieľom alebo jedným z hlavných dôvodov zlúčenia, splynutia alebo rozdelenia obchodných spoločností alebo družstiev bolo zníženie alebo vyhnutie sa daňovej povinnosti.</w:t>
      </w:r>
    </w:p>
    <w:p w:rsidR="007B2961" w:rsidP="007B2961">
      <w:pPr>
        <w:bidi w:val="0"/>
        <w:spacing w:after="0" w:line="240" w:lineRule="auto"/>
        <w:jc w:val="both"/>
        <w:rPr>
          <w:rFonts w:ascii="Times New Roman" w:hAnsi="Times New Roman" w:cs="Times New Roman"/>
          <w:sz w:val="24"/>
          <w:szCs w:val="24"/>
        </w:rPr>
      </w:pPr>
      <w:r w:rsidRPr="007923D7">
        <w:rPr>
          <w:rFonts w:ascii="Times New Roman" w:hAnsi="Times New Roman" w:cs="Times New Roman"/>
          <w:sz w:val="24"/>
          <w:szCs w:val="24"/>
        </w:rPr>
        <w:t>Podľa prechodného ustanovenia sa obmedzenie použitia pôvodných cien pri cezhraničných zlúčeniach, splynutiach alebo rozdeleniach obchodných spoločností alebo družstiev použije na situácie, kedy je rozhodný deň stanovený v zdaňovacom období začínajúcom najskôr 1. januára 2018, t.</w:t>
      </w:r>
      <w:r>
        <w:rPr>
          <w:rFonts w:ascii="Times New Roman" w:hAnsi="Times New Roman" w:cs="Times New Roman"/>
          <w:sz w:val="24"/>
          <w:szCs w:val="24"/>
        </w:rPr>
        <w:t xml:space="preserve"> </w:t>
      </w:r>
      <w:r w:rsidRPr="007923D7">
        <w:rPr>
          <w:rFonts w:ascii="Times New Roman" w:hAnsi="Times New Roman" w:cs="Times New Roman"/>
          <w:sz w:val="24"/>
          <w:szCs w:val="24"/>
        </w:rPr>
        <w:t>j. ak bude rozhodný deň stanovený na 1. januára 2018, daňovník zrušený bez likvidácie postupuje už podľa ustanovení platných od 1. januára 2018.</w:t>
      </w:r>
    </w:p>
    <w:p w:rsidR="007B2961" w:rsidP="007B2961">
      <w:pPr>
        <w:bidi w:val="0"/>
        <w:spacing w:after="0" w:line="240" w:lineRule="auto"/>
        <w:jc w:val="both"/>
        <w:rPr>
          <w:rFonts w:ascii="Times New Roman" w:hAnsi="Times New Roman" w:cs="Times New Roman"/>
          <w:sz w:val="24"/>
          <w:szCs w:val="24"/>
        </w:rPr>
      </w:pPr>
    </w:p>
    <w:p w:rsidR="007B2961" w:rsidRPr="007923D7" w:rsidP="007B2961">
      <w:pPr>
        <w:bidi w:val="0"/>
        <w:spacing w:after="0" w:line="240" w:lineRule="auto"/>
        <w:jc w:val="both"/>
        <w:rPr>
          <w:rFonts w:ascii="Times New Roman" w:hAnsi="Times New Roman" w:cs="Times New Roman"/>
          <w:b/>
          <w:sz w:val="24"/>
          <w:szCs w:val="24"/>
          <w:u w:val="single"/>
          <w:lang w:eastAsia="cs-CZ"/>
        </w:rPr>
      </w:pPr>
      <w:r w:rsidRPr="007923D7">
        <w:rPr>
          <w:rFonts w:ascii="Times New Roman" w:hAnsi="Times New Roman" w:cs="Times New Roman"/>
          <w:b/>
          <w:sz w:val="24"/>
          <w:szCs w:val="24"/>
          <w:u w:val="single"/>
          <w:lang w:eastAsia="cs-CZ"/>
        </w:rPr>
        <w:t>K bod</w:t>
      </w:r>
      <w:r>
        <w:rPr>
          <w:rFonts w:ascii="Times New Roman" w:hAnsi="Times New Roman" w:cs="Times New Roman"/>
          <w:b/>
          <w:sz w:val="24"/>
          <w:szCs w:val="24"/>
          <w:u w:val="single"/>
          <w:lang w:eastAsia="cs-CZ"/>
        </w:rPr>
        <w:t>om</w:t>
      </w:r>
      <w:r w:rsidRPr="007923D7">
        <w:rPr>
          <w:rFonts w:ascii="Times New Roman" w:hAnsi="Times New Roman" w:cs="Times New Roman"/>
          <w:b/>
          <w:sz w:val="24"/>
          <w:szCs w:val="24"/>
          <w:u w:val="single"/>
          <w:lang w:eastAsia="cs-CZ"/>
        </w:rPr>
        <w:t xml:space="preserve"> </w:t>
      </w:r>
      <w:r>
        <w:rPr>
          <w:rFonts w:ascii="Times New Roman" w:hAnsi="Times New Roman" w:cs="Times New Roman"/>
          <w:b/>
          <w:sz w:val="24"/>
          <w:szCs w:val="24"/>
          <w:u w:val="single"/>
          <w:lang w:eastAsia="cs-CZ"/>
        </w:rPr>
        <w:t>43  a 103</w:t>
      </w:r>
      <w:r w:rsidRPr="007923D7">
        <w:rPr>
          <w:rFonts w:ascii="Times New Roman" w:hAnsi="Times New Roman" w:cs="Times New Roman"/>
          <w:b/>
          <w:sz w:val="24"/>
          <w:szCs w:val="24"/>
          <w:u w:val="single"/>
          <w:lang w:eastAsia="cs-CZ"/>
        </w:rPr>
        <w:t xml:space="preserve"> - § 17e ods. 14</w:t>
      </w:r>
      <w:r>
        <w:rPr>
          <w:rFonts w:ascii="Times New Roman" w:hAnsi="Times New Roman" w:cs="Times New Roman"/>
          <w:b/>
          <w:sz w:val="24"/>
          <w:szCs w:val="24"/>
          <w:u w:val="single"/>
          <w:lang w:eastAsia="cs-CZ"/>
        </w:rPr>
        <w:t xml:space="preserve"> a § 43 ods. 3 písm. t)</w:t>
      </w:r>
    </w:p>
    <w:p w:rsidR="007B2961" w:rsidRPr="000E2CB8" w:rsidP="007B2961">
      <w:pPr>
        <w:bidi w:val="0"/>
        <w:spacing w:after="0" w:line="240" w:lineRule="auto"/>
        <w:jc w:val="both"/>
        <w:rPr>
          <w:rFonts w:ascii="Times New Roman" w:hAnsi="Times New Roman"/>
          <w:sz w:val="24"/>
          <w:szCs w:val="24"/>
        </w:rPr>
      </w:pPr>
      <w:r>
        <w:rPr>
          <w:rFonts w:ascii="Times New Roman" w:hAnsi="Times New Roman"/>
          <w:sz w:val="24"/>
          <w:szCs w:val="24"/>
        </w:rPr>
        <w:t xml:space="preserve">Navrhovanou úpravou </w:t>
      </w:r>
      <w:r w:rsidRPr="000E2CB8">
        <w:rPr>
          <w:rFonts w:ascii="Times New Roman" w:hAnsi="Times New Roman"/>
          <w:sz w:val="24"/>
          <w:szCs w:val="24"/>
        </w:rPr>
        <w:t xml:space="preserve">sa ustanovuje daňové posúdenie výplaty oceňovacích rozdielov z precenenia pri zlúčení, splynutí alebo rozdelení. Pri výplate oceňovacích rozdielov je právny nástupca povinný sledovať, či vyplatená suma oceňovacích rozdielov je vyššia ako suma oceňovacích rozdielov pripadajúca na príslušné zdaňovacie obdobia vypočítaná, tak že suma oceňovacích rozdielov sa delí počtom rokov majetku s najdlhšou dobou odpisovania, ktorý bol nadobudnutý v rámci zlúčenia, splynutia alebo rozdelenia obchodných spoločností alebo družstiev. Takto vyčíslený podiel sa násobí počtom rokov, počas ktorých bol tento majetok odpisovaný v čase, keď sa oceňovacie rozdiely vyplácajú. Ak vyplatené oceňovacie rozdiely presiahnu takto vypočítanú sumu, suma vo výške rozdielu medzi vyplatenou sumou oceňovacích rozdielov a takto vypočítaným </w:t>
      </w:r>
      <w:r>
        <w:rPr>
          <w:rFonts w:ascii="Times New Roman" w:hAnsi="Times New Roman"/>
          <w:sz w:val="24"/>
          <w:szCs w:val="24"/>
        </w:rPr>
        <w:t>súčinom</w:t>
      </w:r>
      <w:r w:rsidRPr="000E2CB8">
        <w:rPr>
          <w:rFonts w:ascii="Times New Roman" w:hAnsi="Times New Roman"/>
          <w:sz w:val="24"/>
          <w:szCs w:val="24"/>
        </w:rPr>
        <w:t xml:space="preserve"> sa zdaní daňou vyberanou zrážkou podľa § 43.</w:t>
      </w:r>
    </w:p>
    <w:p w:rsidR="007B2961" w:rsidRPr="007923D7" w:rsidP="007B2961">
      <w:pPr>
        <w:bidi w:val="0"/>
        <w:spacing w:after="0" w:line="240" w:lineRule="auto"/>
        <w:jc w:val="both"/>
        <w:rPr>
          <w:rFonts w:ascii="Times New Roman" w:hAnsi="Times New Roman" w:cs="Times New Roman"/>
          <w:b/>
          <w:sz w:val="24"/>
          <w:szCs w:val="24"/>
          <w:u w:val="single"/>
          <w:lang w:eastAsia="cs-CZ"/>
        </w:rPr>
      </w:pPr>
    </w:p>
    <w:p w:rsidR="00A57582" w:rsidP="007B2961">
      <w:pPr>
        <w:bidi w:val="0"/>
        <w:spacing w:after="0" w:line="240" w:lineRule="auto"/>
        <w:jc w:val="both"/>
        <w:rPr>
          <w:rFonts w:ascii="Times New Roman" w:hAnsi="Times New Roman" w:cs="Times New Roman"/>
          <w:b/>
          <w:sz w:val="24"/>
          <w:szCs w:val="24"/>
          <w:u w:val="single"/>
          <w:lang w:eastAsia="cs-CZ"/>
        </w:rPr>
      </w:pPr>
    </w:p>
    <w:p w:rsidR="007B2961" w:rsidRPr="00AC4812" w:rsidP="007B2961">
      <w:pPr>
        <w:bidi w:val="0"/>
        <w:spacing w:after="0" w:line="240" w:lineRule="auto"/>
        <w:jc w:val="both"/>
        <w:rPr>
          <w:rFonts w:ascii="Times New Roman" w:hAnsi="Times New Roman" w:cs="Times New Roman"/>
          <w:b/>
          <w:sz w:val="24"/>
          <w:szCs w:val="24"/>
          <w:u w:val="single"/>
          <w:lang w:eastAsia="cs-CZ"/>
        </w:rPr>
      </w:pPr>
      <w:r w:rsidRPr="00AC4812">
        <w:rPr>
          <w:rFonts w:ascii="Times New Roman" w:hAnsi="Times New Roman" w:cs="Times New Roman"/>
          <w:b/>
          <w:sz w:val="24"/>
          <w:szCs w:val="24"/>
          <w:u w:val="single"/>
          <w:lang w:eastAsia="cs-CZ"/>
        </w:rPr>
        <w:t xml:space="preserve">K bodu </w:t>
      </w:r>
      <w:r>
        <w:rPr>
          <w:rFonts w:ascii="Times New Roman" w:hAnsi="Times New Roman" w:cs="Times New Roman"/>
          <w:b/>
          <w:sz w:val="24"/>
          <w:szCs w:val="24"/>
          <w:u w:val="single"/>
          <w:lang w:eastAsia="cs-CZ"/>
        </w:rPr>
        <w:t>44</w:t>
      </w:r>
      <w:r w:rsidRPr="00AC4812">
        <w:rPr>
          <w:rFonts w:ascii="Times New Roman" w:hAnsi="Times New Roman" w:cs="Times New Roman"/>
          <w:b/>
          <w:sz w:val="24"/>
          <w:szCs w:val="24"/>
          <w:u w:val="single"/>
          <w:lang w:eastAsia="cs-CZ"/>
        </w:rPr>
        <w:t xml:space="preserve"> - § 17</w:t>
      </w:r>
      <w:r>
        <w:rPr>
          <w:rFonts w:ascii="Times New Roman" w:hAnsi="Times New Roman" w:cs="Times New Roman"/>
          <w:b/>
          <w:sz w:val="24"/>
          <w:szCs w:val="24"/>
          <w:u w:val="single"/>
          <w:lang w:eastAsia="cs-CZ"/>
        </w:rPr>
        <w:t>f</w:t>
      </w:r>
      <w:r w:rsidRPr="00AC4812">
        <w:rPr>
          <w:rFonts w:ascii="Times New Roman" w:hAnsi="Times New Roman" w:cs="Times New Roman"/>
          <w:b/>
          <w:sz w:val="24"/>
          <w:szCs w:val="24"/>
          <w:u w:val="single"/>
          <w:lang w:eastAsia="cs-CZ"/>
        </w:rPr>
        <w:t xml:space="preserve"> a</w:t>
      </w:r>
      <w:r>
        <w:rPr>
          <w:rFonts w:ascii="Times New Roman" w:hAnsi="Times New Roman" w:cs="Times New Roman"/>
          <w:b/>
          <w:sz w:val="24"/>
          <w:szCs w:val="24"/>
          <w:u w:val="single"/>
          <w:lang w:eastAsia="cs-CZ"/>
        </w:rPr>
        <w:t>ž</w:t>
      </w:r>
      <w:r w:rsidRPr="00AC4812">
        <w:rPr>
          <w:rFonts w:ascii="Times New Roman" w:hAnsi="Times New Roman" w:cs="Times New Roman"/>
          <w:b/>
          <w:sz w:val="24"/>
          <w:szCs w:val="24"/>
          <w:u w:val="single"/>
          <w:lang w:eastAsia="cs-CZ"/>
        </w:rPr>
        <w:t xml:space="preserve"> § 17</w:t>
      </w:r>
      <w:r>
        <w:rPr>
          <w:rFonts w:ascii="Times New Roman" w:hAnsi="Times New Roman" w:cs="Times New Roman"/>
          <w:b/>
          <w:sz w:val="24"/>
          <w:szCs w:val="24"/>
          <w:u w:val="single"/>
          <w:lang w:eastAsia="cs-CZ"/>
        </w:rPr>
        <w:t>h</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K § 17</w:t>
      </w:r>
      <w:r>
        <w:rPr>
          <w:rFonts w:ascii="Times New Roman" w:hAnsi="Times New Roman" w:cs="Times New Roman"/>
          <w:sz w:val="24"/>
          <w:szCs w:val="24"/>
        </w:rPr>
        <w:t>f</w:t>
      </w:r>
    </w:p>
    <w:p w:rsidR="007B2961" w:rsidRPr="003941D0" w:rsidP="007B2961">
      <w:pPr>
        <w:bidi w:val="0"/>
        <w:spacing w:after="0" w:line="240" w:lineRule="auto"/>
        <w:jc w:val="both"/>
        <w:rPr>
          <w:rFonts w:ascii="Times New Roman" w:hAnsi="Times New Roman"/>
          <w:sz w:val="24"/>
          <w:szCs w:val="24"/>
        </w:rPr>
      </w:pPr>
      <w:r w:rsidRPr="00AC4812">
        <w:rPr>
          <w:rFonts w:ascii="Times New Roman" w:hAnsi="Times New Roman"/>
          <w:sz w:val="24"/>
          <w:szCs w:val="24"/>
        </w:rPr>
        <w:t xml:space="preserve">Cieľom zdanenia pri odchode je zaistiť, aby v prípade, že daňovník presúva majetok alebo mení svoju daňovú rezidenciu mimo územia </w:t>
      </w:r>
      <w:r>
        <w:rPr>
          <w:rFonts w:ascii="Times New Roman" w:hAnsi="Times New Roman"/>
          <w:sz w:val="24"/>
          <w:szCs w:val="24"/>
        </w:rPr>
        <w:t>SR</w:t>
      </w:r>
      <w:r w:rsidRPr="00AC4812">
        <w:rPr>
          <w:rFonts w:ascii="Times New Roman" w:hAnsi="Times New Roman"/>
          <w:sz w:val="24"/>
          <w:szCs w:val="24"/>
        </w:rPr>
        <w:t xml:space="preserve">, zdanil na území </w:t>
      </w:r>
      <w:r>
        <w:rPr>
          <w:rFonts w:ascii="Times New Roman" w:hAnsi="Times New Roman"/>
          <w:sz w:val="24"/>
          <w:szCs w:val="24"/>
        </w:rPr>
        <w:t>SR</w:t>
      </w:r>
      <w:r w:rsidRPr="00AC4812">
        <w:rPr>
          <w:rFonts w:ascii="Times New Roman" w:hAnsi="Times New Roman"/>
          <w:sz w:val="24"/>
          <w:szCs w:val="24"/>
        </w:rPr>
        <w:t xml:space="preserve"> ekonomickú hodnotu všetkých </w:t>
      </w:r>
      <w:r w:rsidRPr="003941D0">
        <w:rPr>
          <w:rFonts w:ascii="Times New Roman" w:hAnsi="Times New Roman"/>
          <w:sz w:val="24"/>
          <w:szCs w:val="24"/>
        </w:rPr>
        <w:t>kapitálových ziskov vytvorených na našom území, hoci tento zisk ešte nebol v čase odchodu realizovaný. Nejde o situácie podnikových kombinácií, kedy napr. pri predaji podniku alebo jeho časti dochádza k skutočnej realizácii ziskov, t.j. daňovník získava príjem z predaja  podniku alebo jeho časti a zároveň dochádza k zmene vlastníckeho práva k majetku z titulu predaja podniku alebo jeho časti. Rovnako v prípade nepeňažného vkladu, napr. vkladu podniku alebo jeho časti dochádza síce k prevodu majetku a</w:t>
      </w:r>
      <w:r>
        <w:rPr>
          <w:rFonts w:ascii="Times New Roman" w:hAnsi="Times New Roman"/>
          <w:sz w:val="24"/>
          <w:szCs w:val="24"/>
        </w:rPr>
        <w:t> </w:t>
      </w:r>
      <w:r w:rsidRPr="003941D0">
        <w:rPr>
          <w:rFonts w:ascii="Times New Roman" w:hAnsi="Times New Roman"/>
          <w:sz w:val="24"/>
          <w:szCs w:val="24"/>
        </w:rPr>
        <w:t>záväzkov</w:t>
      </w:r>
      <w:r>
        <w:rPr>
          <w:rFonts w:ascii="Times New Roman" w:hAnsi="Times New Roman"/>
          <w:sz w:val="24"/>
          <w:szCs w:val="24"/>
        </w:rPr>
        <w:t>,</w:t>
      </w:r>
      <w:r w:rsidRPr="003941D0">
        <w:rPr>
          <w:rFonts w:ascii="Times New Roman" w:hAnsi="Times New Roman"/>
          <w:sz w:val="24"/>
          <w:szCs w:val="24"/>
        </w:rPr>
        <w:t xml:space="preserve"> avšak vkladateľ nepeňažného vkladu získava ako protihodnotu účasť na spoločnosti (prijímateľovi nepeňažného vkladu), t.j. dochádza tu k zmene právneho vlastníctva k majetku a vkladateľ nepeňažného vkladu získava nový majetok, ktorý u neho bude predmetom dane a SR nestráca právo zdaňovať tento majetok. Ak by však u kupujúceho alebo u prijímateľa nepeňažného vkladu došlo k presunu majetku mimo územia SR, môže tento presun podliehať zdaneniu pri odchode.</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Zdanenie pri odchode bude vyčíslené v osobitnom základe dane  sadzb</w:t>
      </w:r>
      <w:r>
        <w:rPr>
          <w:rFonts w:ascii="Times New Roman" w:hAnsi="Times New Roman"/>
          <w:sz w:val="24"/>
          <w:szCs w:val="24"/>
        </w:rPr>
        <w:t>ou</w:t>
      </w:r>
      <w:r w:rsidRPr="003941D0">
        <w:rPr>
          <w:rFonts w:ascii="Times New Roman" w:hAnsi="Times New Roman"/>
          <w:sz w:val="24"/>
          <w:szCs w:val="24"/>
        </w:rPr>
        <w:t xml:space="preserve"> dane 21 %. Predmetom zdanenia bude majetok presunutý mimo územia SR, kedy nedochádza k jeho skutočnému predaju, t. j. nenastáva zmena právneho vlastníka tohto majetku, avšak presunom SR stráca právo zdaňovať tento majetok. Majetkom sa rozumejú všetky aktíva podľa zákona č. 431/2002 Z. z. o účtovníctve v znení neskorších predpisov, ktoré sa vykazujú v účtovnej závierke v súvahe. Za majetok sa považuje aj nehmotný majetok v kontexte transferového oceňovania podľa Smernice OECD o transferovom oceňovaní pre nadnárodné spoločnosti a správu daní.</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Presunom majetku sa rozumie skutočné premiestnenie majetku do stálej prevádzkarne v</w:t>
      </w:r>
      <w:r>
        <w:rPr>
          <w:rFonts w:ascii="Times New Roman" w:hAnsi="Times New Roman"/>
          <w:sz w:val="24"/>
          <w:szCs w:val="24"/>
        </w:rPr>
        <w:t> </w:t>
      </w:r>
      <w:r w:rsidRPr="003941D0">
        <w:rPr>
          <w:rFonts w:ascii="Times New Roman" w:hAnsi="Times New Roman"/>
          <w:sz w:val="24"/>
          <w:szCs w:val="24"/>
        </w:rPr>
        <w:t>zahraničí</w:t>
      </w:r>
      <w:r>
        <w:rPr>
          <w:rFonts w:ascii="Times New Roman" w:hAnsi="Times New Roman"/>
          <w:sz w:val="24"/>
          <w:szCs w:val="24"/>
        </w:rPr>
        <w:t>,</w:t>
      </w:r>
      <w:r w:rsidRPr="003941D0">
        <w:rPr>
          <w:rFonts w:ascii="Times New Roman" w:hAnsi="Times New Roman"/>
          <w:sz w:val="24"/>
          <w:szCs w:val="24"/>
        </w:rPr>
        <w:t xml:space="preserve"> resp. priradenie majetku k stálej prevádzkarni v zahraničí a v dôsledku tohto presunu stráca SR právo zdaniť presunutý majetok, aj keď majetok stále zostáva vo vlastníctve toho istého daňovníka. Presunom majetku sa rozumie aj presun majetku do stálej prevádzkarne v zahraničí, kedy SR nestráca právo zdaniť presunutý majetok (presun majetku do stálej prevádzkarne v zahraničí pri uplatnení metódy zápočtu) avšak príjem plynúci z tohto majetku presunom nebude zdanený v rovnakej miere, v akej by bol zdanený, keby k presunu do zahraničia nedošlo.</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Presunom podnikateľskej činnosti vykonávanej stálou prevádzkarňou sa rozumie operácia, kedy daňovník už nebude príjmy stálej prevádzkarne zdaňovať na území SR, ale v inom ČŠ alebo tretej krajine bez toho, aby sa daňovník aj stal rezidentom tohto iného ČŠ alebo tretej krajiny.</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Presunom daňovej rezidencie sa rozumie situácia, kedy daňovník, ktorý je daňovníkom s neobmedzenou daňovou povinnosťou na území SR (t.j. má tu sídlo alebo miesto skutočného vedenia)</w:t>
      </w:r>
      <w:r>
        <w:rPr>
          <w:rFonts w:ascii="Times New Roman" w:hAnsi="Times New Roman"/>
          <w:sz w:val="24"/>
          <w:szCs w:val="24"/>
        </w:rPr>
        <w:t>,</w:t>
      </w:r>
      <w:r w:rsidRPr="003941D0">
        <w:rPr>
          <w:rFonts w:ascii="Times New Roman" w:hAnsi="Times New Roman"/>
          <w:sz w:val="24"/>
          <w:szCs w:val="24"/>
        </w:rPr>
        <w:t xml:space="preserve"> už nebude zdaňovať celosvetové príjmy na území SR.</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Deň presunu môže byť rôzny, pretože môže vychádzať zo skutočností, ktoré nastali resp. v určitých prípadoch z rozhodnutia daňovníka. Za deň presunu majetku a záväzkov sa považuje deň presunu majetku, funkcií a rizík, deň kedy sa daňovník rozhodne priradiť majetok stálej prevádzkarni alebo deň, kedy dochádza k fyzickému presunu majetku mimo územia SR. Zdanenie pri odchode sa vyčísli vo výške rozdielu medzi reálnou (trhovou) hodnotou presunutého majetku a jeho daňovou hodnotou, t.j. uplatní sa fikcia predaja takéhoto majetku. Ide o situácie, kedy dochádza:</w:t>
      </w:r>
    </w:p>
    <w:p w:rsidR="007B2961" w:rsidRPr="003941D0" w:rsidP="007B2961">
      <w:pPr>
        <w:numPr>
          <w:numId w:val="29"/>
        </w:numPr>
        <w:bidi w:val="0"/>
        <w:spacing w:after="0" w:line="240" w:lineRule="auto"/>
        <w:ind w:left="426"/>
        <w:jc w:val="both"/>
        <w:rPr>
          <w:rFonts w:ascii="Times New Roman" w:hAnsi="Times New Roman"/>
          <w:sz w:val="24"/>
          <w:szCs w:val="24"/>
        </w:rPr>
      </w:pPr>
      <w:r w:rsidRPr="003941D0">
        <w:rPr>
          <w:rFonts w:ascii="Times New Roman" w:hAnsi="Times New Roman"/>
          <w:sz w:val="24"/>
          <w:szCs w:val="24"/>
        </w:rPr>
        <w:t>k presunu majetku z ústredia na území SR do stálej prevádzkarne v</w:t>
      </w:r>
      <w:r>
        <w:rPr>
          <w:rFonts w:ascii="Times New Roman" w:hAnsi="Times New Roman"/>
          <w:sz w:val="24"/>
          <w:szCs w:val="24"/>
        </w:rPr>
        <w:t> </w:t>
      </w:r>
      <w:r w:rsidRPr="003941D0">
        <w:rPr>
          <w:rFonts w:ascii="Times New Roman" w:hAnsi="Times New Roman"/>
          <w:sz w:val="24"/>
          <w:szCs w:val="24"/>
        </w:rPr>
        <w:t>zahraničí</w:t>
      </w:r>
      <w:r>
        <w:rPr>
          <w:rFonts w:ascii="Times New Roman" w:hAnsi="Times New Roman"/>
          <w:sz w:val="24"/>
          <w:szCs w:val="24"/>
        </w:rPr>
        <w:t>,</w:t>
      </w:r>
      <w:r w:rsidRPr="003941D0">
        <w:rPr>
          <w:rFonts w:ascii="Times New Roman" w:hAnsi="Times New Roman"/>
          <w:sz w:val="24"/>
          <w:szCs w:val="24"/>
        </w:rPr>
        <w:t xml:space="preserve"> a to aj pri uplatnení metódy zápočtu,</w:t>
      </w:r>
    </w:p>
    <w:p w:rsidR="007B2961" w:rsidRPr="003941D0" w:rsidP="007B2961">
      <w:pPr>
        <w:numPr>
          <w:numId w:val="29"/>
        </w:numPr>
        <w:bidi w:val="0"/>
        <w:spacing w:after="0" w:line="240" w:lineRule="auto"/>
        <w:ind w:left="426"/>
        <w:jc w:val="both"/>
        <w:rPr>
          <w:rFonts w:ascii="Times New Roman" w:hAnsi="Times New Roman"/>
          <w:sz w:val="24"/>
          <w:szCs w:val="24"/>
        </w:rPr>
      </w:pPr>
      <w:r w:rsidRPr="003941D0">
        <w:rPr>
          <w:rFonts w:ascii="Times New Roman" w:hAnsi="Times New Roman"/>
          <w:sz w:val="24"/>
          <w:szCs w:val="24"/>
        </w:rPr>
        <w:t>k presunu majetku stálej prevádzkarne nachádzajúcej sa na území SR do ústredia alebo inej stálej prevádzkarne v inom štáte.</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 xml:space="preserve">Daňovník zahrnie do osobitného základu dane rozdiel medzi reálnou hodnotou majetku a daňovými výdavkami, ktoré by si uplatnil, ak by prišlo ku skutočnému predaju majetku. </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Pri metóde zápočtu má síce SR stále právo zdaňovať majetok presunutý do stálej prevádzkarne, avšak uplatnením metódy zápočtu nie je majetok efektívne zdanený na území SR z hodnoty vytvorenej na našom území.</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 xml:space="preserve">Podľa odseku 2 sa zdanenie pri odchode uplatní aj v prípade, ak </w:t>
      </w:r>
    </w:p>
    <w:p w:rsidR="007B2961" w:rsidRPr="003941D0" w:rsidP="007B2961">
      <w:pPr>
        <w:numPr>
          <w:numId w:val="33"/>
        </w:numPr>
        <w:bidi w:val="0"/>
        <w:spacing w:after="0" w:line="240" w:lineRule="auto"/>
        <w:ind w:left="426"/>
        <w:jc w:val="both"/>
        <w:rPr>
          <w:rFonts w:ascii="Times New Roman" w:hAnsi="Times New Roman"/>
          <w:sz w:val="24"/>
          <w:szCs w:val="24"/>
        </w:rPr>
      </w:pPr>
      <w:r w:rsidRPr="003941D0">
        <w:rPr>
          <w:rFonts w:ascii="Times New Roman" w:hAnsi="Times New Roman"/>
          <w:sz w:val="24"/>
          <w:szCs w:val="24"/>
        </w:rPr>
        <w:t>dochádza k zmene daňovej rezidencie daňovníka z územia SR mimo územia SR alebo</w:t>
      </w:r>
    </w:p>
    <w:p w:rsidR="007B2961" w:rsidRPr="003941D0" w:rsidP="007B2961">
      <w:pPr>
        <w:numPr>
          <w:numId w:val="33"/>
        </w:numPr>
        <w:bidi w:val="0"/>
        <w:spacing w:after="0" w:line="240" w:lineRule="auto"/>
        <w:ind w:left="426"/>
        <w:jc w:val="both"/>
        <w:rPr>
          <w:rFonts w:ascii="Times New Roman" w:hAnsi="Times New Roman"/>
          <w:sz w:val="24"/>
          <w:szCs w:val="24"/>
        </w:rPr>
      </w:pPr>
      <w:r w:rsidRPr="003941D0">
        <w:rPr>
          <w:rFonts w:ascii="Times New Roman" w:hAnsi="Times New Roman"/>
          <w:sz w:val="24"/>
          <w:szCs w:val="24"/>
        </w:rPr>
        <w:t>daňovník presúva činnosť alebo jej časť vykonávanú na území SR prostredníctvom stálej prevádzkarne do iného štátu, ale</w:t>
      </w:r>
      <w:r>
        <w:rPr>
          <w:rFonts w:ascii="Times New Roman" w:hAnsi="Times New Roman"/>
          <w:sz w:val="24"/>
          <w:szCs w:val="24"/>
        </w:rPr>
        <w:t>bo</w:t>
      </w:r>
      <w:r w:rsidRPr="003941D0">
        <w:rPr>
          <w:rFonts w:ascii="Times New Roman" w:hAnsi="Times New Roman"/>
          <w:sz w:val="24"/>
          <w:szCs w:val="24"/>
        </w:rPr>
        <w:t xml:space="preserve"> ak daňovník s neobmedzenou daňovou povinnosťou presúva podnikateľskú činnosť alebo jej časť do stálej prevádzkarne v zahraničí.</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Pri presune daňovej rezidencie alebo pri presune činnosti vykonávanej stálou prevádzkarňou na území SR do iného štátu však dochádza aj k presunu záväzkov, preto sa rovnako uplatní fikcia predaja, pričom daňovník pri vyčíslení zdanenia pri odchode postupuje primerane ako pri predaji podniku alebo jeho časti podľa § 17a. V prípade presunu podnikateľskej činnosti z ústredia na území SR do stálej prevádzkarne v zahraničí sa rovnako uplatní fikcia predaja a uplatní sa postup podľa § 17a, pričom pri vyčíslení základu dane stálej prevádzkarne sa uplatní aj postup podľa § 17 ods. 13 písm. a), t.j. aj výdavky, ktoré sú daňovým výdavkom až po zaplatení</w:t>
      </w:r>
      <w:r>
        <w:rPr>
          <w:rFonts w:ascii="Times New Roman" w:hAnsi="Times New Roman"/>
          <w:sz w:val="24"/>
          <w:szCs w:val="24"/>
        </w:rPr>
        <w:t>,</w:t>
      </w:r>
      <w:r w:rsidRPr="003941D0">
        <w:rPr>
          <w:rFonts w:ascii="Times New Roman" w:hAnsi="Times New Roman"/>
          <w:sz w:val="24"/>
          <w:szCs w:val="24"/>
        </w:rPr>
        <w:t xml:space="preserve"> budú daňovým výdavkom ako v prípade predaja podniku alebo jeho časti, t.j. u kupujúceho v reálnej hodnote. U daňovníka účtujúceho v sústave podvojného účtovníctva a vykazujúceho výsledok hospodárenia podľa IFRS sa bude pri zdanení postupovať tak, že reálna hodnota prevádzaného majetku a záväzkov bude súčasťou zdaniteľných príjmov (rovnako ako pri predaji podniku je predajná cena súčasťou výnosov) ako aj hodnota všetkých záväzkov (v prípade predaja podniku sa záväzky zaúčtujú do výnosov). Od tejto sumy sa odpočíta suma všetkého majetku (pri predaji podniku sa aktíva zaúčtujú do nákladov). Takto vyčíslená suma (zisk alebo strata) sa následne upravuje o položky podľa § 17a ods. 3 a 4. U daňovníka zisťujúceho základ dane podľa § 17 ods. 1 písm. a) sa uplatní postup primerane podľa § 17a ods. 1 a 2. Rovnako sa odporúča postupovať u daňovníka, ktorý zisťuje základ dane podľa § 17 ods. 1 písm. d), t.j. tento daňovník bude pri uplatňovaní zdanenia pri odchode uplatňovať postup primerane podľa § 17a ods. 1 a 2 obdobne ako daňovník účtujúci v sústave jednoduchého účtovníctva. Zdanenie pri odchode sa však uplatňuje iba na ten majetok a záväzky, ktoré nie sú funkčne spojené so stálou prevádzkarňou umiestnenou na území SR. Majetok a záväzky sú funkčne spojené so stálou prevádzkarňou na území SR, ak sa podieľajú na tvorbe ziskov priraditeľných stálej prevádzkarni.</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Podľa odseku 3 sa ustanovuje, že celková suma na zdanenie pri odchode podľa odsekov 1 a 2 nesmie dosiahnuť zápornú hodnotu, t. j. z</w:t>
      </w:r>
      <w:r>
        <w:rPr>
          <w:rFonts w:ascii="Times New Roman" w:hAnsi="Times New Roman"/>
          <w:sz w:val="24"/>
          <w:szCs w:val="24"/>
        </w:rPr>
        <w:t xml:space="preserve"> celkového</w:t>
      </w:r>
      <w:r w:rsidRPr="003941D0">
        <w:rPr>
          <w:rFonts w:ascii="Times New Roman" w:hAnsi="Times New Roman"/>
          <w:sz w:val="24"/>
          <w:szCs w:val="24"/>
        </w:rPr>
        <w:t xml:space="preserve"> zdanenia pri odchode nemôže byť vykázaná daňová strata.</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Podľa odseku 4 sa za presun majetku nepovažuje dočasný presun majetku spojený s financovaním cenných papierov, majetku poskytnutého ako kolaterál (zábezpeka), presun majetku s cieľom splniť prudenciálne kapitálové požiadavky, presun majetku na účely riadenia likvidity, ktorý bol presunutý z územia SR a súčasne sa očakáva jeho návrat do 12 mesiacov od presunu. Ak takýto majetok nebude presunutý na územie SR do 12 mesiacov odo dňa presunu, daňovník je povinný podať dodatočné daňové priznanie za zdaňovacie obdobie, v ktorom došlo k presunu tohto obchodného majetku a zaplatiť daň pri odchode.</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Podľa odseku 5 sa zdanenie pri odchode vypočíta ako osobitný základ dane v podanom daňovom priznaní. Táto forma zdanenia je potrebná v nadväznosti na osobitosti platenia dane zodpovedajúcej zdaneniu pri odchode.</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Podľa odsekov 6 a 7 - pri presune majetku z ústredia v SR do stálej prevádzkarne v inom štáte je tento majetok stále súčasťou súvahy účtovnej jednotky. Pri vyčíslení základu dane stálej prevádzkarne (či už sa uplatňuje metóda zápočtu alebo metóda vyňatia) sa bude vychádzať z reálnej hodnoty majetku. Ustanovenie upravuje aj spôsob odpisovania tohto majetku. Rovnako pri následnom predaji</w:t>
      </w:r>
      <w:r>
        <w:rPr>
          <w:rFonts w:ascii="Times New Roman" w:hAnsi="Times New Roman"/>
          <w:sz w:val="24"/>
          <w:szCs w:val="24"/>
        </w:rPr>
        <w:t>,</w:t>
      </w:r>
      <w:r w:rsidRPr="003941D0">
        <w:rPr>
          <w:rFonts w:ascii="Times New Roman" w:hAnsi="Times New Roman"/>
          <w:sz w:val="24"/>
          <w:szCs w:val="24"/>
        </w:rPr>
        <w:t xml:space="preserve"> resp. vyradení majetku (zásob a pod.) sa pri uplatnení daňových výdavkov vychádza z reálnej hodnoty, ktorou bol majetok ocenený na účely zdanenia pri odchode. Pri následnom odpise alebo postúpení pohľadávok sa pri uplatnení daňových výdavkov postupuje primerane podľa § 17a ods. 7, t. j. vychádza sa z reálnej hodnoty pohľadávok, pričom výška výdavku v % sa viaže na lehotu uplynutú odo dňa presunu pohľadávky. </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Podľa odsekov 8 a 9 – ak bude majetok presunutý na územie SR</w:t>
      </w:r>
      <w:r>
        <w:rPr>
          <w:rFonts w:ascii="Times New Roman" w:hAnsi="Times New Roman"/>
          <w:sz w:val="24"/>
          <w:szCs w:val="24"/>
        </w:rPr>
        <w:t>,</w:t>
      </w:r>
      <w:r w:rsidRPr="003941D0">
        <w:rPr>
          <w:rFonts w:ascii="Times New Roman" w:hAnsi="Times New Roman"/>
          <w:sz w:val="24"/>
          <w:szCs w:val="24"/>
        </w:rPr>
        <w:t xml:space="preserve"> resp. spoločnosť (vrátane európskej spoločnosti alebo európskeho družstva) presunie svoje sídlo alebo miesto skutočného vedenia na územie SR, čím sa stane daňovníkom s neobmedzenou daňovou povinnosťou na území SR, zákon upravuje, akým spôsobom sa majetok a záväzky ocenia. Ak bol majetok a záväzky ocenený v štáte prevodcu (odchodu) reálnou hodnotou na účely zdanenia pri odchode, mala by SR akceptovať jeho reálnu hodnotu, ktorú uplatnil štát prevodcu za vstupnú daňovú hodnotu, z ktorej sa bude vychádzať pri uplatňovaní daňových výdavkov. Ak táto hodnota nezodpovedá reálnej hodnote majetku, uplatní sa ocenenie reálnou hodnotou podľa § 27 ods. 2 a 3 zákona o účtovníctve. Prípadné spory týkajúce sa neakceptovania reálnej hodnoty stanovenej v štáte odchodu budú riešené napr. prostredníctvom procedúry vzájomných dohôd (MAP). Ak štát prevodcu neuplatňuje zdanenie pri odchode, bude sa za vstupnú cenu majetku považovať daňová (zostatková) hodnota majetku, ktorou bol majetok ocenený v štáte prevodcu najviac však do výšky ocenenia reálnou hodnotou podľa § 27 ods. 2 a 3 zákona o účtovníctve. Odpisovaný majetok sa bude odpisovať ako novoobstaraný majetok</w:t>
      </w:r>
      <w:r>
        <w:rPr>
          <w:rFonts w:ascii="Times New Roman" w:hAnsi="Times New Roman"/>
          <w:sz w:val="24"/>
          <w:szCs w:val="24"/>
        </w:rPr>
        <w:t>.</w:t>
      </w:r>
      <w:r w:rsidRPr="003941D0">
        <w:rPr>
          <w:rFonts w:ascii="Times New Roman" w:hAnsi="Times New Roman"/>
          <w:sz w:val="24"/>
          <w:szCs w:val="24"/>
        </w:rPr>
        <w:t xml:space="preserve"> V prípade majetku a záväzkov, ktoré napr. pri presune daňovej rezidencie na územie SR zostávajú funkčne spojené so stálou prevádzkarňou v</w:t>
      </w:r>
      <w:r>
        <w:rPr>
          <w:rFonts w:ascii="Times New Roman" w:hAnsi="Times New Roman"/>
          <w:sz w:val="24"/>
          <w:szCs w:val="24"/>
        </w:rPr>
        <w:t> </w:t>
      </w:r>
      <w:r w:rsidRPr="003941D0">
        <w:rPr>
          <w:rFonts w:ascii="Times New Roman" w:hAnsi="Times New Roman"/>
          <w:sz w:val="24"/>
          <w:szCs w:val="24"/>
        </w:rPr>
        <w:t>zahraničí</w:t>
      </w:r>
      <w:r>
        <w:rPr>
          <w:rFonts w:ascii="Times New Roman" w:hAnsi="Times New Roman"/>
          <w:sz w:val="24"/>
          <w:szCs w:val="24"/>
        </w:rPr>
        <w:t>,</w:t>
      </w:r>
      <w:r w:rsidRPr="003941D0">
        <w:rPr>
          <w:rFonts w:ascii="Times New Roman" w:hAnsi="Times New Roman"/>
          <w:sz w:val="24"/>
          <w:szCs w:val="24"/>
        </w:rPr>
        <w:t xml:space="preserve"> sa tieto ocenia hodnotou na daňové účely a </w:t>
      </w:r>
      <w:r w:rsidRPr="00566371">
        <w:rPr>
          <w:rFonts w:ascii="Times New Roman" w:hAnsi="Times New Roman"/>
          <w:sz w:val="24"/>
          <w:szCs w:val="24"/>
        </w:rPr>
        <w:t>bude</w:t>
      </w:r>
      <w:r>
        <w:rPr>
          <w:rFonts w:ascii="Times New Roman" w:hAnsi="Times New Roman"/>
          <w:color w:val="FF0000"/>
          <w:sz w:val="24"/>
          <w:szCs w:val="24"/>
        </w:rPr>
        <w:t xml:space="preserve"> </w:t>
      </w:r>
      <w:r w:rsidRPr="003941D0">
        <w:rPr>
          <w:rFonts w:ascii="Times New Roman" w:hAnsi="Times New Roman"/>
          <w:sz w:val="24"/>
          <w:szCs w:val="24"/>
        </w:rPr>
        <w:t>ho odpisovať ako novoobstaraný majetok. Keďže smernica ATAD je záväzná pre všetky ČŠ EÚ, ocenenie pri presune v rámci ČŠ EÚ by nemalo byť problematické. Vo vzťahu k tretím krajinám, bude daňovník musieť preukázať, že majetok bol pri presune zo zahraničia ocenený reálnou hodnotou a táto hodnota bola aj v krajine odchodu zdanená (uplatnila sa fikcia predaja). Ak daňovník nebude uvedené vedieť preukázať, uplatní postup podľa § 17f ods. 8 písm. b).</w:t>
      </w:r>
    </w:p>
    <w:p w:rsidR="007B2961" w:rsidRPr="003941D0" w:rsidP="007B2961">
      <w:pPr>
        <w:bidi w:val="0"/>
        <w:spacing w:after="0" w:line="240" w:lineRule="auto"/>
        <w:jc w:val="both"/>
        <w:rPr>
          <w:rFonts w:ascii="Times New Roman" w:hAnsi="Times New Roman"/>
          <w:sz w:val="24"/>
          <w:szCs w:val="24"/>
        </w:rPr>
      </w:pPr>
      <w:r w:rsidRPr="003941D0">
        <w:rPr>
          <w:rFonts w:ascii="Times New Roman" w:hAnsi="Times New Roman"/>
          <w:sz w:val="24"/>
          <w:szCs w:val="24"/>
        </w:rPr>
        <w:t>Odsek 10 zároveň upravuje uplatnenie výdavkov pri následnom predaji</w:t>
      </w:r>
      <w:r>
        <w:rPr>
          <w:rFonts w:ascii="Times New Roman" w:hAnsi="Times New Roman"/>
          <w:sz w:val="24"/>
          <w:szCs w:val="24"/>
        </w:rPr>
        <w:t>,</w:t>
      </w:r>
      <w:r w:rsidRPr="003941D0">
        <w:rPr>
          <w:rFonts w:ascii="Times New Roman" w:hAnsi="Times New Roman"/>
          <w:sz w:val="24"/>
          <w:szCs w:val="24"/>
        </w:rPr>
        <w:t xml:space="preserve"> resp. inom vyradení majetku, ktorý bol presunutý na územie SR. Pri uplatňovaní daňových výdavkov sa bude vychádzať z ocenenia, ktorým boli majetok resp. záväzky ocenené pri presune na územie SR.</w:t>
      </w:r>
    </w:p>
    <w:p w:rsidR="007B2961" w:rsidRPr="003941D0" w:rsidP="007B2961">
      <w:pPr>
        <w:bidi w:val="0"/>
        <w:spacing w:after="0" w:line="240" w:lineRule="auto"/>
        <w:jc w:val="both"/>
        <w:rPr>
          <w:rFonts w:ascii="Times New Roman" w:hAnsi="Times New Roman" w:cs="Times New Roman"/>
          <w:b/>
          <w:sz w:val="24"/>
          <w:szCs w:val="24"/>
          <w:u w:val="single"/>
          <w:lang w:eastAsia="cs-CZ"/>
        </w:rPr>
      </w:pPr>
    </w:p>
    <w:p w:rsidR="007B2961" w:rsidRPr="003941D0" w:rsidP="007B2961">
      <w:pPr>
        <w:bidi w:val="0"/>
        <w:spacing w:after="0" w:line="240" w:lineRule="auto"/>
        <w:jc w:val="both"/>
        <w:rPr>
          <w:rFonts w:ascii="Times New Roman" w:hAnsi="Times New Roman" w:cs="Times New Roman"/>
          <w:sz w:val="24"/>
          <w:szCs w:val="24"/>
          <w:lang w:eastAsia="cs-CZ"/>
        </w:rPr>
      </w:pPr>
      <w:r w:rsidRPr="003941D0">
        <w:rPr>
          <w:rFonts w:ascii="Times New Roman" w:hAnsi="Times New Roman" w:cs="Times New Roman"/>
          <w:sz w:val="24"/>
          <w:szCs w:val="24"/>
          <w:lang w:eastAsia="cs-CZ"/>
        </w:rPr>
        <w:t>K § 17g</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Ustanovenia obsahujú osobitnú úpravu platenia dane pri zdanení pri odchode v nadväznosti na smernicu ATAD. Vzhľadom k tomu, že ide o daň z nerealizovaných ziskov, smernica umožňuje uhradiť daň v splátkach počas 5-tich rokov, avšak len v prípade, ak sa majetok presúva do štátu, kde je možné reálne zabezpečiť vymáhanie pohľadávok, t. j. ak sa majetok, daňová rezidencia alebo podnikateľská činnosť presúvajú do členského štátu Európskej únie, alebo do štátu, ktorý je zmluvnou stranou dohody o Európskom hospodárskom priestore, ak so SR alebo Európskou Úniou tento štát uzavrel dohodu o vzájomnej pomoci pri vymáhaní daňových pohľadávok, ktorá je rovnocenná vzájomnej pomoci ustanovenej v smernici Rady 2010/24/EÚ. V ostatných prípadoch je daňová povinnosť zodpovedajúca zdaneniu pri odchode splatná v lehote na podanie daňového priznania.</w:t>
      </w:r>
    </w:p>
    <w:p w:rsidR="007B2961" w:rsidRPr="00AC4812"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Postup pri umožnení platby daňovej povinnosti zodpovedajúcej zdaneniu pri odchode v splátkach je primeraný</w:t>
      </w:r>
      <w:r>
        <w:rPr>
          <w:rFonts w:ascii="Times New Roman" w:hAnsi="Times New Roman" w:cs="Times New Roman"/>
          <w:sz w:val="24"/>
          <w:szCs w:val="24"/>
        </w:rPr>
        <w:t xml:space="preserve"> postupu, ktorým sa postupuje</w:t>
      </w:r>
      <w:r w:rsidRPr="003941D0">
        <w:rPr>
          <w:rFonts w:ascii="Times New Roman" w:hAnsi="Times New Roman" w:cs="Times New Roman"/>
          <w:sz w:val="24"/>
          <w:szCs w:val="24"/>
        </w:rPr>
        <w:t xml:space="preserve"> v prípade daňovníka, ktorý žiada o úhradu dane v splátkach, t. j. daňovník podá správcovi dane žiadosť, v ktorej požaduje úhradu dane v splátkach, pričom o možnosť platenia dane v splátkach žiada v podanom daňovom priznaní. V uvedenom prípade nepredkladá žiadnu analýzu o svojej finančnej a ekonomickej situácii. Daň zodpovedajúcu zdaneniu pri odchode je možné uhradiť počas 5 rokov počnúc rokom, v ktorom bola daň vyrubená. Správca dane vydá rozhodnutie o povolení platenia dane v splátkach, pričom výšku </w:t>
      </w:r>
      <w:r w:rsidRPr="00AC4812">
        <w:rPr>
          <w:rFonts w:ascii="Times New Roman" w:hAnsi="Times New Roman" w:cs="Times New Roman"/>
          <w:sz w:val="24"/>
          <w:szCs w:val="24"/>
        </w:rPr>
        <w:t>splátok</w:t>
      </w:r>
      <w:r>
        <w:rPr>
          <w:rFonts w:ascii="Times New Roman" w:hAnsi="Times New Roman" w:cs="Times New Roman"/>
          <w:sz w:val="24"/>
          <w:szCs w:val="24"/>
        </w:rPr>
        <w:t>,</w:t>
      </w:r>
      <w:r w:rsidRPr="00AC4812">
        <w:rPr>
          <w:rFonts w:ascii="Times New Roman" w:hAnsi="Times New Roman" w:cs="Times New Roman"/>
          <w:sz w:val="24"/>
          <w:szCs w:val="24"/>
        </w:rPr>
        <w:t xml:space="preserve"> ako aj dátum splatnosti splátok určí v tomto rozhodnutí; splátkový kalendár však nemôže byť určený na kratšiu dobu ako je 5 rokov. Proti plateniu dane v splátkach nie je možné podať odvolanie. Lehotu určenú v rozhodnutí o povolení platenia dane v splátkach nemožno predĺžiť ani odpustiť jej zmeškanie. Správca dane zároveň môže požadovať od daňovníka aj zabezpečenie dane napr. záložným právom</w:t>
      </w:r>
      <w:r>
        <w:rPr>
          <w:rFonts w:ascii="Times New Roman" w:hAnsi="Times New Roman" w:cs="Times New Roman"/>
          <w:sz w:val="24"/>
          <w:szCs w:val="24"/>
        </w:rPr>
        <w:t>,</w:t>
      </w:r>
      <w:r w:rsidRPr="00AC4812">
        <w:rPr>
          <w:rFonts w:ascii="Times New Roman" w:hAnsi="Times New Roman" w:cs="Times New Roman"/>
          <w:sz w:val="24"/>
          <w:szCs w:val="24"/>
        </w:rPr>
        <w:t xml:space="preserve"> avšak iba v prípade preukázateľného a skutočného rizika. Zabezpečenie sa nevyžaduje, ak suma dane</w:t>
      </w:r>
      <w:r>
        <w:rPr>
          <w:rFonts w:ascii="Times New Roman" w:hAnsi="Times New Roman" w:cs="Times New Roman"/>
          <w:sz w:val="24"/>
          <w:szCs w:val="24"/>
        </w:rPr>
        <w:t xml:space="preserve"> súvisiaca so zdanením pri odchode</w:t>
      </w:r>
      <w:r w:rsidRPr="00AC4812">
        <w:rPr>
          <w:rFonts w:ascii="Times New Roman" w:hAnsi="Times New Roman" w:cs="Times New Roman"/>
          <w:sz w:val="24"/>
          <w:szCs w:val="24"/>
        </w:rPr>
        <w:t xml:space="preserve"> nepresiahne sumu 3 000,- €. </w:t>
      </w:r>
      <w:r>
        <w:rPr>
          <w:rFonts w:ascii="Times New Roman" w:hAnsi="Times New Roman" w:cs="Times New Roman"/>
          <w:sz w:val="24"/>
          <w:szCs w:val="24"/>
        </w:rPr>
        <w:t>Za dobu</w:t>
      </w:r>
      <w:r w:rsidRPr="00AC4812">
        <w:rPr>
          <w:rFonts w:ascii="Times New Roman" w:hAnsi="Times New Roman" w:cs="Times New Roman"/>
          <w:sz w:val="24"/>
          <w:szCs w:val="24"/>
        </w:rPr>
        <w:t xml:space="preserve"> platenia dane v splátkach zaplatí daňovník aj úrok zo sumy povolenej splátky podľa § 57 ods. 5 Daňového poriadku. Ak daňovník opakovane neuhradí sumu dane v lehote a vo výške určenej správcom dane v rozhodnutí o povolení platenia dane v splátkach, zostávajúca suma dane sa stáva splatnou dňom pôvodnej splatnosti splátky a správca dane vyrubí daňovníkovi úrok z omeškania podľa § 156 Daňového poriadku. Zároveň je správca dane povinný začať daňové exekučné konanie.</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Podľa odseku 8, ak však dôjde k následnému predaju majetku alebo jeho inému prevodu (realizovaný zisk z majetku)</w:t>
      </w:r>
      <w:r>
        <w:rPr>
          <w:rFonts w:ascii="Times New Roman" w:hAnsi="Times New Roman" w:cs="Times New Roman"/>
          <w:sz w:val="24"/>
          <w:szCs w:val="24"/>
        </w:rPr>
        <w:t>,</w:t>
      </w:r>
      <w:r w:rsidRPr="00AC4812">
        <w:rPr>
          <w:rFonts w:ascii="Times New Roman" w:hAnsi="Times New Roman" w:cs="Times New Roman"/>
          <w:sz w:val="24"/>
          <w:szCs w:val="24"/>
        </w:rPr>
        <w:t xml:space="preserve"> resp. sa majetok, daňová rezidencia ale</w:t>
      </w:r>
      <w:r>
        <w:rPr>
          <w:rFonts w:ascii="Times New Roman" w:hAnsi="Times New Roman" w:cs="Times New Roman"/>
          <w:sz w:val="24"/>
          <w:szCs w:val="24"/>
        </w:rPr>
        <w:t>bo</w:t>
      </w:r>
      <w:r w:rsidRPr="00AC4812">
        <w:rPr>
          <w:rFonts w:ascii="Times New Roman" w:hAnsi="Times New Roman" w:cs="Times New Roman"/>
          <w:sz w:val="24"/>
          <w:szCs w:val="24"/>
        </w:rPr>
        <w:t xml:space="preserve"> podnikateľská činnosť vykonávaná stálou prevádzkarňou následne presunie do iného štátu, kde nie je možnosť vymáhania daňových pohľadávok, zostávajúca neuhradená daňová povinnosť zodpovedajúca zdaneniu pri odchode je splatná do konca mesiaca nasledujúceho po mesiaci, v ktorom došlo k týmto skutočnostiam. Rovnako sa postupuje v prípade, ak je na daňovníka vyhlásený konkurz, alebo sa daňovník zrušuje bez likvidácie</w:t>
      </w:r>
      <w:r>
        <w:rPr>
          <w:rFonts w:ascii="Times New Roman" w:hAnsi="Times New Roman" w:cs="Times New Roman"/>
          <w:sz w:val="24"/>
          <w:szCs w:val="24"/>
        </w:rPr>
        <w:t>,</w:t>
      </w:r>
      <w:r w:rsidRPr="00AC4812">
        <w:rPr>
          <w:rFonts w:ascii="Times New Roman" w:hAnsi="Times New Roman" w:cs="Times New Roman"/>
          <w:sz w:val="24"/>
          <w:szCs w:val="24"/>
        </w:rPr>
        <w:t xml:space="preserve"> resp. ak daňovník opakovane neuhradí včas alebo v správnej výške splátku určenú v splátkovom kalendári.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Daňovník je zároveň povinný oznámiť správcovi dane presun majetku, daňovej rezidencie alebo činnosti, ktorý má za následok ukončenie zvýhodneného režimu platenia dane v splátkach do konca kalendárneho mesiaca nasledujúceho po kalendárnom mesiaci, v ktorom došlo k tejto skutočnosti.</w:t>
      </w:r>
    </w:p>
    <w:p w:rsidR="007B2961" w:rsidRPr="00AC4812" w:rsidP="007B2961">
      <w:pPr>
        <w:bidi w:val="0"/>
        <w:spacing w:after="0" w:line="240" w:lineRule="auto"/>
        <w:jc w:val="both"/>
        <w:rPr>
          <w:rFonts w:ascii="Times New Roman" w:hAnsi="Times New Roman" w:cs="Times New Roman"/>
          <w:noProof/>
          <w:sz w:val="24"/>
          <w:szCs w:val="24"/>
        </w:rPr>
      </w:pPr>
    </w:p>
    <w:p w:rsidR="007B2961" w:rsidP="007B2961">
      <w:pPr>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17h</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Hlavným cieľom tohto pravidla je zabrániť narúšaniu základu dane na území SR a presunu ziskov mimo územia SR. Pravidlá pre kontrolované zahraničné spoločnosti majú za následok priradenie príjmov nízko zdaňovanej kontrolovanej dcérskej spoločnosti jej materskej spoločnosti. Ide o príjmy, ktoré boli umelo odklonené na dcérsku spoločnosť. Pravidlo sa zároveň uplatňuje aj na príjmy stálych prevádzkarní, ktoré by na území SR neboli predmetom dane, alebo by boli od dane oslobodené.</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V odsekoch 1 a 3 sa vymedzuje, ktor</w:t>
      </w:r>
      <w:r>
        <w:rPr>
          <w:rFonts w:ascii="Times New Roman" w:hAnsi="Times New Roman" w:cs="Times New Roman"/>
          <w:sz w:val="24"/>
          <w:szCs w:val="24"/>
          <w:lang w:eastAsia="cs-CZ"/>
        </w:rPr>
        <w:t>á právnická osoba,</w:t>
      </w:r>
      <w:r w:rsidRPr="00AC4812">
        <w:rPr>
          <w:rFonts w:ascii="Times New Roman" w:hAnsi="Times New Roman" w:cs="Times New Roman"/>
          <w:sz w:val="24"/>
          <w:szCs w:val="24"/>
          <w:lang w:eastAsia="cs-CZ"/>
        </w:rPr>
        <w:t xml:space="preserve"> subjekt alebo stála prevádzkareň sa považujú za kontrolovanú zahraničnú spoločnosť. Zákon ustanovuje 2 základné podmienky, ktoré musia byť splnené súčasne.</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Prvou podmienkou, ktorá sa však nevzťahuje na stálu prevádzkareň je, že ide o spoločnosť (subjekt), v ktorej má daňovník s neobmedzenou daňovou povinnosťou na území SR majetkovú účasť viac ako 50 % alebo podiel na hlasovacích právach viac ako 50 % alebo podiel na zisku viac ako 50 %.</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noProof/>
          <w:sz w:val="24"/>
          <w:szCs w:val="24"/>
        </w:rPr>
        <w:t xml:space="preserve">Druhou podmienkou je, že platená daň z príjmov právnickej osoby kontrolovanej zahraničnej spoločnosti nie je nižšia ako rozdiel medzi daňou z príjmov právnickej osoby, ktorú by táto kontrolovaná zahraničná spoločnosť zaplatila na území SR po prepočte jej základu dane podľa slovenského </w:t>
      </w:r>
      <w:r w:rsidRPr="00AC4812">
        <w:rPr>
          <w:rFonts w:ascii="Times New Roman" w:hAnsi="Times New Roman" w:cs="Times New Roman"/>
          <w:sz w:val="24"/>
          <w:szCs w:val="24"/>
          <w:lang w:eastAsia="cs-CZ"/>
        </w:rPr>
        <w:t>zákona a daňou, ktor</w:t>
      </w:r>
      <w:r>
        <w:rPr>
          <w:rFonts w:ascii="Times New Roman" w:hAnsi="Times New Roman" w:cs="Times New Roman"/>
          <w:sz w:val="24"/>
          <w:szCs w:val="24"/>
          <w:lang w:eastAsia="cs-CZ"/>
        </w:rPr>
        <w:t>ú</w:t>
      </w:r>
      <w:r w:rsidRPr="00AC4812">
        <w:rPr>
          <w:rFonts w:ascii="Times New Roman" w:hAnsi="Times New Roman" w:cs="Times New Roman"/>
          <w:sz w:val="24"/>
          <w:szCs w:val="24"/>
          <w:lang w:eastAsia="cs-CZ"/>
        </w:rPr>
        <w:t xml:space="preserve"> spoločnosť zaplatila v zahraničí. Ak sú splnené obidve podmienky, považuje sa spoločnosť (subjekt) za kontrolovanú zahraničnú spoločnosť a daňovník je povinný vykonať úpravy základu dane podľa § 17</w:t>
      </w:r>
      <w:r>
        <w:rPr>
          <w:rFonts w:ascii="Times New Roman" w:hAnsi="Times New Roman" w:cs="Times New Roman"/>
          <w:sz w:val="24"/>
          <w:szCs w:val="24"/>
          <w:lang w:eastAsia="cs-CZ"/>
        </w:rPr>
        <w:t>h</w:t>
      </w:r>
      <w:r w:rsidRPr="00AC4812">
        <w:rPr>
          <w:rFonts w:ascii="Times New Roman" w:hAnsi="Times New Roman" w:cs="Times New Roman"/>
          <w:sz w:val="24"/>
          <w:szCs w:val="24"/>
          <w:lang w:eastAsia="cs-CZ"/>
        </w:rPr>
        <w:t>. V prípade stálej prevádzkarne je potrebné splniť iba druhú podmienku.</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 xml:space="preserve">Príklad – </w:t>
      </w:r>
      <w:r>
        <w:rPr>
          <w:rFonts w:ascii="Times New Roman" w:hAnsi="Times New Roman" w:cs="Times New Roman"/>
          <w:sz w:val="24"/>
          <w:szCs w:val="24"/>
          <w:lang w:eastAsia="cs-CZ"/>
        </w:rPr>
        <w:t>Dcérska s</w:t>
      </w:r>
      <w:r w:rsidRPr="00AC4812">
        <w:rPr>
          <w:rFonts w:ascii="Times New Roman" w:hAnsi="Times New Roman" w:cs="Times New Roman"/>
          <w:sz w:val="24"/>
          <w:szCs w:val="24"/>
          <w:lang w:eastAsia="cs-CZ"/>
        </w:rPr>
        <w:t>poločnosť v treťom štáte vykáže základ dane 100, sadzba dane je 20 %, daň 20. Základ dane spoločnosti prepočítaný podľa zákona</w:t>
      </w:r>
      <w:r>
        <w:rPr>
          <w:rFonts w:ascii="Times New Roman" w:hAnsi="Times New Roman" w:cs="Times New Roman"/>
          <w:sz w:val="24"/>
          <w:szCs w:val="24"/>
          <w:lang w:eastAsia="cs-CZ"/>
        </w:rPr>
        <w:t xml:space="preserve"> o dani z príjmov</w:t>
      </w:r>
      <w:r w:rsidRPr="00AC4812">
        <w:rPr>
          <w:rFonts w:ascii="Times New Roman" w:hAnsi="Times New Roman" w:cs="Times New Roman"/>
          <w:sz w:val="24"/>
          <w:szCs w:val="24"/>
          <w:lang w:eastAsia="cs-CZ"/>
        </w:rPr>
        <w:t xml:space="preserve"> je 1 000, sadzba dane je 21 %, daň 210. Rozdiel medzi daňou z príjmov, ktorú by spoločnosť zaplatila na území SR a daňou platenou v zahraničí je 190 (210 – 20). Daň, ktorú by spoločnosť platila v zahraničí (20) je nižšia ako vypočítaný rozdiel (190), preto spoločnosť je aj po splnení  prvej podmienky považovaná za kontrolovanú zahraničnú spoločnosť slovenskej spoločnosti.</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V odseku 2 sa špecifikuje, že daňovník pri posúdení splnenia druhej podmienky berie do úvahy pri prepočte základu dane kontrolovanej zahraničnej spoločnosti v zahraničí všetky jej príjmy s výnimkou príjmov jej stálych prevádzkarní, ktoré sú v štáte, v ktorom sa kontrolovaná zahraničná spoločnosť nachádza, od dane oslobodené alebo nie sú predmetom dane.</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 xml:space="preserve">V odseku 4 sa definuje, že predmetom pravidla je príjem stálej prevádzkarne alebo spoločnosti, ktorý však spoločnosť získala využitím opatrenia alebo súboru opatrení, ktoré nie sú skutočné a ktoré sa zaviedli s cieľom dosiahnuť daňovú výhodu. </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V odseku 5 sa špecifikuje, čo sa považuje za opatrenie alebo súbor opatrení, ktoré nie sú skutočné.</w:t>
      </w:r>
    </w:p>
    <w:p w:rsidR="007B2961" w:rsidRPr="00AC4812" w:rsidP="007B2961">
      <w:pPr>
        <w:bidi w:val="0"/>
        <w:spacing w:after="0" w:line="240" w:lineRule="auto"/>
        <w:jc w:val="both"/>
        <w:rPr>
          <w:rFonts w:ascii="Times New Roman" w:hAnsi="Times New Roman" w:cs="Times New Roman"/>
          <w:sz w:val="24"/>
          <w:szCs w:val="24"/>
          <w:lang w:eastAsia="cs-CZ"/>
        </w:rPr>
      </w:pPr>
      <w:r w:rsidRPr="00AC4812">
        <w:rPr>
          <w:rFonts w:ascii="Times New Roman" w:hAnsi="Times New Roman" w:cs="Times New Roman"/>
          <w:sz w:val="24"/>
          <w:szCs w:val="24"/>
          <w:lang w:eastAsia="cs-CZ"/>
        </w:rPr>
        <w:t>V odseku 6 sa definuje spôsob výpočtu základu dane kontrolovanej zahraničnej spoločnosti, ktorý bude pripočítaný k základu dane daňovníka. Súčasťou základu dane daňovníka sú preto príjmy kontrolovanej zahraničnej spoločnosti v takom rozsahu, v akom je k tomuto príjmu (výnosu) priraditeľný majetok a riziká, ktoré súvisia s vykonávaním významných funkcií daňovníka. Výška priradeného príjmu sa vypočíta v súlade s princípom nezávislého vzťahu.</w:t>
      </w:r>
    </w:p>
    <w:p w:rsidR="007B2961" w:rsidRPr="00AC4812" w:rsidP="007B2961">
      <w:pPr>
        <w:bidi w:val="0"/>
        <w:spacing w:after="0" w:line="240" w:lineRule="auto"/>
        <w:jc w:val="both"/>
        <w:rPr>
          <w:rFonts w:ascii="Times New Roman" w:hAnsi="Times New Roman" w:cs="Times New Roman"/>
          <w:noProof/>
          <w:sz w:val="24"/>
          <w:szCs w:val="24"/>
        </w:rPr>
      </w:pPr>
      <w:r w:rsidRPr="00AC4812">
        <w:rPr>
          <w:rFonts w:ascii="Times New Roman" w:hAnsi="Times New Roman" w:cs="Times New Roman"/>
          <w:noProof/>
          <w:sz w:val="24"/>
          <w:szCs w:val="24"/>
        </w:rPr>
        <w:t>V odseku 7 sa ustanovuje, kedy sa základ dane kontrolovanej zahraničnej spoločnosti zahrnie do základu dane daňovníka (ak nemajú rovnaké zdaňovacie obdobia). Základ dane kontrolovanej zahraničnej spoločnosti bude súčasťou základu dane daňovníka v tom zdaňovacom období, v ktorom bude končiť zdaňovacie obdobie kontrolovanej zahraničnej spoločnosti (napr. zdaňovacie obdobie daňovníka je od 1.1.2019 - 31.12.2019, zdaňovacie obdobie kontrolovanej zahraničnej spoločnosti je od 1.7.2018 – 30.6.2019, t. j. základ dane kontrolovanej zahraničnej spoločnosti sa zahrnie do základu dane daňovníka v zdaňovacom období od 1.1.2019-31.12.2019).</w:t>
      </w:r>
    </w:p>
    <w:p w:rsidR="007B2961" w:rsidRPr="00AC4812" w:rsidP="007B2961">
      <w:pPr>
        <w:bidi w:val="0"/>
        <w:spacing w:after="0" w:line="240" w:lineRule="auto"/>
        <w:jc w:val="both"/>
        <w:rPr>
          <w:rFonts w:ascii="Times New Roman" w:hAnsi="Times New Roman" w:cs="Times New Roman"/>
          <w:noProof/>
          <w:sz w:val="24"/>
          <w:szCs w:val="24"/>
        </w:rPr>
      </w:pPr>
      <w:r w:rsidRPr="00AC4812">
        <w:rPr>
          <w:rFonts w:ascii="Times New Roman" w:hAnsi="Times New Roman" w:cs="Times New Roman"/>
          <w:noProof/>
          <w:sz w:val="24"/>
          <w:szCs w:val="24"/>
        </w:rPr>
        <w:t>V odseku 8 sa zamedzuje dvojitému zdaneniu. Ak súčasťou základu dane daňovníka bude aj príjem kontrolovanej zahraničnej spoločnosti, umožní sa daňovníkovi zápočet dane zaplatenej touto zahraničnou kontrolovanou spoločnosoťu v zahraničí, avšak daňovník si bude môcť pri zápočte dane započítať iba časť dane vo výške zodpovedajúcej rozsahu, v akom boli zahrnuté príjmy kontrolovanej zahraničnej spoločnosti do príjmov jej materskej spoločnosti. Zároveň zákon umožňuje odpočet iba v rozsahu podľa § 45 zákona,  t. j. najviac vo výške percentuálneho podielu príjmov zo zdrojov v zahraničí k celkovému základu dane v zdaňovacom období.</w:t>
      </w:r>
    </w:p>
    <w:p w:rsidR="007B2961" w:rsidRPr="00AC4812" w:rsidP="007B2961">
      <w:pPr>
        <w:bidi w:val="0"/>
        <w:spacing w:after="0" w:line="240" w:lineRule="auto"/>
        <w:jc w:val="both"/>
        <w:rPr>
          <w:rFonts w:ascii="Times New Roman" w:hAnsi="Times New Roman" w:cs="Times New Roman"/>
          <w:noProof/>
          <w:sz w:val="24"/>
          <w:szCs w:val="24"/>
        </w:rPr>
      </w:pPr>
      <w:r w:rsidRPr="00AC4812">
        <w:rPr>
          <w:rFonts w:ascii="Times New Roman" w:hAnsi="Times New Roman" w:cs="Times New Roman"/>
          <w:noProof/>
          <w:sz w:val="24"/>
          <w:szCs w:val="24"/>
        </w:rPr>
        <w:t>V odseku 9 sa rieši situácia, kedy kontrolovaná zahraničná spoločnosť vypláca daňovníkovi už distribuovaný príjem - podiely na zisku (dividendy), resp. iné príjmy a tieto príjmy sú predmetom dane podľa zákona. Aby sa zamedzilo dvojitému zdaneniu, keďže daňovník zdaňoval príjmy kontrolovanej zahraničnej spoločnosti, umožňuje sa daňovníkovi v zdaňovacom období, v ktorom mu budú vyplatené podiely na zisku (dividendy) odpočítať si od základu dane (nie osobitného základu dane z podielu na zisku) sumu, ktorá už bola zdanená ako príjem kontrolovanej zah</w:t>
      </w:r>
      <w:r>
        <w:rPr>
          <w:rFonts w:ascii="Times New Roman" w:hAnsi="Times New Roman" w:cs="Times New Roman"/>
          <w:noProof/>
          <w:sz w:val="24"/>
          <w:szCs w:val="24"/>
        </w:rPr>
        <w:t>r</w:t>
      </w:r>
      <w:r w:rsidRPr="00AC4812">
        <w:rPr>
          <w:rFonts w:ascii="Times New Roman" w:hAnsi="Times New Roman" w:cs="Times New Roman"/>
          <w:noProof/>
          <w:sz w:val="24"/>
          <w:szCs w:val="24"/>
        </w:rPr>
        <w:t>aničnej spoločnosti podľa § 17</w:t>
      </w:r>
      <w:r>
        <w:rPr>
          <w:rFonts w:ascii="Times New Roman" w:hAnsi="Times New Roman" w:cs="Times New Roman"/>
          <w:noProof/>
          <w:sz w:val="24"/>
          <w:szCs w:val="24"/>
        </w:rPr>
        <w:t>h</w:t>
      </w:r>
      <w:r w:rsidRPr="00AC4812">
        <w:rPr>
          <w:rFonts w:ascii="Times New Roman" w:hAnsi="Times New Roman" w:cs="Times New Roman"/>
          <w:noProof/>
          <w:sz w:val="24"/>
          <w:szCs w:val="24"/>
        </w:rPr>
        <w:t xml:space="preserve"> ods. 6. Od základu dane je možné odpočítať iba tú časť príjmu (základu dane) kontrolovanej zahraničnej spoločnosti, ktorá  podiely na zisku (dividendy) vypláca. Z tohto dôvodu bude potrebné, aby si daňovník viedol evidenciu príjmov (základov dane) podľa jednotlivých kontrolovaných zahraničných spoločností, pričom základ dane si môže znížiť iba do výšky dosiahnutého príjmu (výnosu) z podielov na zisku (dividend) – strata nie je daňovo akceptovaná. </w:t>
      </w:r>
    </w:p>
    <w:p w:rsidR="007B2961" w:rsidP="007B2961">
      <w:pPr>
        <w:bidi w:val="0"/>
        <w:spacing w:after="0" w:line="240" w:lineRule="auto"/>
        <w:jc w:val="both"/>
        <w:rPr>
          <w:rFonts w:ascii="Times New Roman" w:hAnsi="Times New Roman" w:cs="Times New Roman"/>
          <w:noProof/>
          <w:sz w:val="24"/>
          <w:szCs w:val="24"/>
        </w:rPr>
      </w:pPr>
      <w:r w:rsidRPr="00AC4812">
        <w:rPr>
          <w:rFonts w:ascii="Times New Roman" w:hAnsi="Times New Roman" w:cs="Times New Roman"/>
          <w:noProof/>
          <w:sz w:val="24"/>
          <w:szCs w:val="24"/>
        </w:rPr>
        <w:t>V odsekoch 10 a 11 sa rieši situácia, kedy daňovník predáva účasť na kontrolovanej zahraničnej spoločnosti (predáva akcie resp. obchodný podiel) alebo prevádza (predáva) podnikateľskú činnosť vykonávanú stálou prevádzkarňou. Ak je takýto príjem predmetom dane podľa zákona (nie je od dane oslobodený), je možné k tomuto príjmu uplatniť daňové výdavky podľa § 19 a zároveň je ešte možné odpočítať aj také príjmy (základy dane), ktoré sa vzťahujú k tejto kontrolovanej zahraničnej spoločnosti, na ktorej účasť (podiel) sa predáva alebo z ktorej sa prevádza podnikateľská činnosť, ktoré boli zahrnuté do základu dane podľa odseku 6, prípadne znížené o sumy už odpočítané podľa odseku 9. Výsledkom v tomto prípade môže byť aj strata, ktorá je daňovo akceptovaná.</w:t>
      </w:r>
    </w:p>
    <w:p w:rsidR="007B2961" w:rsidP="007B2961">
      <w:pPr>
        <w:bidi w:val="0"/>
        <w:spacing w:after="0" w:line="240" w:lineRule="auto"/>
        <w:jc w:val="both"/>
        <w:rPr>
          <w:rFonts w:ascii="Times New Roman" w:hAnsi="Times New Roman" w:cs="Times New Roman"/>
          <w:noProof/>
          <w:sz w:val="24"/>
          <w:szCs w:val="24"/>
        </w:rPr>
      </w:pPr>
    </w:p>
    <w:p w:rsidR="007B2961" w:rsidRPr="00685BF0" w:rsidP="007B2961">
      <w:pPr>
        <w:bidi w:val="0"/>
        <w:spacing w:after="0" w:line="240" w:lineRule="auto"/>
        <w:rPr>
          <w:rFonts w:ascii="Times New Roman" w:hAnsi="Times New Roman"/>
          <w:b/>
          <w:sz w:val="24"/>
          <w:szCs w:val="24"/>
          <w:u w:val="single"/>
        </w:rPr>
      </w:pPr>
      <w:r w:rsidRPr="00685BF0">
        <w:rPr>
          <w:rFonts w:ascii="Times New Roman" w:hAnsi="Times New Roman"/>
          <w:b/>
          <w:sz w:val="24"/>
          <w:szCs w:val="24"/>
          <w:u w:val="single"/>
        </w:rPr>
        <w:t xml:space="preserve">K bodu </w:t>
      </w:r>
      <w:r>
        <w:rPr>
          <w:rFonts w:ascii="Times New Roman" w:hAnsi="Times New Roman"/>
          <w:b/>
          <w:sz w:val="24"/>
          <w:szCs w:val="24"/>
          <w:u w:val="single"/>
        </w:rPr>
        <w:t>45</w:t>
      </w:r>
      <w:r w:rsidRPr="00685BF0">
        <w:rPr>
          <w:rFonts w:ascii="Times New Roman" w:hAnsi="Times New Roman"/>
          <w:b/>
          <w:sz w:val="24"/>
          <w:szCs w:val="24"/>
          <w:u w:val="single"/>
        </w:rPr>
        <w:t xml:space="preserve"> -  § 18 ods. 6 písm. a) a d)  </w:t>
      </w:r>
    </w:p>
    <w:p w:rsidR="007B2961" w:rsidP="007B2961">
      <w:pPr>
        <w:bidi w:val="0"/>
        <w:spacing w:after="0" w:line="240" w:lineRule="auto"/>
        <w:jc w:val="both"/>
        <w:rPr>
          <w:rFonts w:ascii="Times New Roman" w:hAnsi="Times New Roman"/>
          <w:sz w:val="24"/>
          <w:szCs w:val="24"/>
        </w:rPr>
      </w:pPr>
      <w:r>
        <w:rPr>
          <w:rFonts w:ascii="Times New Roman" w:hAnsi="Times New Roman"/>
          <w:sz w:val="24"/>
          <w:szCs w:val="24"/>
        </w:rPr>
        <w:t>Ide o zosúladenie jednotného a množného čísla v uvedenom ustanovení. Podľa nového návrhu sa uvádza už len jednotné číslo pre posudzovanú kontrolovanú transakciu. Ide o legislatívno-technickú zmenu.</w:t>
      </w:r>
    </w:p>
    <w:p w:rsidR="007B2961" w:rsidP="007B2961">
      <w:pPr>
        <w:bidi w:val="0"/>
        <w:spacing w:after="0" w:line="240" w:lineRule="auto"/>
        <w:jc w:val="both"/>
        <w:rPr>
          <w:rFonts w:ascii="Times New Roman" w:hAnsi="Times New Roman"/>
          <w:sz w:val="24"/>
          <w:szCs w:val="24"/>
        </w:rPr>
      </w:pPr>
    </w:p>
    <w:p w:rsidR="007B2961" w:rsidP="007B2961">
      <w:pPr>
        <w:bidi w:val="0"/>
        <w:spacing w:after="0" w:line="240" w:lineRule="auto"/>
        <w:rPr>
          <w:rFonts w:ascii="Times New Roman" w:hAnsi="Times New Roman"/>
          <w:b/>
          <w:sz w:val="24"/>
          <w:szCs w:val="24"/>
          <w:u w:val="single"/>
        </w:rPr>
      </w:pPr>
      <w:r w:rsidRPr="00507365">
        <w:rPr>
          <w:rFonts w:ascii="Times New Roman" w:hAnsi="Times New Roman"/>
          <w:b/>
          <w:sz w:val="24"/>
          <w:szCs w:val="24"/>
          <w:u w:val="single"/>
        </w:rPr>
        <w:t>K bodu 46 - § 18 ods. 11</w:t>
      </w:r>
    </w:p>
    <w:p w:rsidR="007B2961" w:rsidRPr="00507365" w:rsidP="007B2961">
      <w:pPr>
        <w:bidi w:val="0"/>
        <w:spacing w:after="0" w:line="240" w:lineRule="auto"/>
        <w:rPr>
          <w:rFonts w:ascii="Times New Roman" w:hAnsi="Times New Roman"/>
          <w:sz w:val="24"/>
          <w:szCs w:val="24"/>
        </w:rPr>
      </w:pPr>
      <w:r w:rsidRPr="00507365">
        <w:rPr>
          <w:rFonts w:ascii="Times New Roman" w:hAnsi="Times New Roman"/>
          <w:sz w:val="24"/>
          <w:szCs w:val="24"/>
        </w:rPr>
        <w:t>Ide o legislatívno-technickú úpravu súvisiacu s presunom zadefinovania legislatívnej skratky „finančné riaditeľstvo“ v § 13a.</w:t>
      </w:r>
    </w:p>
    <w:p w:rsidR="007B2961" w:rsidP="007B2961">
      <w:pPr>
        <w:bidi w:val="0"/>
        <w:spacing w:after="0" w:line="240" w:lineRule="auto"/>
        <w:jc w:val="both"/>
        <w:rPr>
          <w:rFonts w:ascii="Times New Roman" w:hAnsi="Times New Roman" w:cs="Times New Roman"/>
          <w:b/>
          <w:noProof/>
          <w:sz w:val="24"/>
          <w:szCs w:val="24"/>
          <w:u w:val="single"/>
        </w:rPr>
      </w:pPr>
    </w:p>
    <w:p w:rsidR="007B2961" w:rsidRPr="00641824" w:rsidP="007B2961">
      <w:pPr>
        <w:bidi w:val="0"/>
        <w:spacing w:after="0" w:line="240" w:lineRule="auto"/>
        <w:jc w:val="both"/>
        <w:rPr>
          <w:rFonts w:ascii="Times New Roman" w:hAnsi="Times New Roman" w:cs="Times New Roman"/>
          <w:b/>
          <w:noProof/>
          <w:sz w:val="24"/>
          <w:szCs w:val="24"/>
          <w:u w:val="single"/>
        </w:rPr>
      </w:pPr>
      <w:r w:rsidRPr="00641824">
        <w:rPr>
          <w:rFonts w:ascii="Times New Roman" w:hAnsi="Times New Roman" w:cs="Times New Roman"/>
          <w:b/>
          <w:noProof/>
          <w:sz w:val="24"/>
          <w:szCs w:val="24"/>
          <w:u w:val="single"/>
        </w:rPr>
        <w:t>K bodu 4</w:t>
      </w:r>
      <w:r>
        <w:rPr>
          <w:rFonts w:ascii="Times New Roman" w:hAnsi="Times New Roman" w:cs="Times New Roman"/>
          <w:b/>
          <w:noProof/>
          <w:sz w:val="24"/>
          <w:szCs w:val="24"/>
          <w:u w:val="single"/>
        </w:rPr>
        <w:t>9</w:t>
      </w:r>
      <w:r w:rsidRPr="00641824">
        <w:rPr>
          <w:rFonts w:ascii="Times New Roman" w:hAnsi="Times New Roman" w:cs="Times New Roman"/>
          <w:b/>
          <w:noProof/>
          <w:sz w:val="24"/>
          <w:szCs w:val="24"/>
          <w:u w:val="single"/>
        </w:rPr>
        <w:t xml:space="preserve"> - § 19 ods. 2 písm. h)</w:t>
      </w:r>
      <w:r>
        <w:rPr>
          <w:rFonts w:ascii="Times New Roman" w:hAnsi="Times New Roman" w:cs="Times New Roman"/>
          <w:b/>
          <w:noProof/>
          <w:sz w:val="24"/>
          <w:szCs w:val="24"/>
          <w:u w:val="single"/>
        </w:rPr>
        <w:t xml:space="preserve"> bod 4 a 5</w:t>
      </w:r>
      <w:r w:rsidRPr="00641824">
        <w:rPr>
          <w:rFonts w:ascii="Times New Roman" w:hAnsi="Times New Roman" w:cs="Times New Roman"/>
          <w:b/>
          <w:noProof/>
          <w:sz w:val="24"/>
          <w:szCs w:val="24"/>
          <w:u w:val="single"/>
        </w:rPr>
        <w:t xml:space="preserve"> </w:t>
      </w:r>
    </w:p>
    <w:p w:rsidR="007B2961" w:rsidRPr="00641824" w:rsidP="007B2961">
      <w:pPr>
        <w:bidi w:val="0"/>
        <w:spacing w:after="0" w:line="240" w:lineRule="auto"/>
        <w:jc w:val="both"/>
        <w:rPr>
          <w:rFonts w:ascii="Times New Roman" w:hAnsi="Times New Roman" w:cs="Times New Roman"/>
          <w:noProof/>
          <w:sz w:val="24"/>
          <w:szCs w:val="24"/>
        </w:rPr>
      </w:pPr>
      <w:r w:rsidRPr="00641824">
        <w:rPr>
          <w:rFonts w:ascii="Times New Roman" w:hAnsi="Times New Roman" w:cs="Times New Roman"/>
          <w:noProof/>
          <w:sz w:val="24"/>
          <w:szCs w:val="24"/>
        </w:rPr>
        <w:t>Zákonom č. 2/2007 Z. z. sa s účinnosťou od 1.4.2017 upravuje zákon č. 233/1995 Z. z. o súdnych exekútoroch a exekučnej činnosti (Exekučný poriadok) a o zmene a doplnení ďalších zákonov v znení neskorších predpisov a ktorým sa menia a dopĺňajú niektoré zákony sa upravuje aj oblasť zastavenia exekučného konania. Exekučný poriadok umožňuje 3 spôsoby zastavenia exekúcie: súdom, exekútorom alebo zo zákona. Z uvedeného dôvodu sa upravuje aj oblasť daňového odpisu pohľadávok v § 19 ods. 2 písm. h) 4. a 5. bode zákona o dani z príjmov. Štvrtý bod sa upravuje v nadväznosti na možnosť zastavenia exekúcie súdom a to na možnosť podľa § 61k ods. 1 písm. a), ak po vzniku exekučného titulu nastali okolnosti, ktoré spôsobili zánik vymáhaného nároku. Podľa § 61k ods. 5 sa návrh na zastavenie exekúcie podáva u exekútora, ktorý vyzve oprávneného na vyjadrenie sa. Ak oprávnený so zastavením exekúcie súhlasí, exekútor vydá upovedomenie o zastavení exekúcie, ktoré doručí účastníkom konania a súdu; v opačnom prípade predloží exekútor návrh na zastavenie exekúcie spolu so svojím vyjadrením a prípadným vyjadrením oprávneného súdu.</w:t>
      </w:r>
    </w:p>
    <w:p w:rsidR="007B2961" w:rsidRPr="00641824" w:rsidP="007B2961">
      <w:pPr>
        <w:bidi w:val="0"/>
        <w:spacing w:after="0" w:line="240" w:lineRule="auto"/>
        <w:jc w:val="both"/>
        <w:rPr>
          <w:rFonts w:ascii="Times New Roman" w:hAnsi="Times New Roman" w:cs="Times New Roman"/>
          <w:noProof/>
          <w:sz w:val="24"/>
          <w:szCs w:val="24"/>
        </w:rPr>
      </w:pPr>
      <w:r w:rsidRPr="00641824">
        <w:rPr>
          <w:rFonts w:ascii="Times New Roman" w:hAnsi="Times New Roman" w:cs="Times New Roman"/>
          <w:noProof/>
          <w:sz w:val="24"/>
          <w:szCs w:val="24"/>
        </w:rPr>
        <w:t>Podľa § 61n sa umožňuje zastaviť exekúcia aj exekútorom, na čo nadväzuje aj piaty bod zákona o dani z príjmov. Daňovo bude možné odpísať pohľadávku, ak bola exekúcia zastavená podľa § 61n ods. 1 písm. a), c) a d) Exekučného poriadku, t.</w:t>
      </w:r>
      <w:r>
        <w:rPr>
          <w:rFonts w:ascii="Times New Roman" w:hAnsi="Times New Roman" w:cs="Times New Roman"/>
          <w:noProof/>
          <w:sz w:val="24"/>
          <w:szCs w:val="24"/>
        </w:rPr>
        <w:t xml:space="preserve"> </w:t>
      </w:r>
      <w:r w:rsidRPr="00641824">
        <w:rPr>
          <w:rFonts w:ascii="Times New Roman" w:hAnsi="Times New Roman" w:cs="Times New Roman"/>
          <w:noProof/>
          <w:sz w:val="24"/>
          <w:szCs w:val="24"/>
        </w:rPr>
        <w:t>j. ak oprávnený alebo povinný zanikol bez právneho nástupcu alebo bolo konanie zastavené z dôvodu, že nebol zanechaný žiadny majetok resp. len majetok nepatrnej hodnoty.  Rovnako bude možné daňovo odpísať pohľadávku, ak pri exekúcii vedenej na majetok právnickej osoby sa do 30 mesiacov od začatia exekúcie alebo od posledného zexekvovania majetku nepodarilo zistiť majetok alebo príjmy, ktoré by mohli byť postihnuté exekúciou a ktoré by stačili aspoň na úhradu trov exekútora resp. pri exekúcii vedenej na majetok fyzickej osoby sa do 5 rokov od začatia exekúcie alebo od posledného zexekvovania majetku nepodarilo zistiť majetok alebo príjmy, ktoré by mohli byť postihnuté exekúciou a ktoré by stačili aspoň na úhradu trov exekútora.</w:t>
      </w:r>
    </w:p>
    <w:p w:rsidR="007B2961" w:rsidRPr="00641824" w:rsidP="007B2961">
      <w:pPr>
        <w:bidi w:val="0"/>
        <w:spacing w:after="0" w:line="240" w:lineRule="auto"/>
        <w:jc w:val="both"/>
        <w:rPr>
          <w:rFonts w:ascii="Times New Roman" w:hAnsi="Times New Roman" w:cs="Times New Roman"/>
          <w:noProof/>
          <w:sz w:val="24"/>
          <w:szCs w:val="24"/>
        </w:rPr>
      </w:pPr>
      <w:r w:rsidRPr="00641824">
        <w:rPr>
          <w:rFonts w:ascii="Times New Roman" w:hAnsi="Times New Roman" w:cs="Times New Roman"/>
          <w:noProof/>
          <w:sz w:val="24"/>
          <w:szCs w:val="24"/>
        </w:rPr>
        <w:t>Ak exekútor rozhodne o zastavení exekučného konania z týchto dôvodov je predpoklad, že ani iné pohľadávky voči tomu istému dlžníkovi, ktoré oprávnený má avšak nie je na ne uplatnený exekučný titul nebudú uhradené, preto zákon o dani z príjmov umožňuje uplatniť daňový odpis pohľadávok podľa piateho bodu aj u tých pohľadávok, na ktoré nebolo vedené exekučné konania, ale ktoré eviduje oprávnený voči tomu istému dlžníkovi.</w:t>
      </w:r>
    </w:p>
    <w:p w:rsidR="007B2961" w:rsidRPr="00641824" w:rsidP="007B2961">
      <w:pPr>
        <w:bidi w:val="0"/>
        <w:spacing w:after="0" w:line="240" w:lineRule="auto"/>
        <w:jc w:val="both"/>
        <w:rPr>
          <w:rFonts w:ascii="Times New Roman" w:hAnsi="Times New Roman" w:cs="Times New Roman"/>
          <w:noProof/>
          <w:sz w:val="24"/>
          <w:szCs w:val="24"/>
        </w:rPr>
      </w:pPr>
      <w:r w:rsidRPr="00641824">
        <w:rPr>
          <w:rFonts w:ascii="Times New Roman" w:hAnsi="Times New Roman" w:cs="Times New Roman"/>
          <w:noProof/>
          <w:sz w:val="24"/>
          <w:szCs w:val="24"/>
        </w:rPr>
        <w:t>V prípade, ak pôjde o zastavenie exekúcie zo zákona č. 7/2005 Z. z. o konkurze a reštrukturalizácii a o zmene a doplnení niektorých zákonov v znení neskorších predpisov sa daňový odpis pri zastavení exekúcie neuplatní. V tomto prípade nastupuje proces konkurzného konania, reštrukturalizačného konania alebo konania o určení splátkového kalendára, ktoré umožňuje tvorbu opravných položiek k pohľadávkam podľa § 20 ods. 10 zákona o dani z</w:t>
      </w:r>
      <w:r>
        <w:rPr>
          <w:rFonts w:ascii="Times New Roman" w:hAnsi="Times New Roman" w:cs="Times New Roman"/>
          <w:noProof/>
          <w:sz w:val="24"/>
          <w:szCs w:val="24"/>
        </w:rPr>
        <w:t> </w:t>
      </w:r>
      <w:r w:rsidRPr="00641824">
        <w:rPr>
          <w:rFonts w:ascii="Times New Roman" w:hAnsi="Times New Roman" w:cs="Times New Roman"/>
          <w:noProof/>
          <w:sz w:val="24"/>
          <w:szCs w:val="24"/>
        </w:rPr>
        <w:t>príjmov</w:t>
      </w:r>
      <w:r>
        <w:rPr>
          <w:rFonts w:ascii="Times New Roman" w:hAnsi="Times New Roman" w:cs="Times New Roman"/>
          <w:noProof/>
          <w:sz w:val="24"/>
          <w:szCs w:val="24"/>
        </w:rPr>
        <w:t>,</w:t>
      </w:r>
      <w:r w:rsidRPr="00641824">
        <w:rPr>
          <w:rFonts w:ascii="Times New Roman" w:hAnsi="Times New Roman" w:cs="Times New Roman"/>
          <w:noProof/>
          <w:sz w:val="24"/>
          <w:szCs w:val="24"/>
        </w:rPr>
        <w:t xml:space="preserve"> ako aj zákonný odpis pohľadávky podľa § 19 ods. 2 písm. h) 2. bod zákona o dani z príjmov.</w:t>
      </w:r>
    </w:p>
    <w:p w:rsidR="007B2961" w:rsidP="007B2961">
      <w:pPr>
        <w:bidi w:val="0"/>
        <w:spacing w:after="0" w:line="240" w:lineRule="auto"/>
        <w:jc w:val="both"/>
        <w:rPr>
          <w:rFonts w:ascii="Times New Roman" w:hAnsi="Times New Roman" w:cs="Times New Roman"/>
          <w:noProof/>
          <w:sz w:val="24"/>
          <w:szCs w:val="24"/>
        </w:rPr>
      </w:pPr>
      <w:r w:rsidRPr="00641824">
        <w:rPr>
          <w:rFonts w:ascii="Times New Roman" w:hAnsi="Times New Roman" w:cs="Times New Roman"/>
          <w:noProof/>
          <w:sz w:val="24"/>
          <w:szCs w:val="24"/>
        </w:rPr>
        <w:t>Zároveň sa dopĺňa poznámka pod čiarou s odkazom na § 61n písm. a), c) a d) Exekučného poriadku.</w:t>
      </w:r>
    </w:p>
    <w:p w:rsidR="007B2961" w:rsidP="007B2961">
      <w:pPr>
        <w:bidi w:val="0"/>
        <w:spacing w:after="0" w:line="240" w:lineRule="auto"/>
        <w:jc w:val="both"/>
        <w:rPr>
          <w:rFonts w:ascii="Times New Roman" w:hAnsi="Times New Roman" w:cs="Times New Roman"/>
          <w:noProof/>
          <w:sz w:val="24"/>
          <w:szCs w:val="24"/>
        </w:rPr>
      </w:pPr>
    </w:p>
    <w:p w:rsidR="007B2961" w:rsidRPr="00EC7D75" w:rsidP="007B2961">
      <w:pPr>
        <w:bidi w:val="0"/>
        <w:spacing w:after="0" w:line="240" w:lineRule="auto"/>
        <w:jc w:val="both"/>
        <w:rPr>
          <w:rFonts w:ascii="Times New Roman" w:hAnsi="Times New Roman" w:cs="Times New Roman"/>
          <w:b/>
          <w:noProof/>
          <w:sz w:val="24"/>
          <w:szCs w:val="24"/>
          <w:u w:val="single"/>
        </w:rPr>
      </w:pPr>
      <w:r w:rsidRPr="00EC7D75">
        <w:rPr>
          <w:rFonts w:ascii="Times New Roman" w:hAnsi="Times New Roman" w:cs="Times New Roman"/>
          <w:b/>
          <w:noProof/>
          <w:sz w:val="24"/>
          <w:szCs w:val="24"/>
          <w:u w:val="single"/>
        </w:rPr>
        <w:t>K bodu 5</w:t>
      </w:r>
      <w:r>
        <w:rPr>
          <w:rFonts w:ascii="Times New Roman" w:hAnsi="Times New Roman" w:cs="Times New Roman"/>
          <w:b/>
          <w:noProof/>
          <w:sz w:val="24"/>
          <w:szCs w:val="24"/>
          <w:u w:val="single"/>
        </w:rPr>
        <w:t>4</w:t>
      </w:r>
      <w:r w:rsidRPr="00EC7D75">
        <w:rPr>
          <w:rFonts w:ascii="Times New Roman" w:hAnsi="Times New Roman" w:cs="Times New Roman"/>
          <w:b/>
          <w:noProof/>
          <w:sz w:val="24"/>
          <w:szCs w:val="24"/>
          <w:u w:val="single"/>
        </w:rPr>
        <w:t xml:space="preserve"> - § 20 ods. 22</w:t>
      </w:r>
    </w:p>
    <w:p w:rsidR="007B2961" w:rsidRPr="00EC7D75" w:rsidP="007B2961">
      <w:pPr>
        <w:bidi w:val="0"/>
        <w:spacing w:after="0" w:line="240" w:lineRule="auto"/>
        <w:jc w:val="both"/>
        <w:rPr>
          <w:rFonts w:ascii="Times New Roman" w:hAnsi="Times New Roman" w:cs="Times New Roman"/>
          <w:noProof/>
          <w:sz w:val="24"/>
          <w:szCs w:val="24"/>
        </w:rPr>
      </w:pPr>
      <w:r w:rsidRPr="00EC7D75">
        <w:rPr>
          <w:rFonts w:ascii="Times New Roman" w:hAnsi="Times New Roman" w:cs="Times New Roman"/>
          <w:noProof/>
          <w:sz w:val="24"/>
          <w:szCs w:val="24"/>
        </w:rPr>
        <w:t xml:space="preserve">Navrhovanou úpravou sa umožňuje na základe rozhodnutia daňovníka alternatívna možnosť tvorby daňovo uznanej opravnej položky k príslušenstvu pohľadávky. Daňovník sa bude môcť rozhodnúť, či daňovo uznanú opravnú položku k príslušenstvu pohľadávky vo výške 100 % vytvorí v zdaňovacom období, v ktorom od splatnosti pohľadávky, ku ktorej sa príslušenstvo viaže, uplynula doba dlhšia ako1 080 dní, alebo tak urobí až v zdaňovacom období, v ktorom uplynula doba dlhšia ako 1 080 dní od splatnosti samotného príslušenstva. </w:t>
      </w:r>
    </w:p>
    <w:p w:rsidR="007B2961" w:rsidRPr="00AC4812" w:rsidP="007B2961">
      <w:pPr>
        <w:bidi w:val="0"/>
        <w:spacing w:after="0" w:line="240" w:lineRule="auto"/>
        <w:jc w:val="both"/>
        <w:rPr>
          <w:rFonts w:ascii="Times New Roman" w:hAnsi="Times New Roman" w:cs="Times New Roman"/>
          <w:noProof/>
          <w:sz w:val="24"/>
          <w:szCs w:val="24"/>
        </w:rPr>
      </w:pPr>
    </w:p>
    <w:p w:rsidR="007B2961" w:rsidP="007B2961">
      <w:pPr>
        <w:bidi w:val="0"/>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K bodu 55 - § 21 ods. 2 písm. o)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Cieľom tejto úpravy je zamedziť situáciám, ktoré môžu vzniknúť medzi závislými osobami, kedy môže dôjsť k uplatneniu toho istého daňového výdavku podľa zákona o dani z príjmov, ako aj podľa právneho predpisu v inom štáte (dvojitý odpočet toho istého výdavku), alebo k uplatneniu daňového výdavku na území SR, ktorý nie je zdaniteľným príjmom zahrnutým do základu dane na území SR alebo na území iného štátu (odpočet bez zahrnutia). Riešením týchto situácií je zamietnutie daňového výdavku za účelom ochrany základu dane na území SR. Uvedené situácie môžu vzniknúť v rámci tuzemských aj zahraničných transakcií. Zákon však osobitne ustanovuje, že ustanovenie § 21 ods. 2 písm. o) druhého bodu sa neuplatní, ak závislou osobou je fyzická osoba, u ktorej by bol dosiahnutý príjem oslobodený od dane podľa § 9. Rovnako sa ustanovenie § 21 ods. 2 písm. o) druhého bodu neuplatní v prípade, ak pôjde o výdavky (náklady) realizované voči subjektom nezaloženým alebo nezriadeným za účelom podnikania, avšak len v prípade, že pôjde o situácie týkajúce sa hlavnej (nezdaňovanej) činnosti týchto subjektov. V prípade odpočtu bez zahrnutia je pre účely uplatnenia daňového výdavku (nákladu) potrebné sledovať, či druhá závislá strana uvedenú platbu zahrnula do zdaniteľných príjmov, aj keď v určitých prípadoch nemusí dôjsť k jej skutočnému zdaneniu, napr. ak daňovník v dôsledku iných odpočítateľných položiek vykáže daňovú stratu; podstatné je však skúmať, či  platba ako taká podliehala zdaneniu a ak áno</w:t>
      </w:r>
      <w:r>
        <w:rPr>
          <w:rFonts w:ascii="Times New Roman" w:hAnsi="Times New Roman" w:cs="Times New Roman"/>
          <w:sz w:val="24"/>
          <w:szCs w:val="24"/>
        </w:rPr>
        <w:t>,</w:t>
      </w:r>
      <w:r w:rsidRPr="003941D0">
        <w:rPr>
          <w:rFonts w:ascii="Times New Roman" w:hAnsi="Times New Roman" w:cs="Times New Roman"/>
          <w:sz w:val="24"/>
          <w:szCs w:val="24"/>
        </w:rPr>
        <w:t xml:space="preserve"> v akom rozsahu podliehala zdaneniu (napr.  ak by 50 %  platby bolo od dane oslobodenej, potom iba 50 % podlieha zdaneniu a pod.). Príklad pre dvojitý odpočet k písm. o) prvého bodu – spoločnosť A z krajiny A si založí spoločnosť B v krajine B. Z pohľadu krajiny A je spoločnosť B transparentná, t. j. príjmy aj výdavky spoločnosti B považuje krajina A za príjmy a výdavky spoločnosti A. Krajina B však považuje spoločnosť B za samostatného daňovníka a príjmy a výdavky zdaňuje na úrovni spoločnosti B v krajine B. Ak spoločnosť B uskutoční výdavky, ktoré sú daňovými výdavkami v krajine B, spoločnosť A v krajine A si zahrnutím príjmov a výdavkov zo spoločnosti B rovnako môže uplatniť tú istú platbu ako daňový výdavok. Dochádza tak k dvojitému odpočtu toho istého výdavku – v krajine B ako aj v krajine A. Avšak vzhľadom k tomu, že krajina B aj krajina A zdania dvojitým spôsobom aj príjmy, výsledný nesúlad predstavuje iba rozdiel, o ktorý dvojito odpočítavané výdavky prevyšujú dvojito zahrnuté príjmy (v uvedenom prípade je využitý koncept hybridnej entity).</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Príklad pre odpočet bez zahrnutia k písm. o) druhého bodu – finančný nástroj je v krajine A považovaný za dlhový nástroj a platby na jeho základe vyplatené za úroky, ktoré sú daňovým výdavkom znižujúcim základ dane. V krajine B je však tento istý finančný nástroj považovaný za majetkový nástroj a platby na jeho základe plynúce za prijaté dividendy, ktoré nie sú v krajine B predmetom dane, alebo sú od dane oslobodené. V tomto prípade vzniká odpočet výdavku na strane štátu A avšak platba nie je zdanená v krajine B, t. j. vzniká odpočet bez zahrnutia (v uvedenom prípade je využitý koncept hybridného finančného nástroja). V prípade písm. o) tretieho bodu ide o tzv. importované nesúlady, keď platba - výdavok (náklad) uskutočnený z územia SR je priamo alebo nepriamo použitý na financovanie takej operácie, ktorá spôsobí nesúlad dvojitého odpočtu alebo odpočtu bez zahrnutia; aj takýto výdavok nebude považovaný za daňový výdavok podľa § 21 ods. 2 písm. o).</w:t>
      </w:r>
    </w:p>
    <w:p w:rsidR="007B2961" w:rsidRPr="003941D0" w:rsidP="007B2961">
      <w:pPr>
        <w:bidi w:val="0"/>
        <w:spacing w:after="0" w:line="240" w:lineRule="auto"/>
        <w:jc w:val="both"/>
        <w:rPr>
          <w:rFonts w:ascii="Times New Roman" w:hAnsi="Times New Roman" w:cs="Times New Roman"/>
          <w:b/>
          <w:noProof/>
          <w:sz w:val="24"/>
          <w:szCs w:val="24"/>
          <w:u w:val="single"/>
        </w:rPr>
      </w:pPr>
    </w:p>
    <w:p w:rsidR="007B2961" w:rsidRPr="003941D0" w:rsidP="007B2961">
      <w:pPr>
        <w:bidi w:val="0"/>
        <w:spacing w:after="0" w:line="240" w:lineRule="auto"/>
        <w:rPr>
          <w:rFonts w:ascii="Times New Roman" w:hAnsi="Times New Roman" w:cs="Times New Roman"/>
          <w:b/>
          <w:sz w:val="24"/>
          <w:szCs w:val="24"/>
          <w:u w:val="single"/>
        </w:rPr>
      </w:pPr>
      <w:r w:rsidRPr="003941D0">
        <w:rPr>
          <w:rFonts w:ascii="Times New Roman" w:hAnsi="Times New Roman" w:cs="Times New Roman"/>
          <w:b/>
          <w:sz w:val="24"/>
          <w:szCs w:val="24"/>
          <w:u w:val="single"/>
        </w:rPr>
        <w:t>K bodu 5</w:t>
      </w:r>
      <w:r>
        <w:rPr>
          <w:rFonts w:ascii="Times New Roman" w:hAnsi="Times New Roman" w:cs="Times New Roman"/>
          <w:b/>
          <w:sz w:val="24"/>
          <w:szCs w:val="24"/>
          <w:u w:val="single"/>
        </w:rPr>
        <w:t>6</w:t>
      </w:r>
      <w:r w:rsidRPr="003941D0">
        <w:rPr>
          <w:rFonts w:ascii="Times New Roman" w:hAnsi="Times New Roman" w:cs="Times New Roman"/>
          <w:b/>
          <w:sz w:val="24"/>
          <w:szCs w:val="24"/>
          <w:u w:val="single"/>
        </w:rPr>
        <w:t xml:space="preserve"> - § 22 ods. 6 písm. f)</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Hlavným cieľom opatrenia má byť podpora a obnova existujúcich budov, v ktorých sa poskytuje kúpeľná starostlivosť vrátane budov, v ktorých sú umiestnené balneoterapeutické a vyšetrovacie zariadenia. Ide o budovy daňovníkov – držiteľov povolenia na prevádzkovanie prírodných liečebných kúpeľov a kúpeľných liečební.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Navrhovanou úpravou sa úhrn technického zhodnotenia a opráv vykonaných na budove, ktorá je umiestnená na kúpeľnom území, slúži na kúpeľnú starostlivosť a služby súvisiace s kúpeľnou starostlivosťou (vrátane budov, v ktorých sú umiestnené balneoterapeutické a vyšetrovacie zariadenia) a je súčasťou prírodných liečebných kúpeľov alebo kúpeľnej starostlivosti, bude považovať za iný majetok, ak úhrn technického zhodnotenia a opráv v príslušnom zdaňovacom období bude rovný alebo vyšší ako 10 % vstupnej ceny budovy (na ktorej sa technické zhodnotenia a opravy vykonali) stanovenej podľa § 25 ods. 1 a 2. Takýto úhrn technického zhodnotenia a opráv bude odpisovaný samostatne oddelene od budovy a zaradený do odpisovej skupiny 2 s dobou odpisovania 6 rokov. </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Za iný majetok sa bude považovať aj úhrn hodnoty technického zhodnotenia a opráv vykonaných nájomcom na prenajatej budove kúpeľov na základe predchádzajúceho písomného súhlasu prenajímateľa, ak jednotlivé technické zhodnotenia a opravy vykonané v príslušnom zdaňovacom období nie sú uhradené prenajímateľom nájomcovi.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rPr>
          <w:rFonts w:ascii="Times New Roman" w:hAnsi="Times New Roman" w:cs="Times New Roman"/>
          <w:b/>
          <w:sz w:val="24"/>
          <w:szCs w:val="24"/>
          <w:u w:val="single"/>
        </w:rPr>
      </w:pPr>
      <w:r w:rsidRPr="003941D0">
        <w:rPr>
          <w:rFonts w:ascii="Times New Roman" w:hAnsi="Times New Roman" w:cs="Times New Roman"/>
          <w:b/>
          <w:sz w:val="24"/>
          <w:szCs w:val="24"/>
          <w:u w:val="single"/>
        </w:rPr>
        <w:t>K bodu 5</w:t>
      </w:r>
      <w:r>
        <w:rPr>
          <w:rFonts w:ascii="Times New Roman" w:hAnsi="Times New Roman" w:cs="Times New Roman"/>
          <w:b/>
          <w:sz w:val="24"/>
          <w:szCs w:val="24"/>
          <w:u w:val="single"/>
        </w:rPr>
        <w:t>7</w:t>
      </w:r>
      <w:r w:rsidRPr="003941D0">
        <w:rPr>
          <w:rFonts w:ascii="Times New Roman" w:hAnsi="Times New Roman" w:cs="Times New Roman"/>
          <w:b/>
          <w:sz w:val="24"/>
          <w:szCs w:val="24"/>
          <w:u w:val="single"/>
        </w:rPr>
        <w:t xml:space="preserve"> - § 25 ods. 1 písm. i)</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Do vstupných cien dlhodobého hmotného a nehmotného majetku sa dopĺňa </w:t>
      </w:r>
      <w:r>
        <w:rPr>
          <w:rFonts w:ascii="Times New Roman" w:hAnsi="Times New Roman" w:cs="Times New Roman"/>
          <w:sz w:val="24"/>
          <w:szCs w:val="24"/>
        </w:rPr>
        <w:t xml:space="preserve">reálna </w:t>
      </w:r>
      <w:r w:rsidRPr="003941D0">
        <w:rPr>
          <w:rFonts w:ascii="Times New Roman" w:hAnsi="Times New Roman" w:cs="Times New Roman"/>
          <w:sz w:val="24"/>
          <w:szCs w:val="24"/>
        </w:rPr>
        <w:t>hodnota, ktorou bol majetok ocenený na účely zdanenia pri odchode. Táto hodnota je vstupnou cenou majetku na účely odpisovania.</w:t>
      </w:r>
    </w:p>
    <w:p w:rsidR="007B2961" w:rsidRPr="003941D0" w:rsidP="007B2961">
      <w:pPr>
        <w:bidi w:val="0"/>
        <w:spacing w:after="0" w:line="240" w:lineRule="auto"/>
        <w:rPr>
          <w:rFonts w:ascii="Times New Roman" w:hAnsi="Times New Roman" w:cs="Times New Roman"/>
          <w:b/>
          <w:sz w:val="24"/>
          <w:szCs w:val="24"/>
          <w:u w:val="single"/>
        </w:rPr>
      </w:pPr>
    </w:p>
    <w:p w:rsidR="007B2961" w:rsidRPr="003941D0" w:rsidP="007B2961">
      <w:pPr>
        <w:pStyle w:val="ListParagraph"/>
        <w:bidi w:val="0"/>
        <w:ind w:left="0"/>
        <w:jc w:val="both"/>
        <w:rPr>
          <w:rFonts w:ascii="Times New Roman" w:hAnsi="Times New Roman"/>
          <w:b/>
          <w:u w:val="single"/>
        </w:rPr>
      </w:pPr>
      <w:r w:rsidRPr="003941D0">
        <w:rPr>
          <w:rFonts w:ascii="Times New Roman" w:hAnsi="Times New Roman"/>
          <w:b/>
          <w:u w:val="single"/>
        </w:rPr>
        <w:t>K bodu 5</w:t>
      </w:r>
      <w:r>
        <w:rPr>
          <w:rFonts w:ascii="Times New Roman" w:hAnsi="Times New Roman"/>
          <w:b/>
          <w:u w:val="single"/>
        </w:rPr>
        <w:t xml:space="preserve">8 </w:t>
      </w:r>
      <w:r w:rsidRPr="003941D0">
        <w:rPr>
          <w:rFonts w:ascii="Times New Roman" w:hAnsi="Times New Roman"/>
          <w:b/>
          <w:u w:val="single"/>
        </w:rPr>
        <w:t>- § 25a písm. g)</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Do vstupných cien finančného majetku sa dopĺňa </w:t>
      </w:r>
      <w:r>
        <w:rPr>
          <w:rFonts w:ascii="Times New Roman" w:hAnsi="Times New Roman" w:cs="Times New Roman"/>
          <w:sz w:val="24"/>
          <w:szCs w:val="24"/>
        </w:rPr>
        <w:t xml:space="preserve">reálna </w:t>
      </w:r>
      <w:r w:rsidRPr="003941D0">
        <w:rPr>
          <w:rFonts w:ascii="Times New Roman" w:hAnsi="Times New Roman" w:cs="Times New Roman"/>
          <w:sz w:val="24"/>
          <w:szCs w:val="24"/>
        </w:rPr>
        <w:t xml:space="preserve">hodnota, ktorou bol majetok ocenený na účely zdanenia pri odchode.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pStyle w:val="ListParagraph"/>
        <w:bidi w:val="0"/>
        <w:ind w:left="0"/>
        <w:jc w:val="both"/>
        <w:rPr>
          <w:rFonts w:ascii="Times New Roman" w:hAnsi="Times New Roman"/>
          <w:b/>
          <w:u w:val="single"/>
        </w:rPr>
      </w:pPr>
      <w:r w:rsidRPr="003941D0">
        <w:rPr>
          <w:rFonts w:ascii="Times New Roman" w:hAnsi="Times New Roman"/>
          <w:b/>
          <w:u w:val="single"/>
        </w:rPr>
        <w:t>K bodu 5</w:t>
      </w:r>
      <w:r>
        <w:rPr>
          <w:rFonts w:ascii="Times New Roman" w:hAnsi="Times New Roman"/>
          <w:b/>
          <w:u w:val="single"/>
        </w:rPr>
        <w:t>9</w:t>
      </w:r>
      <w:r w:rsidRPr="003941D0">
        <w:rPr>
          <w:rFonts w:ascii="Times New Roman" w:hAnsi="Times New Roman"/>
          <w:b/>
          <w:u w:val="single"/>
        </w:rPr>
        <w:t xml:space="preserve"> - § 26 ods. 11</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Navrhovanou úpravou sa stanovuje, že uplatnenie prerušenia odpisovania a zmeny prerušenia odpisovania hmotného majetku nie je možné uplatniť v rámci vyrubovacieho konania.  To znamená, že ak daňovník v riadnom daňovom priznaní uplatnil prerušenie odpisovania, tak v rámci vyrubovacieho konania nemôže zrušiť prerušenie odpisovania a daňové odpisy dodatočne uplatniť.</w:t>
      </w:r>
    </w:p>
    <w:p w:rsidR="007B2961" w:rsidRPr="003941D0" w:rsidP="007B2961">
      <w:pPr>
        <w:bidi w:val="0"/>
        <w:spacing w:after="0" w:line="240" w:lineRule="auto"/>
        <w:jc w:val="both"/>
        <w:rPr>
          <w:rFonts w:ascii="Times New Roman" w:hAnsi="Times New Roman" w:cs="Times New Roman"/>
          <w:sz w:val="24"/>
          <w:szCs w:val="24"/>
        </w:rPr>
      </w:pPr>
    </w:p>
    <w:p w:rsidR="007B2961" w:rsidRPr="008D2B39" w:rsidP="007B2961">
      <w:pPr>
        <w:bidi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K bodom 60 až 63</w:t>
      </w:r>
      <w:r w:rsidRPr="008D2B39">
        <w:rPr>
          <w:rFonts w:ascii="Times New Roman" w:hAnsi="Times New Roman" w:cs="Times New Roman"/>
          <w:b/>
          <w:bCs/>
          <w:sz w:val="24"/>
          <w:szCs w:val="24"/>
          <w:u w:val="single"/>
        </w:rPr>
        <w:t xml:space="preserve"> - § 30a ods. 8 </w:t>
      </w:r>
      <w:r>
        <w:rPr>
          <w:rFonts w:ascii="Times New Roman" w:hAnsi="Times New Roman" w:cs="Times New Roman"/>
          <w:b/>
          <w:bCs/>
          <w:sz w:val="24"/>
          <w:szCs w:val="24"/>
          <w:u w:val="single"/>
        </w:rPr>
        <w:t>až 10</w:t>
      </w:r>
      <w:r w:rsidRPr="008D2B39">
        <w:rPr>
          <w:rFonts w:ascii="Times New Roman" w:hAnsi="Times New Roman" w:cs="Times New Roman"/>
          <w:b/>
          <w:bCs/>
          <w:sz w:val="24"/>
          <w:szCs w:val="24"/>
          <w:u w:val="single"/>
        </w:rPr>
        <w:t xml:space="preserve"> a § 30b ods. 8 </w:t>
      </w:r>
      <w:r>
        <w:rPr>
          <w:rFonts w:ascii="Times New Roman" w:hAnsi="Times New Roman" w:cs="Times New Roman"/>
          <w:b/>
          <w:bCs/>
          <w:sz w:val="24"/>
          <w:szCs w:val="24"/>
          <w:u w:val="single"/>
        </w:rPr>
        <w:t>až</w:t>
      </w:r>
      <w:r w:rsidRPr="008D2B3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10</w:t>
      </w:r>
    </w:p>
    <w:p w:rsidR="007B2961" w:rsidRPr="008D2B39" w:rsidP="007B2961">
      <w:pPr>
        <w:bidi w:val="0"/>
        <w:spacing w:after="0" w:line="240" w:lineRule="auto"/>
        <w:jc w:val="both"/>
        <w:rPr>
          <w:rFonts w:ascii="Times New Roman" w:hAnsi="Times New Roman" w:cs="Times New Roman"/>
          <w:sz w:val="24"/>
          <w:szCs w:val="24"/>
        </w:rPr>
      </w:pPr>
      <w:r w:rsidRPr="008D2B39">
        <w:rPr>
          <w:rFonts w:ascii="Times New Roman" w:hAnsi="Times New Roman" w:cs="Times New Roman"/>
          <w:sz w:val="24"/>
          <w:szCs w:val="24"/>
        </w:rPr>
        <w:t xml:space="preserve">Doterajšie ustanovenia upravujúce dôsledky porušenia podmienok </w:t>
      </w:r>
      <w:r>
        <w:rPr>
          <w:rFonts w:ascii="Times New Roman" w:hAnsi="Times New Roman" w:cs="Times New Roman"/>
          <w:sz w:val="24"/>
          <w:szCs w:val="24"/>
        </w:rPr>
        <w:t>pri uplatňovaní</w:t>
      </w:r>
      <w:r w:rsidRPr="008D2B39">
        <w:rPr>
          <w:rFonts w:ascii="Times New Roman" w:hAnsi="Times New Roman" w:cs="Times New Roman"/>
          <w:sz w:val="24"/>
          <w:szCs w:val="24"/>
        </w:rPr>
        <w:t xml:space="preserve"> úľav</w:t>
      </w:r>
      <w:r>
        <w:rPr>
          <w:rFonts w:ascii="Times New Roman" w:hAnsi="Times New Roman" w:cs="Times New Roman"/>
          <w:sz w:val="24"/>
          <w:szCs w:val="24"/>
        </w:rPr>
        <w:t>y</w:t>
      </w:r>
      <w:r w:rsidRPr="008D2B39">
        <w:rPr>
          <w:rFonts w:ascii="Times New Roman" w:hAnsi="Times New Roman" w:cs="Times New Roman"/>
          <w:sz w:val="24"/>
          <w:szCs w:val="24"/>
        </w:rPr>
        <w:t xml:space="preserve"> na dani podľa § 30a alebo 30b sa menia tým spôsobom, že porušenie princípu nezávislého vzťahu nebude mať automaticky za následok zánik</w:t>
      </w:r>
      <w:r>
        <w:rPr>
          <w:rFonts w:ascii="Times New Roman" w:hAnsi="Times New Roman" w:cs="Times New Roman"/>
          <w:sz w:val="24"/>
          <w:szCs w:val="24"/>
        </w:rPr>
        <w:t xml:space="preserve"> priznaného nároku na úľavu na dani. </w:t>
      </w:r>
      <w:r w:rsidRPr="008D2B39">
        <w:rPr>
          <w:rFonts w:ascii="Times New Roman" w:hAnsi="Times New Roman" w:cs="Times New Roman"/>
          <w:sz w:val="24"/>
          <w:szCs w:val="24"/>
        </w:rPr>
        <w:t>Nové ustanovenie tiež zjednotilo sankcie pri nedodržaní podmienok podľa ods. 3 písm. a)</w:t>
      </w:r>
      <w:r>
        <w:rPr>
          <w:rFonts w:ascii="Times New Roman" w:hAnsi="Times New Roman" w:cs="Times New Roman"/>
          <w:sz w:val="24"/>
          <w:szCs w:val="24"/>
        </w:rPr>
        <w:t>,</w:t>
      </w:r>
      <w:r w:rsidRPr="008D2B39">
        <w:rPr>
          <w:rFonts w:ascii="Times New Roman" w:hAnsi="Times New Roman" w:cs="Times New Roman"/>
          <w:sz w:val="24"/>
          <w:szCs w:val="24"/>
        </w:rPr>
        <w:t xml:space="preserve"> b)</w:t>
      </w:r>
      <w:r>
        <w:rPr>
          <w:rFonts w:ascii="Times New Roman" w:hAnsi="Times New Roman" w:cs="Times New Roman"/>
          <w:sz w:val="24"/>
          <w:szCs w:val="24"/>
        </w:rPr>
        <w:t xml:space="preserve"> a d)</w:t>
      </w:r>
      <w:r w:rsidRPr="008D2B39">
        <w:rPr>
          <w:rFonts w:ascii="Times New Roman" w:hAnsi="Times New Roman" w:cs="Times New Roman"/>
          <w:sz w:val="24"/>
          <w:szCs w:val="24"/>
        </w:rPr>
        <w:t>. Ak daňovník neoprávnene čerpal úľavy na dani</w:t>
      </w:r>
      <w:r>
        <w:rPr>
          <w:rFonts w:ascii="Times New Roman" w:hAnsi="Times New Roman" w:cs="Times New Roman"/>
          <w:sz w:val="24"/>
          <w:szCs w:val="24"/>
        </w:rPr>
        <w:t>,</w:t>
      </w:r>
      <w:r w:rsidRPr="008D2B39">
        <w:rPr>
          <w:rFonts w:ascii="Times New Roman" w:hAnsi="Times New Roman" w:cs="Times New Roman"/>
          <w:sz w:val="24"/>
          <w:szCs w:val="24"/>
        </w:rPr>
        <w:t xml:space="preserve"> sankcia sa bude odvíjať od závažnosti porušenia. Ak ide len o malé porušenie povinnosti daňovníka, ktoré spôsobí zvýšenie pomernej časti základu dane o menej ako 10 </w:t>
      </w:r>
      <w:r>
        <w:rPr>
          <w:rFonts w:ascii="Times New Roman" w:hAnsi="Times New Roman" w:cs="Times New Roman"/>
          <w:sz w:val="24"/>
          <w:szCs w:val="24"/>
        </w:rPr>
        <w:t>%,</w:t>
      </w:r>
      <w:r w:rsidRPr="008D2B39">
        <w:rPr>
          <w:rFonts w:ascii="Times New Roman" w:hAnsi="Times New Roman" w:cs="Times New Roman"/>
          <w:sz w:val="24"/>
          <w:szCs w:val="24"/>
        </w:rPr>
        <w:t xml:space="preserve"> nárok na úľavu na dani sa znižuje o </w:t>
      </w:r>
      <w:r>
        <w:rPr>
          <w:rFonts w:ascii="Times New Roman" w:hAnsi="Times New Roman" w:cs="Times New Roman"/>
          <w:sz w:val="24"/>
          <w:szCs w:val="24"/>
        </w:rPr>
        <w:t>sumu</w:t>
      </w:r>
      <w:r w:rsidRPr="008D2B39">
        <w:rPr>
          <w:rFonts w:ascii="Times New Roman" w:hAnsi="Times New Roman" w:cs="Times New Roman"/>
          <w:sz w:val="24"/>
          <w:szCs w:val="24"/>
        </w:rPr>
        <w:t xml:space="preserve"> vo výške súčinu príslušnej sadzby dane podľa § 15 a tej časti zmeny základu dane, ktorá </w:t>
      </w:r>
      <w:r>
        <w:rPr>
          <w:rFonts w:ascii="Times New Roman" w:hAnsi="Times New Roman" w:cs="Times New Roman"/>
          <w:sz w:val="24"/>
          <w:szCs w:val="24"/>
        </w:rPr>
        <w:t>súvisí s</w:t>
      </w:r>
      <w:r w:rsidRPr="008D2B39">
        <w:rPr>
          <w:rFonts w:ascii="Times New Roman" w:hAnsi="Times New Roman" w:cs="Times New Roman"/>
          <w:sz w:val="24"/>
          <w:szCs w:val="24"/>
        </w:rPr>
        <w:t xml:space="preserve"> porušením podmienky a o rovnakú </w:t>
      </w:r>
      <w:r>
        <w:rPr>
          <w:rFonts w:ascii="Times New Roman" w:hAnsi="Times New Roman" w:cs="Times New Roman"/>
          <w:sz w:val="24"/>
          <w:szCs w:val="24"/>
        </w:rPr>
        <w:t>sumu</w:t>
      </w:r>
      <w:r w:rsidRPr="008D2B39">
        <w:rPr>
          <w:rFonts w:ascii="Times New Roman" w:hAnsi="Times New Roman" w:cs="Times New Roman"/>
          <w:sz w:val="24"/>
          <w:szCs w:val="24"/>
        </w:rPr>
        <w:t xml:space="preserve"> sa znižuje aj </w:t>
      </w:r>
      <w:r>
        <w:rPr>
          <w:rFonts w:ascii="Times New Roman" w:hAnsi="Times New Roman" w:cs="Times New Roman"/>
          <w:sz w:val="24"/>
          <w:szCs w:val="24"/>
        </w:rPr>
        <w:t xml:space="preserve">priznaný objem </w:t>
      </w:r>
      <w:r w:rsidRPr="008D2B39">
        <w:rPr>
          <w:rFonts w:ascii="Times New Roman" w:hAnsi="Times New Roman" w:cs="Times New Roman"/>
          <w:sz w:val="24"/>
          <w:szCs w:val="24"/>
        </w:rPr>
        <w:t xml:space="preserve">úľavy. Ak ide </w:t>
      </w:r>
      <w:r>
        <w:rPr>
          <w:rFonts w:ascii="Times New Roman" w:hAnsi="Times New Roman" w:cs="Times New Roman"/>
          <w:sz w:val="24"/>
          <w:szCs w:val="24"/>
        </w:rPr>
        <w:t xml:space="preserve">o </w:t>
      </w:r>
      <w:r w:rsidRPr="008D2B39">
        <w:rPr>
          <w:rFonts w:ascii="Times New Roman" w:hAnsi="Times New Roman" w:cs="Times New Roman"/>
          <w:sz w:val="24"/>
          <w:szCs w:val="24"/>
        </w:rPr>
        <w:t xml:space="preserve">zvýšenie pomernej časti základu o viac ako 10 </w:t>
      </w:r>
      <w:r>
        <w:rPr>
          <w:rFonts w:ascii="Times New Roman" w:hAnsi="Times New Roman" w:cs="Times New Roman"/>
          <w:sz w:val="24"/>
          <w:szCs w:val="24"/>
        </w:rPr>
        <w:t>%,</w:t>
      </w:r>
      <w:r w:rsidRPr="008D2B39">
        <w:rPr>
          <w:rFonts w:ascii="Times New Roman" w:hAnsi="Times New Roman" w:cs="Times New Roman"/>
          <w:sz w:val="24"/>
          <w:szCs w:val="24"/>
        </w:rPr>
        <w:t xml:space="preserve"> nárok na uplatnenie úľavy na dani v príslušnom zdaňovacom období zaniká v plnom rozsahu a o</w:t>
      </w:r>
      <w:r>
        <w:rPr>
          <w:rFonts w:ascii="Times New Roman" w:hAnsi="Times New Roman" w:cs="Times New Roman"/>
          <w:sz w:val="24"/>
          <w:szCs w:val="24"/>
        </w:rPr>
        <w:t xml:space="preserve"> neoprávnene čerpanú úľavu na dani </w:t>
      </w:r>
      <w:r w:rsidRPr="008D2B39">
        <w:rPr>
          <w:rFonts w:ascii="Times New Roman" w:hAnsi="Times New Roman" w:cs="Times New Roman"/>
          <w:sz w:val="24"/>
          <w:szCs w:val="24"/>
        </w:rPr>
        <w:t xml:space="preserve">sa znižuje aj objem </w:t>
      </w:r>
      <w:r>
        <w:rPr>
          <w:rFonts w:ascii="Times New Roman" w:hAnsi="Times New Roman" w:cs="Times New Roman"/>
          <w:sz w:val="24"/>
          <w:szCs w:val="24"/>
        </w:rPr>
        <w:t xml:space="preserve">priznanej </w:t>
      </w:r>
      <w:r w:rsidRPr="008D2B39">
        <w:rPr>
          <w:rFonts w:ascii="Times New Roman" w:hAnsi="Times New Roman" w:cs="Times New Roman"/>
          <w:sz w:val="24"/>
          <w:szCs w:val="24"/>
        </w:rPr>
        <w:t>úľavy</w:t>
      </w:r>
      <w:r>
        <w:rPr>
          <w:rFonts w:ascii="Times New Roman" w:hAnsi="Times New Roman" w:cs="Times New Roman"/>
          <w:sz w:val="24"/>
          <w:szCs w:val="24"/>
        </w:rPr>
        <w:t xml:space="preserve"> na dani</w:t>
      </w:r>
      <w:r w:rsidRPr="008D2B39">
        <w:rPr>
          <w:rFonts w:ascii="Times New Roman" w:hAnsi="Times New Roman" w:cs="Times New Roman"/>
          <w:sz w:val="24"/>
          <w:szCs w:val="24"/>
        </w:rPr>
        <w:t xml:space="preserve">. Ak </w:t>
      </w:r>
      <w:r>
        <w:rPr>
          <w:rFonts w:ascii="Times New Roman" w:hAnsi="Times New Roman" w:cs="Times New Roman"/>
          <w:sz w:val="24"/>
          <w:szCs w:val="24"/>
        </w:rPr>
        <w:t xml:space="preserve">správca dane pri daňovej kontrole zistí nedodržanie </w:t>
      </w:r>
      <w:r w:rsidRPr="008D2B39">
        <w:rPr>
          <w:rFonts w:ascii="Times New Roman" w:hAnsi="Times New Roman" w:cs="Times New Roman"/>
          <w:sz w:val="24"/>
          <w:szCs w:val="24"/>
        </w:rPr>
        <w:t>podmien</w:t>
      </w:r>
      <w:r>
        <w:rPr>
          <w:rFonts w:ascii="Times New Roman" w:hAnsi="Times New Roman" w:cs="Times New Roman"/>
          <w:sz w:val="24"/>
          <w:szCs w:val="24"/>
        </w:rPr>
        <w:t>ky</w:t>
      </w:r>
      <w:r w:rsidRPr="008D2B39">
        <w:rPr>
          <w:rFonts w:ascii="Times New Roman" w:hAnsi="Times New Roman" w:cs="Times New Roman"/>
          <w:sz w:val="24"/>
          <w:szCs w:val="24"/>
        </w:rPr>
        <w:t xml:space="preserve"> uveden</w:t>
      </w:r>
      <w:r>
        <w:rPr>
          <w:rFonts w:ascii="Times New Roman" w:hAnsi="Times New Roman" w:cs="Times New Roman"/>
          <w:sz w:val="24"/>
          <w:szCs w:val="24"/>
        </w:rPr>
        <w:t>ej</w:t>
      </w:r>
      <w:r w:rsidRPr="008D2B39">
        <w:rPr>
          <w:rFonts w:ascii="Times New Roman" w:hAnsi="Times New Roman" w:cs="Times New Roman"/>
          <w:sz w:val="24"/>
          <w:szCs w:val="24"/>
        </w:rPr>
        <w:t xml:space="preserve"> v odseku 3 písm.</w:t>
      </w:r>
      <w:r>
        <w:rPr>
          <w:rFonts w:ascii="Times New Roman" w:hAnsi="Times New Roman" w:cs="Times New Roman"/>
          <w:sz w:val="24"/>
          <w:szCs w:val="24"/>
        </w:rPr>
        <w:t xml:space="preserve"> d), ktoré </w:t>
      </w:r>
      <w:r w:rsidRPr="008D2B39">
        <w:rPr>
          <w:rFonts w:ascii="Times New Roman" w:hAnsi="Times New Roman" w:cs="Times New Roman"/>
          <w:sz w:val="24"/>
          <w:szCs w:val="24"/>
        </w:rPr>
        <w:t>v</w:t>
      </w:r>
      <w:r>
        <w:rPr>
          <w:rFonts w:ascii="Times New Roman" w:hAnsi="Times New Roman" w:cs="Times New Roman"/>
          <w:sz w:val="24"/>
          <w:szCs w:val="24"/>
        </w:rPr>
        <w:t> </w:t>
      </w:r>
      <w:r w:rsidRPr="008D2B39">
        <w:rPr>
          <w:rFonts w:ascii="Times New Roman" w:hAnsi="Times New Roman" w:cs="Times New Roman"/>
          <w:sz w:val="24"/>
          <w:szCs w:val="24"/>
        </w:rPr>
        <w:t>úhrne</w:t>
      </w:r>
      <w:r>
        <w:rPr>
          <w:rFonts w:ascii="Times New Roman" w:hAnsi="Times New Roman" w:cs="Times New Roman"/>
          <w:sz w:val="24"/>
          <w:szCs w:val="24"/>
        </w:rPr>
        <w:t xml:space="preserve"> za celé obdobie čerpania úľavy na dani</w:t>
      </w:r>
      <w:r w:rsidRPr="008D2B39">
        <w:rPr>
          <w:rFonts w:ascii="Times New Roman" w:hAnsi="Times New Roman" w:cs="Times New Roman"/>
          <w:sz w:val="24"/>
          <w:szCs w:val="24"/>
        </w:rPr>
        <w:t xml:space="preserve"> spôsobilo zvýšenie pomernej časti základu dane, a tým neoprávnené čerpanie úľavy na dani viac ako 10 </w:t>
      </w:r>
      <w:r>
        <w:rPr>
          <w:rFonts w:ascii="Times New Roman" w:hAnsi="Times New Roman" w:cs="Times New Roman"/>
          <w:sz w:val="24"/>
          <w:szCs w:val="24"/>
        </w:rPr>
        <w:t>% z</w:t>
      </w:r>
      <w:r w:rsidRPr="008D2B39">
        <w:rPr>
          <w:rFonts w:ascii="Times New Roman" w:hAnsi="Times New Roman" w:cs="Times New Roman"/>
          <w:sz w:val="24"/>
          <w:szCs w:val="24"/>
        </w:rPr>
        <w:t xml:space="preserve"> hodnot</w:t>
      </w:r>
      <w:r>
        <w:rPr>
          <w:rFonts w:ascii="Times New Roman" w:hAnsi="Times New Roman" w:cs="Times New Roman"/>
          <w:sz w:val="24"/>
          <w:szCs w:val="24"/>
        </w:rPr>
        <w:t>y</w:t>
      </w:r>
      <w:r w:rsidRPr="008D2B39">
        <w:rPr>
          <w:rFonts w:ascii="Times New Roman" w:hAnsi="Times New Roman" w:cs="Times New Roman"/>
          <w:sz w:val="24"/>
          <w:szCs w:val="24"/>
        </w:rPr>
        <w:t xml:space="preserve"> úľavy na dani uveden</w:t>
      </w:r>
      <w:r>
        <w:rPr>
          <w:rFonts w:ascii="Times New Roman" w:hAnsi="Times New Roman" w:cs="Times New Roman"/>
          <w:sz w:val="24"/>
          <w:szCs w:val="24"/>
        </w:rPr>
        <w:t>ej</w:t>
      </w:r>
      <w:r w:rsidRPr="008D2B39">
        <w:rPr>
          <w:rFonts w:ascii="Times New Roman" w:hAnsi="Times New Roman" w:cs="Times New Roman"/>
          <w:sz w:val="24"/>
          <w:szCs w:val="24"/>
        </w:rPr>
        <w:t xml:space="preserve"> v rozhodnutí o schválení investičnej pomoci</w:t>
      </w:r>
      <w:r>
        <w:rPr>
          <w:rFonts w:ascii="Times New Roman" w:hAnsi="Times New Roman" w:cs="Times New Roman"/>
          <w:sz w:val="24"/>
          <w:szCs w:val="24"/>
        </w:rPr>
        <w:t>,</w:t>
      </w:r>
      <w:r w:rsidRPr="001246B4">
        <w:rPr>
          <w:rFonts w:ascii="Times New Roman" w:hAnsi="Times New Roman" w:cs="Times New Roman"/>
          <w:sz w:val="24"/>
          <w:szCs w:val="24"/>
        </w:rPr>
        <w:t xml:space="preserve"> </w:t>
      </w:r>
      <w:r w:rsidRPr="008D2B39">
        <w:rPr>
          <w:rFonts w:ascii="Times New Roman" w:hAnsi="Times New Roman" w:cs="Times New Roman"/>
          <w:sz w:val="24"/>
          <w:szCs w:val="24"/>
        </w:rPr>
        <w:t>nárok na úľavu na daní zaniká v plnom rozsahu.</w:t>
      </w:r>
      <w:r>
        <w:rPr>
          <w:rFonts w:ascii="Times New Roman" w:hAnsi="Times New Roman" w:cs="Times New Roman"/>
          <w:sz w:val="24"/>
          <w:szCs w:val="24"/>
        </w:rPr>
        <w:t xml:space="preserve">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6</w:t>
      </w:r>
      <w:r>
        <w:rPr>
          <w:rFonts w:ascii="Times New Roman" w:hAnsi="Times New Roman" w:cs="Times New Roman"/>
          <w:b/>
          <w:sz w:val="24"/>
          <w:szCs w:val="24"/>
          <w:u w:val="single"/>
        </w:rPr>
        <w:t>4</w:t>
      </w:r>
      <w:r w:rsidRPr="003941D0">
        <w:rPr>
          <w:rFonts w:ascii="Times New Roman" w:hAnsi="Times New Roman" w:cs="Times New Roman"/>
          <w:b/>
          <w:sz w:val="24"/>
          <w:szCs w:val="24"/>
          <w:u w:val="single"/>
        </w:rPr>
        <w:t xml:space="preserve"> - § 30c ods. 1 </w:t>
      </w:r>
    </w:p>
    <w:p w:rsidR="007B2961" w:rsidRPr="003941D0" w:rsidP="007B2961">
      <w:pPr>
        <w:pStyle w:val="ListParagraph"/>
        <w:shd w:val="clear" w:color="auto" w:fill="FFFFFF"/>
        <w:bidi w:val="0"/>
        <w:ind w:left="0"/>
        <w:jc w:val="both"/>
        <w:rPr>
          <w:rFonts w:ascii="Times New Roman" w:hAnsi="Times New Roman"/>
        </w:rPr>
      </w:pPr>
      <w:r w:rsidRPr="003941D0">
        <w:rPr>
          <w:rFonts w:ascii="Times New Roman" w:hAnsi="Times New Roman"/>
        </w:rPr>
        <w:t>Navrhovanou úpravou sa mení výpočet odpočtu výdavkov (nákladov) na výskum a vývoj, v dôsledku čoho prichádza k zvýšeniu odpočtu. Základnou sumou na odpočet u daňovníka, ktorý realizuje projekt výskumu a vývoja, je 100 % zaúčtovaných výdavkov (nákladov) na výskum a vývoj po úprave podľa ods. 4 a 5. Výdavky (náklady) vynaložené na výskum a vývoj sa v tejto časti odpočtu sledujú na úrovni jednotlivého projektu výskumu a vývoja.</w:t>
      </w:r>
    </w:p>
    <w:p w:rsidR="007B2961" w:rsidRPr="003941D0" w:rsidP="007B2961">
      <w:pPr>
        <w:pStyle w:val="ListParagraph"/>
        <w:shd w:val="clear" w:color="auto" w:fill="FFFFFF"/>
        <w:bidi w:val="0"/>
        <w:ind w:left="0"/>
        <w:jc w:val="both"/>
        <w:rPr>
          <w:rFonts w:ascii="Times New Roman" w:hAnsi="Times New Roman"/>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65</w:t>
      </w:r>
      <w:r w:rsidRPr="00AC4812">
        <w:rPr>
          <w:rFonts w:ascii="Times New Roman" w:hAnsi="Times New Roman" w:cs="Times New Roman"/>
          <w:b/>
          <w:sz w:val="24"/>
          <w:szCs w:val="24"/>
          <w:u w:val="single"/>
        </w:rPr>
        <w:t xml:space="preserve"> - § 30c ods. 2</w:t>
      </w:r>
    </w:p>
    <w:p w:rsidR="007B2961" w:rsidRPr="00AC4812" w:rsidP="007B2961">
      <w:pPr>
        <w:shd w:val="clear" w:color="auto" w:fill="FFFFFF"/>
        <w:bidi w:val="0"/>
        <w:spacing w:after="0" w:line="240" w:lineRule="auto"/>
        <w:jc w:val="both"/>
        <w:rPr>
          <w:rFonts w:ascii="Times New Roman" w:hAnsi="Times New Roman" w:cs="Times New Roman"/>
          <w:sz w:val="24"/>
          <w:szCs w:val="24"/>
          <w:lang w:eastAsia="sk-SK"/>
        </w:rPr>
      </w:pPr>
      <w:r w:rsidRPr="00AC4812">
        <w:rPr>
          <w:rFonts w:ascii="Times New Roman" w:hAnsi="Times New Roman" w:cs="Times New Roman"/>
          <w:sz w:val="24"/>
          <w:szCs w:val="24"/>
          <w:lang w:eastAsia="sk-SK"/>
        </w:rPr>
        <w:t xml:space="preserve">V súvislosti so zmenou výpočtu odpočtu výdavkov (nákladov) na výskum a vývoj sa umožňuje v zdaňovacom období okrem sumy podľa odseku 1 odpočítať aj 100 % prírastku výdavkov (nákladov) na výskum a vývoj v úhrne za všetky projekty výskumu a vývoja. Zároveň sa presne definuje, že prírastok výdavkov (nákladov) na výskum a vývoj sa nezisťuje len ako medziročný prírastok, ale prostredníctvom priemerných výdavkov (nákladov) sa zohľadňujú až dve bezprostredne predchádzajúce zdaňovacie obdobia uplatnenia odpočtu výdavkov na výskum a vývoj. Sumu odpočtu podľa odseku 1 je možné zvýšiť o 100 % kladného rozdielu medzi </w:t>
      </w:r>
    </w:p>
    <w:p w:rsidR="007B2961" w:rsidRPr="00AC4812" w:rsidP="007B2961">
      <w:pPr>
        <w:pStyle w:val="ListParagraph"/>
        <w:numPr>
          <w:numId w:val="35"/>
        </w:numPr>
        <w:shd w:val="clear" w:color="auto" w:fill="FFFFFF"/>
        <w:bidi w:val="0"/>
        <w:ind w:left="284" w:hanging="284"/>
        <w:jc w:val="both"/>
        <w:rPr>
          <w:rFonts w:ascii="Times New Roman" w:hAnsi="Times New Roman"/>
        </w:rPr>
      </w:pPr>
      <w:r w:rsidRPr="00AC4812">
        <w:rPr>
          <w:rFonts w:ascii="Times New Roman" w:hAnsi="Times New Roman"/>
        </w:rPr>
        <w:t>priemerom súčtu výdavkov (nákladov) vynaložených v zdaňovacom období, za ktoré sa odpočet uplatňuje a výdavkov (nákladov) na výskum a vývoj vynaložených v bezprostredne predchádzajúcom zdaňovacom období a</w:t>
      </w:r>
    </w:p>
    <w:p w:rsidR="007B2961" w:rsidRPr="00AC4812" w:rsidP="007B2961">
      <w:pPr>
        <w:pStyle w:val="ListParagraph"/>
        <w:numPr>
          <w:numId w:val="35"/>
        </w:numPr>
        <w:shd w:val="clear" w:color="auto" w:fill="FFFFFF"/>
        <w:bidi w:val="0"/>
        <w:ind w:left="284" w:hanging="284"/>
        <w:jc w:val="both"/>
        <w:rPr>
          <w:rFonts w:ascii="Times New Roman" w:hAnsi="Times New Roman"/>
        </w:rPr>
      </w:pPr>
      <w:r w:rsidRPr="00AC4812">
        <w:rPr>
          <w:rFonts w:ascii="Times New Roman" w:hAnsi="Times New Roman"/>
        </w:rPr>
        <w:t xml:space="preserve">priemerom súčtu výdavkov (nákladov) vynaložených na výskum a vývoj v dvoch bezprostredne predchádzajúcich zdaňovacích obdobiach. </w:t>
      </w:r>
    </w:p>
    <w:p w:rsidR="007B2961" w:rsidRPr="00AC4812" w:rsidP="007B2961">
      <w:pPr>
        <w:bidi w:val="0"/>
        <w:spacing w:after="0" w:line="240" w:lineRule="auto"/>
        <w:jc w:val="both"/>
        <w:rPr>
          <w:rFonts w:ascii="Times New Roman" w:hAnsi="Times New Roman" w:cs="Times New Roman"/>
          <w:b/>
          <w:sz w:val="24"/>
          <w:szCs w:val="24"/>
          <w:u w:val="single"/>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bodom </w:t>
      </w:r>
      <w:r>
        <w:rPr>
          <w:rFonts w:ascii="Times New Roman" w:hAnsi="Times New Roman" w:cs="Times New Roman"/>
          <w:b/>
          <w:sz w:val="24"/>
          <w:szCs w:val="24"/>
          <w:u w:val="single"/>
        </w:rPr>
        <w:t xml:space="preserve">66, 67, 69 a 70 </w:t>
      </w:r>
      <w:r w:rsidRPr="00AC4812">
        <w:rPr>
          <w:rFonts w:ascii="Times New Roman" w:hAnsi="Times New Roman" w:cs="Times New Roman"/>
          <w:b/>
          <w:sz w:val="24"/>
          <w:szCs w:val="24"/>
          <w:u w:val="single"/>
        </w:rPr>
        <w:t>- § 30c ods. 3 až 10</w:t>
      </w:r>
    </w:p>
    <w:p w:rsidR="007B2961" w:rsidRPr="00AC4812" w:rsidP="007B2961">
      <w:pPr>
        <w:shd w:val="clear" w:color="auto" w:fill="FFFFFF"/>
        <w:bidi w:val="0"/>
        <w:spacing w:after="0" w:line="240" w:lineRule="auto"/>
        <w:jc w:val="both"/>
        <w:rPr>
          <w:rFonts w:ascii="Times New Roman" w:hAnsi="Times New Roman" w:cs="Times New Roman"/>
          <w:sz w:val="24"/>
          <w:szCs w:val="24"/>
          <w:lang w:eastAsia="sk-SK"/>
        </w:rPr>
      </w:pPr>
      <w:r w:rsidRPr="00AC4812">
        <w:rPr>
          <w:rFonts w:ascii="Times New Roman" w:hAnsi="Times New Roman" w:cs="Times New Roman"/>
          <w:sz w:val="24"/>
          <w:szCs w:val="24"/>
          <w:lang w:eastAsia="sk-SK"/>
        </w:rPr>
        <w:t>Jedná sa o legislatívno-technické úpravy, ktoré súvisia so zmenou výpočtu odpočtu výdavkov (nákladov) na výskum a vývoj.</w:t>
      </w:r>
      <w:r>
        <w:rPr>
          <w:rFonts w:ascii="Times New Roman" w:hAnsi="Times New Roman" w:cs="Times New Roman"/>
          <w:sz w:val="24"/>
          <w:szCs w:val="24"/>
          <w:lang w:eastAsia="sk-SK"/>
        </w:rPr>
        <w:t xml:space="preserve"> Zároveň sa v § 30c ods. 10 zjednocuje lehota na podanie dodatočného daňového priznanie s daňovým poriadkom.</w:t>
      </w:r>
    </w:p>
    <w:p w:rsidR="007B2961" w:rsidRPr="00AC4812" w:rsidP="007B2961">
      <w:pPr>
        <w:shd w:val="clear" w:color="auto" w:fill="FFFFFF"/>
        <w:bidi w:val="0"/>
        <w:spacing w:after="0" w:line="240" w:lineRule="auto"/>
        <w:ind w:left="-142"/>
        <w:jc w:val="both"/>
        <w:rPr>
          <w:rFonts w:ascii="Times New Roman" w:hAnsi="Times New Roman" w:cs="Times New Roman"/>
          <w:sz w:val="24"/>
          <w:szCs w:val="24"/>
          <w:lang w:eastAsia="sk-SK"/>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68</w:t>
      </w:r>
      <w:r w:rsidRPr="00AC4812">
        <w:rPr>
          <w:rFonts w:ascii="Times New Roman" w:hAnsi="Times New Roman" w:cs="Times New Roman"/>
          <w:b/>
          <w:sz w:val="24"/>
          <w:szCs w:val="24"/>
          <w:u w:val="single"/>
        </w:rPr>
        <w:t xml:space="preserve"> - § 30c ods. 5 písm. b)</w:t>
      </w:r>
    </w:p>
    <w:p w:rsidR="007B2961" w:rsidP="007B2961">
      <w:pPr>
        <w:shd w:val="clear" w:color="auto" w:fill="FFFFFF"/>
        <w:bidi w:val="0"/>
        <w:spacing w:after="0" w:line="240" w:lineRule="auto"/>
        <w:jc w:val="both"/>
        <w:rPr>
          <w:rFonts w:ascii="Times New Roman" w:hAnsi="Times New Roman" w:cs="Times New Roman"/>
          <w:sz w:val="24"/>
          <w:szCs w:val="24"/>
          <w:lang w:eastAsia="sk-SK"/>
        </w:rPr>
      </w:pPr>
      <w:r w:rsidRPr="00AC4812">
        <w:rPr>
          <w:rFonts w:ascii="Times New Roman" w:hAnsi="Times New Roman" w:cs="Times New Roman"/>
          <w:sz w:val="24"/>
          <w:szCs w:val="24"/>
          <w:lang w:eastAsia="sk-SK"/>
        </w:rPr>
        <w:t>Medzi výdavky (náklady), ktoré možno zahrnúť do odpočtu výdavkov (nákladov) na výskum a vývoj sa navrhuje zaradiť aj výdavky (náklady) na licencie za počítačový program (softvér) využívaný pri realizácii projektu výskumu a vývoja (napr. grafické a konštrukčné počítačové programy a pod.). Za výskumno-vývojový počítačový program (softvér) nemožno považovať napr. softvér zahrnutý v tzv. kancelárskych balíkoch.</w:t>
      </w:r>
    </w:p>
    <w:p w:rsidR="007B2961" w:rsidP="007B2961">
      <w:pPr>
        <w:shd w:val="clear" w:color="auto" w:fill="FFFFFF"/>
        <w:bidi w:val="0"/>
        <w:spacing w:after="0" w:line="240" w:lineRule="auto"/>
        <w:jc w:val="both"/>
        <w:rPr>
          <w:rFonts w:ascii="Times New Roman" w:hAnsi="Times New Roman" w:cs="Times New Roman"/>
          <w:sz w:val="24"/>
          <w:szCs w:val="24"/>
          <w:lang w:eastAsia="sk-SK"/>
        </w:rPr>
      </w:pPr>
    </w:p>
    <w:p w:rsidR="007B2961" w:rsidRPr="002E53C4" w:rsidP="007B2961">
      <w:pPr>
        <w:bidi w:val="0"/>
        <w:spacing w:after="0" w:line="240" w:lineRule="auto"/>
        <w:jc w:val="both"/>
        <w:rPr>
          <w:rFonts w:ascii="Times New Roman" w:hAnsi="Times New Roman" w:cs="Times New Roman"/>
          <w:b/>
          <w:strike/>
          <w:sz w:val="24"/>
          <w:szCs w:val="24"/>
          <w:u w:val="single"/>
        </w:rPr>
      </w:pPr>
      <w:r w:rsidRPr="002E53C4">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71</w:t>
      </w:r>
      <w:r w:rsidRPr="002E53C4">
        <w:rPr>
          <w:rFonts w:ascii="Times New Roman" w:hAnsi="Times New Roman" w:cs="Times New Roman"/>
          <w:b/>
          <w:sz w:val="24"/>
          <w:szCs w:val="24"/>
          <w:u w:val="single"/>
        </w:rPr>
        <w:t xml:space="preserve"> - § 32 ods. 6 písm. c) </w:t>
      </w:r>
    </w:p>
    <w:p w:rsidR="007B2961" w:rsidP="007B2961">
      <w:pPr>
        <w:bidi w:val="0"/>
        <w:spacing w:after="0" w:line="240" w:lineRule="auto"/>
        <w:jc w:val="both"/>
        <w:rPr>
          <w:rFonts w:ascii="Times New Roman" w:hAnsi="Times New Roman" w:cs="Times New Roman"/>
          <w:strike/>
          <w:color w:val="FF0000"/>
          <w:sz w:val="24"/>
          <w:szCs w:val="24"/>
        </w:rPr>
      </w:pPr>
      <w:r w:rsidRPr="00AC5B68">
        <w:rPr>
          <w:rFonts w:ascii="Times New Roman" w:hAnsi="Times New Roman" w:cs="Times New Roman"/>
          <w:sz w:val="24"/>
          <w:szCs w:val="24"/>
        </w:rPr>
        <w:t>Legislatívno-technické zmeny z dôvodu doplnenia definície daňovníka s neobmedzenou daňovou povinnosťou v § 2 písm. d)  prvom bode</w:t>
      </w:r>
      <w:r>
        <w:rPr>
          <w:rFonts w:ascii="Times New Roman" w:hAnsi="Times New Roman" w:cs="Times New Roman"/>
          <w:sz w:val="24"/>
          <w:szCs w:val="24"/>
        </w:rPr>
        <w:t xml:space="preserve">. </w:t>
      </w:r>
      <w:r w:rsidRPr="00AC5B68">
        <w:rPr>
          <w:rFonts w:ascii="Times New Roman" w:hAnsi="Times New Roman" w:cs="Times New Roman"/>
          <w:strike/>
          <w:sz w:val="24"/>
          <w:szCs w:val="24"/>
        </w:rPr>
        <w:t xml:space="preserve"> </w:t>
      </w:r>
    </w:p>
    <w:p w:rsidR="007B2961" w:rsidP="007B2961">
      <w:pPr>
        <w:bidi w:val="0"/>
        <w:spacing w:after="0" w:line="240" w:lineRule="auto"/>
        <w:jc w:val="both"/>
        <w:rPr>
          <w:rFonts w:ascii="Times New Roman" w:hAnsi="Times New Roman"/>
          <w:sz w:val="24"/>
          <w:szCs w:val="24"/>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74</w:t>
      </w:r>
      <w:r w:rsidRPr="00AC4812">
        <w:rPr>
          <w:rFonts w:ascii="Times New Roman" w:hAnsi="Times New Roman" w:cs="Times New Roman"/>
          <w:b/>
          <w:sz w:val="24"/>
          <w:szCs w:val="24"/>
          <w:u w:val="single"/>
        </w:rPr>
        <w:t xml:space="preserve"> - § 33 ods. 2</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Cieľom navrhovanej úpravy je, aby si nárok na daňový bonus na dieťa mohol uplatniť aj ten daňovník, ktorý bol náhradným rodičom nezaopatreného dieťaťa, a ktorý je naďalej „náhradným rodičom“ tohto už plnoletého nezaopatreného dieťaťa, ak sa toto dieťa sústavne pripravuje na povolanie štúdiom a zároveň platí, že do dosiahnutia plnoletosti bolo zverené do starostlivosti nahrádzajúcej starostlivosť rodičov. Kvôli spresneniu na účely zákona sa starostlivosťou nahrádzajúcou starostlivosť rodičov rozumie:</w:t>
      </w:r>
    </w:p>
    <w:p w:rsidR="007B2961" w:rsidRPr="00AC4812" w:rsidP="007B2961">
      <w:pPr>
        <w:pStyle w:val="ListParagraph"/>
        <w:numPr>
          <w:numId w:val="36"/>
        </w:numPr>
        <w:bidi w:val="0"/>
        <w:contextualSpacing w:val="0"/>
        <w:jc w:val="both"/>
        <w:rPr>
          <w:rFonts w:ascii="Times New Roman" w:hAnsi="Times New Roman"/>
        </w:rPr>
      </w:pPr>
      <w:r w:rsidRPr="00AC4812">
        <w:rPr>
          <w:rFonts w:ascii="Times New Roman" w:hAnsi="Times New Roman"/>
        </w:rPr>
        <w:t>zverenie maloletého dieťaťa do osobnej starostlivosti inej fyzickej osoby než rodiča</w:t>
      </w:r>
    </w:p>
    <w:p w:rsidR="007B2961" w:rsidRPr="00AC4812" w:rsidP="007B2961">
      <w:pPr>
        <w:pStyle w:val="ListParagraph"/>
        <w:numPr>
          <w:numId w:val="36"/>
        </w:numPr>
        <w:bidi w:val="0"/>
        <w:contextualSpacing w:val="0"/>
        <w:jc w:val="both"/>
        <w:rPr>
          <w:rFonts w:ascii="Times New Roman" w:hAnsi="Times New Roman"/>
        </w:rPr>
      </w:pPr>
      <w:r w:rsidRPr="00AC4812">
        <w:rPr>
          <w:rFonts w:ascii="Times New Roman" w:hAnsi="Times New Roman"/>
        </w:rPr>
        <w:t>pestúnska starostlivosť</w:t>
      </w:r>
    </w:p>
    <w:p w:rsidR="007B2961" w:rsidRPr="00AC4812" w:rsidP="007B2961">
      <w:pPr>
        <w:pStyle w:val="ListParagraph"/>
        <w:numPr>
          <w:numId w:val="36"/>
        </w:numPr>
        <w:bidi w:val="0"/>
        <w:contextualSpacing w:val="0"/>
        <w:jc w:val="both"/>
        <w:rPr>
          <w:rFonts w:ascii="Times New Roman" w:hAnsi="Times New Roman"/>
        </w:rPr>
      </w:pPr>
      <w:r w:rsidRPr="00AC4812">
        <w:rPr>
          <w:rFonts w:ascii="Times New Roman" w:hAnsi="Times New Roman"/>
        </w:rPr>
        <w:t>poručníctvo, ak sa poručník osobne stará o dieťa</w:t>
      </w:r>
    </w:p>
    <w:p w:rsidR="007B2961" w:rsidRPr="00AC4812" w:rsidP="007B2961">
      <w:pPr>
        <w:pStyle w:val="ListParagraph"/>
        <w:numPr>
          <w:numId w:val="36"/>
        </w:numPr>
        <w:bidi w:val="0"/>
        <w:contextualSpacing w:val="0"/>
        <w:jc w:val="both"/>
        <w:rPr>
          <w:rFonts w:ascii="Times New Roman" w:hAnsi="Times New Roman"/>
        </w:rPr>
      </w:pPr>
      <w:r w:rsidRPr="00AC4812">
        <w:rPr>
          <w:rFonts w:ascii="Times New Roman" w:hAnsi="Times New Roman"/>
        </w:rPr>
        <w:t xml:space="preserve">zverenie dieťaťa do starostlivosti fyzickej osoby rozhodnutím súdu o nariadení neodkladného opatrenia, ak súd koná o zverení dieťaťa do náhradnej starostlivosti tejto fyzickej osobe (§ 365 zákona č. 161/2015 Z.z. Civilný mimosporový poriadok) </w:t>
      </w:r>
    </w:p>
    <w:p w:rsidR="007B2961" w:rsidRPr="00AC4812" w:rsidP="007B2961">
      <w:pPr>
        <w:pStyle w:val="ListParagraph"/>
        <w:numPr>
          <w:numId w:val="36"/>
        </w:numPr>
        <w:bidi w:val="0"/>
        <w:contextualSpacing w:val="0"/>
        <w:jc w:val="both"/>
        <w:rPr>
          <w:rFonts w:ascii="Times New Roman" w:hAnsi="Times New Roman"/>
        </w:rPr>
      </w:pPr>
      <w:r w:rsidRPr="00AC4812">
        <w:rPr>
          <w:rFonts w:ascii="Times New Roman" w:hAnsi="Times New Roman"/>
        </w:rPr>
        <w:t>zverenie dieťaťa do predosvojiteľskej starostlivosti.</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Oprávnenosť nároku na daňový bonus môže daňovník preukázať napr. potvrdením príslušného úradu o poberaní prídavku na vyživované dieťa vystavené tomuto vyživovanému dieťaťu. Nárok na daňový bonus na plnoleté nezaopatrené dieťa, ktoré sa sústavne pripravuje na povolanie štúdiom a do dosiahnutia plnoletosti bolo zverené do starostlivosti nahrádzajúcej starostlivosť rodičov, si môže daňovník prvýkrát uplatniť už za zdaňovacie obdobie 2017. </w:t>
      </w:r>
    </w:p>
    <w:p w:rsidR="007B2961" w:rsidRPr="00AC4812" w:rsidP="007B2961">
      <w:pPr>
        <w:shd w:val="clear" w:color="auto" w:fill="FFFFFF"/>
        <w:bidi w:val="0"/>
        <w:spacing w:after="0" w:line="240" w:lineRule="auto"/>
        <w:jc w:val="both"/>
        <w:rPr>
          <w:rFonts w:ascii="Times New Roman" w:hAnsi="Times New Roman" w:cs="Times New Roman"/>
          <w:sz w:val="24"/>
          <w:szCs w:val="24"/>
          <w:lang w:eastAsia="sk-SK"/>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 xml:space="preserve">K bodom </w:t>
      </w:r>
      <w:r>
        <w:rPr>
          <w:rFonts w:ascii="Times New Roman" w:hAnsi="Times New Roman" w:cs="Times New Roman"/>
          <w:b/>
          <w:sz w:val="24"/>
          <w:szCs w:val="24"/>
          <w:u w:val="single"/>
        </w:rPr>
        <w:t>80</w:t>
      </w:r>
      <w:r w:rsidRPr="00AC4812">
        <w:rPr>
          <w:rFonts w:ascii="Times New Roman" w:hAnsi="Times New Roman" w:cs="Times New Roman"/>
          <w:b/>
          <w:sz w:val="24"/>
          <w:szCs w:val="24"/>
          <w:u w:val="single"/>
        </w:rPr>
        <w:t xml:space="preserve"> až </w:t>
      </w:r>
      <w:r>
        <w:rPr>
          <w:rFonts w:ascii="Times New Roman" w:hAnsi="Times New Roman" w:cs="Times New Roman"/>
          <w:b/>
          <w:sz w:val="24"/>
          <w:szCs w:val="24"/>
          <w:u w:val="single"/>
        </w:rPr>
        <w:t>82</w:t>
      </w:r>
      <w:r w:rsidRPr="00AC4812">
        <w:rPr>
          <w:rFonts w:ascii="Times New Roman" w:hAnsi="Times New Roman" w:cs="Times New Roman"/>
          <w:b/>
          <w:sz w:val="24"/>
          <w:szCs w:val="24"/>
          <w:u w:val="single"/>
        </w:rPr>
        <w:t xml:space="preserve">, </w:t>
      </w:r>
      <w:r>
        <w:rPr>
          <w:rFonts w:ascii="Times New Roman" w:hAnsi="Times New Roman" w:cs="Times New Roman"/>
          <w:b/>
          <w:sz w:val="24"/>
          <w:szCs w:val="24"/>
          <w:u w:val="single"/>
        </w:rPr>
        <w:t>90, 92,</w:t>
      </w:r>
      <w:r w:rsidRPr="00AC4812">
        <w:rPr>
          <w:rFonts w:ascii="Times New Roman" w:hAnsi="Times New Roman" w:cs="Times New Roman"/>
          <w:b/>
          <w:sz w:val="24"/>
          <w:szCs w:val="24"/>
          <w:u w:val="single"/>
        </w:rPr>
        <w:t xml:space="preserve"> </w:t>
      </w:r>
      <w:r>
        <w:rPr>
          <w:rFonts w:ascii="Times New Roman" w:hAnsi="Times New Roman" w:cs="Times New Roman"/>
          <w:b/>
          <w:sz w:val="24"/>
          <w:szCs w:val="24"/>
          <w:u w:val="single"/>
        </w:rPr>
        <w:t>121 a 122, 124 až 126</w:t>
      </w:r>
      <w:r w:rsidRPr="00AC4812">
        <w:rPr>
          <w:rFonts w:ascii="Times New Roman" w:hAnsi="Times New Roman" w:cs="Times New Roman"/>
          <w:b/>
          <w:sz w:val="24"/>
          <w:szCs w:val="24"/>
          <w:u w:val="single"/>
        </w:rPr>
        <w:t xml:space="preserve"> - § 38 ods. 1 až 3, § 39 ods. 7, § 39 ods. 9 písm. b), § 50 ods. </w:t>
      </w:r>
      <w:r>
        <w:rPr>
          <w:rFonts w:ascii="Times New Roman" w:hAnsi="Times New Roman" w:cs="Times New Roman"/>
          <w:b/>
          <w:sz w:val="24"/>
          <w:szCs w:val="24"/>
          <w:u w:val="single"/>
        </w:rPr>
        <w:t xml:space="preserve">1 písm. a) a ods. </w:t>
      </w:r>
      <w:r w:rsidRPr="00AC4812">
        <w:rPr>
          <w:rFonts w:ascii="Times New Roman" w:hAnsi="Times New Roman" w:cs="Times New Roman"/>
          <w:b/>
          <w:sz w:val="24"/>
          <w:szCs w:val="24"/>
          <w:u w:val="single"/>
        </w:rPr>
        <w:t>3, § 50 ods. 6 písm. a) a</w:t>
      </w:r>
      <w:r>
        <w:rPr>
          <w:rFonts w:ascii="Times New Roman" w:hAnsi="Times New Roman" w:cs="Times New Roman"/>
          <w:b/>
          <w:sz w:val="24"/>
          <w:szCs w:val="24"/>
          <w:u w:val="single"/>
        </w:rPr>
        <w:t> f)</w:t>
      </w:r>
      <w:r w:rsidRPr="00AC4812">
        <w:rPr>
          <w:rFonts w:ascii="Times New Roman" w:hAnsi="Times New Roman" w:cs="Times New Roman"/>
          <w:b/>
          <w:sz w:val="24"/>
          <w:szCs w:val="24"/>
          <w:u w:val="single"/>
        </w:rPr>
        <w:t xml:space="preserve"> § 50 ods. 7</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 xml:space="preserve">Navrhovanou úpravou dochádza k vráteniu legislatívneho znenia k postupu použitia podielu zaplatenej dane zamestnancov v súlade s legislatívnou úpravou účinnou do 31.12.2015. K predmetnému návrhu sa pristúpilo po predchádzajúcich konzultáciách so zástupcami mimovládnych neziskových organizácií. Medzi hlavné dôvody predkladaného návrhu patria: </w:t>
      </w:r>
    </w:p>
    <w:p w:rsidR="007B2961" w:rsidRPr="00AC4812" w:rsidP="007B2961">
      <w:pPr>
        <w:bidi w:val="0"/>
        <w:spacing w:after="0" w:line="240" w:lineRule="auto"/>
        <w:rPr>
          <w:rFonts w:ascii="Times New Roman" w:hAnsi="Times New Roman" w:cs="Times New Roman"/>
          <w:sz w:val="24"/>
          <w:szCs w:val="24"/>
        </w:rPr>
      </w:pPr>
      <w:r w:rsidRPr="00AC4812">
        <w:rPr>
          <w:rFonts w:ascii="Times New Roman" w:hAnsi="Times New Roman" w:cs="Times New Roman"/>
          <w:sz w:val="24"/>
          <w:szCs w:val="24"/>
        </w:rPr>
        <w:t xml:space="preserve">- veľká administratívna záťaž pre zamestnávateľov, </w:t>
      </w:r>
    </w:p>
    <w:p w:rsidR="007B2961" w:rsidRPr="00AC4812" w:rsidP="007B2961">
      <w:pPr>
        <w:bidi w:val="0"/>
        <w:spacing w:after="0" w:line="240" w:lineRule="auto"/>
        <w:ind w:left="142" w:hanging="142"/>
        <w:jc w:val="both"/>
        <w:rPr>
          <w:rFonts w:ascii="Times New Roman" w:hAnsi="Times New Roman" w:cs="Times New Roman"/>
          <w:sz w:val="24"/>
          <w:szCs w:val="24"/>
        </w:rPr>
      </w:pPr>
      <w:r w:rsidRPr="00AC4812">
        <w:rPr>
          <w:rFonts w:ascii="Times New Roman" w:hAnsi="Times New Roman" w:cs="Times New Roman"/>
          <w:sz w:val="24"/>
          <w:szCs w:val="24"/>
        </w:rPr>
        <w:t>- prenos zodpovednosti za správnosť postupu pri asignácii dane zo zamestnanca na zamestnávateľa,</w:t>
      </w:r>
    </w:p>
    <w:p w:rsidR="007B2961" w:rsidRPr="00AC4812" w:rsidP="007B2961">
      <w:pPr>
        <w:bidi w:val="0"/>
        <w:spacing w:after="0" w:line="240" w:lineRule="auto"/>
        <w:rPr>
          <w:rFonts w:ascii="Times New Roman" w:hAnsi="Times New Roman" w:cs="Times New Roman"/>
          <w:sz w:val="24"/>
          <w:szCs w:val="24"/>
        </w:rPr>
      </w:pPr>
      <w:r w:rsidRPr="00AC4812">
        <w:rPr>
          <w:rFonts w:ascii="Times New Roman" w:hAnsi="Times New Roman" w:cs="Times New Roman"/>
          <w:sz w:val="24"/>
          <w:szCs w:val="24"/>
        </w:rPr>
        <w:t xml:space="preserve">- značné finančné náklady spojené s úpravou mzdového softvéru zamestnávateľov, </w:t>
      </w:r>
    </w:p>
    <w:p w:rsidR="007B2961" w:rsidP="007B2961">
      <w:pPr>
        <w:bidi w:val="0"/>
        <w:spacing w:after="0" w:line="240" w:lineRule="auto"/>
        <w:ind w:left="142" w:hanging="142"/>
        <w:jc w:val="both"/>
        <w:rPr>
          <w:rFonts w:ascii="Times New Roman" w:hAnsi="Times New Roman" w:cs="Times New Roman"/>
          <w:sz w:val="24"/>
          <w:szCs w:val="24"/>
        </w:rPr>
      </w:pPr>
      <w:r w:rsidRPr="00AC4812">
        <w:rPr>
          <w:rFonts w:ascii="Times New Roman" w:hAnsi="Times New Roman" w:cs="Times New Roman"/>
          <w:sz w:val="24"/>
          <w:szCs w:val="24"/>
        </w:rPr>
        <w:t>- skrátenie lehoty na rozhodovanie pre asignáciu dane u zamestnanca v príslušnom zdaňovacom období z 30. apríla na 15. februára.</w:t>
      </w:r>
    </w:p>
    <w:p w:rsidR="007B2961" w:rsidRPr="002668B4" w:rsidP="007B2961">
      <w:pPr>
        <w:bidi w:val="0"/>
        <w:spacing w:after="0" w:line="240" w:lineRule="auto"/>
        <w:jc w:val="both"/>
        <w:rPr>
          <w:rFonts w:ascii="Times New Roman" w:hAnsi="Times New Roman" w:cs="Times New Roman"/>
          <w:sz w:val="24"/>
          <w:szCs w:val="24"/>
        </w:rPr>
      </w:pPr>
      <w:r w:rsidRPr="002668B4">
        <w:rPr>
          <w:rFonts w:ascii="Times New Roman" w:hAnsi="Times New Roman" w:cs="Times New Roman"/>
          <w:sz w:val="24"/>
          <w:szCs w:val="24"/>
        </w:rPr>
        <w:t>Zamestnávateľovi sa ukladá nová lehota na vystavenie potvrdenia o zaplatení dane z príjmov zo závislej činnosti na účely poukázania podielu zaplatenej dane z dôvodu, aby mal zamestnanec dostatok času na uhradenie daňového nedoplatku, ktorý mu vyplýva z ročného zúčtovania. Ide o prípady, keď zamestnávateľ daňový nedoplatok zamestnancovi nezrazil alebo nemohol zraziť (napr. zamestnanec už u neho nepracuje, resp. nedosahuje zdaniteľný príjem) a potvrdenie o zaplatení dane vystavil a doručil zamestnancovi spolu s dokladom o vykonanom ročnom zúčtovaní v zákonnom avšak nie dostatočnom termíne na to, aby zamestnanec stihol uhradiť daňový nedoplatok na účet správcu dane do 30. apríla.</w:t>
      </w:r>
    </w:p>
    <w:p w:rsidR="007B2961" w:rsidP="007B2961">
      <w:pPr>
        <w:bidi w:val="0"/>
        <w:spacing w:after="0" w:line="240" w:lineRule="auto"/>
        <w:rPr>
          <w:rFonts w:ascii="Arial Narrow" w:hAnsi="Arial Narrow"/>
          <w:b/>
          <w:bCs/>
          <w:color w:val="1F497D"/>
          <w:sz w:val="20"/>
          <w:szCs w:val="20"/>
          <w:lang w:eastAsia="sk-SK"/>
        </w:rPr>
      </w:pPr>
    </w:p>
    <w:p w:rsidR="007B2961" w:rsidRPr="00D70344" w:rsidP="007B2961">
      <w:pPr>
        <w:bidi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Pr="00D70344">
        <w:rPr>
          <w:rFonts w:ascii="Times New Roman" w:hAnsi="Times New Roman" w:cs="Times New Roman"/>
          <w:b/>
          <w:sz w:val="24"/>
          <w:szCs w:val="24"/>
          <w:u w:val="single"/>
        </w:rPr>
        <w:t>K bodu 88 - § 38 ods. 11</w:t>
      </w:r>
    </w:p>
    <w:p w:rsidR="007B2961" w:rsidP="007B2961">
      <w:pPr>
        <w:bidi w:val="0"/>
        <w:spacing w:after="0" w:line="240" w:lineRule="auto"/>
        <w:jc w:val="both"/>
        <w:rPr>
          <w:rFonts w:ascii="Times New Roman" w:hAnsi="Times New Roman" w:cs="Times New Roman"/>
          <w:sz w:val="24"/>
          <w:szCs w:val="24"/>
        </w:rPr>
      </w:pPr>
      <w:r w:rsidRPr="00D70344">
        <w:rPr>
          <w:rFonts w:ascii="Times New Roman" w:hAnsi="Times New Roman" w:cs="Times New Roman"/>
          <w:sz w:val="24"/>
          <w:szCs w:val="24"/>
        </w:rPr>
        <w:t>Navrhuje sa ustanoviť osobitný právny režim realizácie daňovej povinnosti tak, aby sa plnenie tejto povinnosti v rámci zabezpečovania ekonomických záujmov štátu na jednej strane súčasne neohrozovalo alebo nevylučovalo zabezpečovanie ochrany bezpečnostných záujmov štátu na strane druhej. Navrhovaný mechanizmus plnenia daňovej povinnosti zabezpečuje rovnováhu medzi týmito základnými záujmami štátu a ich súbežné plnenie bez toho, aby plnenie jedného z nich ohrozovalo plnenie druhého.</w:t>
      </w:r>
    </w:p>
    <w:p w:rsidR="007B2961" w:rsidRPr="00D70344" w:rsidP="007B2961">
      <w:pPr>
        <w:bidi w:val="0"/>
        <w:spacing w:after="0" w:line="240" w:lineRule="auto"/>
        <w:jc w:val="both"/>
        <w:rPr>
          <w:rFonts w:ascii="Times New Roman" w:hAnsi="Times New Roman" w:cs="Times New Roman"/>
          <w:sz w:val="24"/>
          <w:szCs w:val="24"/>
        </w:rPr>
      </w:pPr>
    </w:p>
    <w:p w:rsidR="007B2961" w:rsidRPr="00AC4812" w:rsidP="007B2961">
      <w:pPr>
        <w:bidi w:val="0"/>
        <w:spacing w:after="0" w:line="240" w:lineRule="auto"/>
        <w:jc w:val="both"/>
        <w:rPr>
          <w:rFonts w:ascii="Times New Roman" w:hAnsi="Times New Roman" w:cs="Times New Roman"/>
          <w:b/>
          <w:sz w:val="24"/>
          <w:szCs w:val="24"/>
          <w:u w:val="single"/>
        </w:rPr>
      </w:pPr>
      <w:r w:rsidRPr="00AC4812">
        <w:rPr>
          <w:rFonts w:ascii="Times New Roman" w:hAnsi="Times New Roman" w:cs="Times New Roman"/>
          <w:b/>
          <w:sz w:val="24"/>
          <w:szCs w:val="24"/>
          <w:u w:val="single"/>
        </w:rPr>
        <w:t>K</w:t>
      </w:r>
      <w:r>
        <w:rPr>
          <w:rFonts w:ascii="Times New Roman" w:hAnsi="Times New Roman" w:cs="Times New Roman"/>
          <w:b/>
          <w:sz w:val="24"/>
          <w:szCs w:val="24"/>
          <w:u w:val="single"/>
        </w:rPr>
        <w:t> </w:t>
      </w:r>
      <w:r w:rsidRPr="00AC4812">
        <w:rPr>
          <w:rFonts w:ascii="Times New Roman" w:hAnsi="Times New Roman" w:cs="Times New Roman"/>
          <w:b/>
          <w:sz w:val="24"/>
          <w:szCs w:val="24"/>
          <w:u w:val="single"/>
        </w:rPr>
        <w:t>bod</w:t>
      </w:r>
      <w:r>
        <w:rPr>
          <w:rFonts w:ascii="Times New Roman" w:hAnsi="Times New Roman" w:cs="Times New Roman"/>
          <w:b/>
          <w:sz w:val="24"/>
          <w:szCs w:val="24"/>
          <w:u w:val="single"/>
        </w:rPr>
        <w:t>om 96 a 97</w:t>
      </w:r>
      <w:r w:rsidRPr="00AC4812">
        <w:rPr>
          <w:rFonts w:ascii="Times New Roman" w:hAnsi="Times New Roman" w:cs="Times New Roman"/>
          <w:b/>
          <w:sz w:val="24"/>
          <w:szCs w:val="24"/>
          <w:u w:val="single"/>
        </w:rPr>
        <w:t xml:space="preserve"> - § 40 ods. 12 písm. a) a b) </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Navrhovaná úprava zákona nadväzuje na znenie zákona č. 563/2003 Z.</w:t>
      </w:r>
      <w:r>
        <w:rPr>
          <w:rFonts w:ascii="Times New Roman" w:hAnsi="Times New Roman" w:cs="Times New Roman"/>
          <w:sz w:val="24"/>
          <w:szCs w:val="24"/>
        </w:rPr>
        <w:t xml:space="preserve"> </w:t>
      </w:r>
      <w:r w:rsidRPr="00AC4812">
        <w:rPr>
          <w:rFonts w:ascii="Times New Roman" w:hAnsi="Times New Roman" w:cs="Times New Roman"/>
          <w:sz w:val="24"/>
          <w:szCs w:val="24"/>
        </w:rPr>
        <w:t>z. o správe daní (daňový poriadok) novelizovaného zákonom č. 298/2016 Z.</w:t>
      </w:r>
      <w:r>
        <w:rPr>
          <w:rFonts w:ascii="Times New Roman" w:hAnsi="Times New Roman" w:cs="Times New Roman"/>
          <w:sz w:val="24"/>
          <w:szCs w:val="24"/>
        </w:rPr>
        <w:t xml:space="preserve"> </w:t>
      </w:r>
      <w:r w:rsidRPr="00AC4812">
        <w:rPr>
          <w:rFonts w:ascii="Times New Roman" w:hAnsi="Times New Roman" w:cs="Times New Roman"/>
          <w:sz w:val="24"/>
          <w:szCs w:val="24"/>
        </w:rPr>
        <w:t>z. s účinnosťou od 1.1.2017. Správca dane nebude určovať daňový bonus ani zamestnaneckú prémiu podľa pomôcok tomu zamestnávateľovi, ktorý si nesplní povinnosť v lehote určenej správcom dane vo výzve na odstránenie nedostatkov hlásenia a správca dane nezačal daňovú kontrolu. Ak zamestnávateľ v lehote určenej správcom dane vo výzve neodstráni nedostatky hlásenia, ktoré majú vplyv na výšku daňového bonusu alebo zamestnaneckej prémie, správca dane vykoná u zamestnávateľa daňovú kontrolu alebo vyrubí v skrátenom vyrubovacom konaní daň alebo rozdiel dane oproti vyrubenej dani, alebo určí sumu alebo rozdiel v sume, ktorú mal daňovník vykázať alebo na ktorú si uplatnil nárok. Uvedené sa vzťahuje aj na daňovníka, ktorý si v podanom daňovom priznaní uplatňuje nárok na daňový bonus alebo na zamestnaneckú prémiu.</w:t>
      </w:r>
    </w:p>
    <w:p w:rsidR="007B2961" w:rsidRPr="00AC4812" w:rsidP="007B2961">
      <w:pPr>
        <w:bidi w:val="0"/>
        <w:spacing w:after="0" w:line="240" w:lineRule="auto"/>
        <w:ind w:left="142" w:hanging="142"/>
        <w:jc w:val="both"/>
        <w:rPr>
          <w:rFonts w:ascii="Times New Roman" w:hAnsi="Times New Roman" w:cs="Times New Roman"/>
          <w:sz w:val="24"/>
          <w:szCs w:val="24"/>
        </w:rPr>
      </w:pPr>
    </w:p>
    <w:p w:rsidR="007B2961" w:rsidRPr="00DA4547" w:rsidP="007B2961">
      <w:pPr>
        <w:bidi w:val="0"/>
        <w:spacing w:after="0" w:line="240" w:lineRule="auto"/>
        <w:jc w:val="both"/>
        <w:rPr>
          <w:rFonts w:ascii="Times New Roman" w:hAnsi="Times New Roman" w:cs="Times New Roman"/>
          <w:b/>
          <w:sz w:val="24"/>
          <w:szCs w:val="24"/>
          <w:u w:val="single"/>
        </w:rPr>
      </w:pPr>
      <w:r w:rsidRPr="00DA4547">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101</w:t>
      </w:r>
      <w:r w:rsidRPr="00DA4547">
        <w:rPr>
          <w:rFonts w:ascii="Times New Roman" w:hAnsi="Times New Roman" w:cs="Times New Roman"/>
          <w:b/>
          <w:sz w:val="24"/>
          <w:szCs w:val="24"/>
          <w:u w:val="single"/>
        </w:rPr>
        <w:t xml:space="preserve"> - § 43 ods. 2</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Z dôvodu právnej istoty sa  ustanovenie spresňuje v tom smere, že výnimka pre výber zrážkovej dane v prípade stálych prevádzkarni daňovníkov s obmedzenou daňovou povinnosťou sa vzťahuje na tie stále prevádzkarne, ktoré sú riadne registrované podľa § 49a ods. 5 zákona. </w:t>
      </w:r>
    </w:p>
    <w:p w:rsidR="007B2961" w:rsidRPr="003941D0" w:rsidP="007B2961">
      <w:pPr>
        <w:bidi w:val="0"/>
        <w:spacing w:after="0" w:line="240" w:lineRule="auto"/>
        <w:jc w:val="both"/>
        <w:rPr>
          <w:rFonts w:ascii="Times New Roman" w:hAnsi="Times New Roman" w:cs="Times New Roman"/>
          <w:sz w:val="24"/>
          <w:szCs w:val="24"/>
        </w:rPr>
      </w:pPr>
    </w:p>
    <w:p w:rsidR="00A57582" w:rsidP="007B2961">
      <w:pPr>
        <w:bidi w:val="0"/>
        <w:spacing w:after="0" w:line="240" w:lineRule="auto"/>
        <w:jc w:val="both"/>
        <w:rPr>
          <w:rFonts w:ascii="Times New Roman" w:hAnsi="Times New Roman" w:cs="Times New Roman"/>
          <w:b/>
          <w:sz w:val="24"/>
          <w:szCs w:val="24"/>
          <w:u w:val="single"/>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104</w:t>
      </w:r>
      <w:r w:rsidRPr="003941D0">
        <w:rPr>
          <w:rFonts w:ascii="Times New Roman" w:hAnsi="Times New Roman" w:cs="Times New Roman"/>
          <w:b/>
          <w:sz w:val="24"/>
          <w:szCs w:val="24"/>
          <w:u w:val="single"/>
        </w:rPr>
        <w:t xml:space="preserve"> - § 43 ods. 6 písm. b)</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Doplnené v zmysle úpravy § 16 ods. 1 písm. e) desiateho bodu.</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10</w:t>
      </w:r>
      <w:r>
        <w:rPr>
          <w:rFonts w:ascii="Times New Roman" w:hAnsi="Times New Roman" w:cs="Times New Roman"/>
          <w:b/>
          <w:sz w:val="24"/>
          <w:szCs w:val="24"/>
          <w:u w:val="single"/>
        </w:rPr>
        <w:t>5</w:t>
      </w:r>
      <w:r w:rsidRPr="003941D0">
        <w:rPr>
          <w:rFonts w:ascii="Times New Roman" w:hAnsi="Times New Roman" w:cs="Times New Roman"/>
          <w:b/>
          <w:sz w:val="24"/>
          <w:szCs w:val="24"/>
          <w:u w:val="single"/>
        </w:rPr>
        <w:t xml:space="preserve"> - § 43 ods. 10</w:t>
      </w:r>
    </w:p>
    <w:p w:rsidR="007B2961" w:rsidRPr="00E770DD" w:rsidP="007B2961">
      <w:pPr>
        <w:bidi w:val="0"/>
        <w:spacing w:after="0" w:line="240" w:lineRule="auto"/>
        <w:jc w:val="both"/>
        <w:rPr>
          <w:rFonts w:ascii="Times New Roman" w:hAnsi="Times New Roman" w:cs="Times New Roman"/>
          <w:sz w:val="24"/>
          <w:szCs w:val="24"/>
        </w:rPr>
      </w:pPr>
      <w:r w:rsidRPr="00E770DD">
        <w:rPr>
          <w:rFonts w:ascii="Times New Roman" w:hAnsi="Times New Roman" w:cs="Times New Roman"/>
          <w:sz w:val="24"/>
          <w:szCs w:val="24"/>
        </w:rPr>
        <w:t xml:space="preserve">Z dôvodu právnej istoty sa ustanovenie spresňuje v tom smere, že za pripísanie úhrady v prospech daňovníka sa nepovažuje len pripísanie platby na bankový účet daňovníka, ale aj situácia, v ktorej je priama platba nahradená vzájomným započítam pohľadávok a záväzkov medzi dotknutými osobami alebo situácia, ak zriaďovateľ stálej prevádzkarne priradí náklady stálej prevádzkarni, ktoré sú uhradené zriaďovateľom v inom štáte. Toto zohľadňuje aj medzinárodnú prax v kontexte medzinárodných zmlúv – článok 7 ods. 3 väčšiny zmlúv o zamedzení dvojitého zdanenia a tiež články 11 ods. 5 a 12 ods. 5 zmlúv o zamedzení dvojitého zdanenia.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bodom 10</w:t>
      </w:r>
      <w:r>
        <w:rPr>
          <w:rFonts w:ascii="Times New Roman" w:hAnsi="Times New Roman" w:cs="Times New Roman"/>
          <w:b/>
          <w:sz w:val="24"/>
          <w:szCs w:val="24"/>
          <w:u w:val="single"/>
        </w:rPr>
        <w:t>6</w:t>
      </w:r>
      <w:r w:rsidRPr="003941D0">
        <w:rPr>
          <w:rFonts w:ascii="Times New Roman" w:hAnsi="Times New Roman" w:cs="Times New Roman"/>
          <w:b/>
          <w:sz w:val="24"/>
          <w:szCs w:val="24"/>
          <w:u w:val="single"/>
        </w:rPr>
        <w:t xml:space="preserve"> a 10</w:t>
      </w:r>
      <w:r>
        <w:rPr>
          <w:rFonts w:ascii="Times New Roman" w:hAnsi="Times New Roman" w:cs="Times New Roman"/>
          <w:b/>
          <w:sz w:val="24"/>
          <w:szCs w:val="24"/>
          <w:u w:val="single"/>
        </w:rPr>
        <w:t>8</w:t>
      </w:r>
      <w:r w:rsidRPr="003941D0">
        <w:rPr>
          <w:rFonts w:ascii="Times New Roman" w:hAnsi="Times New Roman" w:cs="Times New Roman"/>
          <w:b/>
          <w:sz w:val="24"/>
          <w:szCs w:val="24"/>
          <w:u w:val="single"/>
        </w:rPr>
        <w:t xml:space="preserve"> - § 43 ods. 13 a ods. 15</w:t>
      </w:r>
    </w:p>
    <w:p w:rsidR="007B2961" w:rsidRPr="00AC4812"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Navrhovanou úpravou dochádza k zjednoteniu lehoty na odvedenie dane vyberanej zrážkou ako </w:t>
      </w:r>
      <w:r w:rsidRPr="00AC4812">
        <w:rPr>
          <w:rFonts w:ascii="Times New Roman" w:hAnsi="Times New Roman" w:cs="Times New Roman"/>
          <w:sz w:val="24"/>
          <w:szCs w:val="24"/>
        </w:rPr>
        <w:t>aj na predloženie oznámenia o zrazení a odvedení dane spoločenstva vlastníkov bytov a nebytových priestorov alebo fyzickej alebo právnickej osoby, s ktorou vlastníci bytov a nebytových priestorov domu uzatvorili zmluvu o výkone správy s daňovníkmi nezaloženými alebo nezriadenými na podnikanie. Dochádza k posunutiu lehoty z</w:t>
      </w:r>
      <w:r>
        <w:rPr>
          <w:rFonts w:ascii="Times New Roman" w:hAnsi="Times New Roman" w:cs="Times New Roman"/>
          <w:sz w:val="24"/>
          <w:szCs w:val="24"/>
        </w:rPr>
        <w:t> </w:t>
      </w:r>
      <w:r w:rsidRPr="00AC4812">
        <w:rPr>
          <w:rFonts w:ascii="Times New Roman" w:hAnsi="Times New Roman" w:cs="Times New Roman"/>
          <w:sz w:val="24"/>
          <w:szCs w:val="24"/>
        </w:rPr>
        <w:t>15</w:t>
      </w:r>
      <w:r>
        <w:rPr>
          <w:rFonts w:ascii="Times New Roman" w:hAnsi="Times New Roman" w:cs="Times New Roman"/>
          <w:sz w:val="24"/>
          <w:szCs w:val="24"/>
        </w:rPr>
        <w:t xml:space="preserve"> dní</w:t>
      </w:r>
      <w:r w:rsidRPr="00AC4812">
        <w:rPr>
          <w:rFonts w:ascii="Times New Roman" w:hAnsi="Times New Roman" w:cs="Times New Roman"/>
          <w:sz w:val="24"/>
          <w:szCs w:val="24"/>
        </w:rPr>
        <w:t xml:space="preserve"> na </w:t>
      </w:r>
      <w:r>
        <w:rPr>
          <w:rFonts w:ascii="Times New Roman" w:hAnsi="Times New Roman" w:cs="Times New Roman"/>
          <w:sz w:val="24"/>
          <w:szCs w:val="24"/>
        </w:rPr>
        <w:t xml:space="preserve">koniec kalendárneho mesiaca nasledujúceho po </w:t>
      </w:r>
      <w:r w:rsidRPr="00AC4812">
        <w:rPr>
          <w:rFonts w:ascii="Times New Roman" w:hAnsi="Times New Roman" w:cs="Times New Roman"/>
          <w:sz w:val="24"/>
          <w:szCs w:val="24"/>
        </w:rPr>
        <w:t xml:space="preserve">uplynutí kalendárneho roka, v ktorom boli príjmy podliehajúce dani vyberanej zrážkou poukázané alebo pripísané v prospech účtu fondu prevádzky, údržby a opráv. </w:t>
      </w:r>
    </w:p>
    <w:p w:rsidR="007B2961" w:rsidRPr="00AC4812"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bodom 10</w:t>
      </w:r>
      <w:r>
        <w:rPr>
          <w:rFonts w:ascii="Times New Roman" w:hAnsi="Times New Roman" w:cs="Times New Roman"/>
          <w:b/>
          <w:sz w:val="24"/>
          <w:szCs w:val="24"/>
          <w:u w:val="single"/>
        </w:rPr>
        <w:t>7</w:t>
      </w:r>
      <w:r w:rsidRPr="003941D0">
        <w:rPr>
          <w:rFonts w:ascii="Times New Roman" w:hAnsi="Times New Roman" w:cs="Times New Roman"/>
          <w:b/>
          <w:sz w:val="24"/>
          <w:szCs w:val="24"/>
          <w:u w:val="single"/>
        </w:rPr>
        <w:t xml:space="preserve"> - § 43 ods. 14</w:t>
      </w:r>
    </w:p>
    <w:p w:rsidR="007B2961"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V návrhu úpravy zákona sa spresňuje spôsob, akým bude platiteľ dane oznamovať uzavretie písomnej dohody s daňovníkom o nezrazení dane podľa § 43 ods. 14 zákona. Zároveň zákon stanovuje údaje, ktoré budú súčasťou uvedeného oznámenia.</w:t>
      </w:r>
    </w:p>
    <w:p w:rsidR="00C83337"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bodom 10</w:t>
      </w:r>
      <w:r>
        <w:rPr>
          <w:rFonts w:ascii="Times New Roman" w:hAnsi="Times New Roman" w:cs="Times New Roman"/>
          <w:b/>
          <w:sz w:val="24"/>
          <w:szCs w:val="24"/>
          <w:u w:val="single"/>
        </w:rPr>
        <w:t>9</w:t>
      </w:r>
      <w:r w:rsidRPr="003941D0">
        <w:rPr>
          <w:rFonts w:ascii="Times New Roman" w:hAnsi="Times New Roman" w:cs="Times New Roman"/>
          <w:b/>
          <w:sz w:val="24"/>
          <w:szCs w:val="24"/>
          <w:u w:val="single"/>
        </w:rPr>
        <w:t xml:space="preserve"> až 1</w:t>
      </w:r>
      <w:r>
        <w:rPr>
          <w:rFonts w:ascii="Times New Roman" w:hAnsi="Times New Roman" w:cs="Times New Roman"/>
          <w:b/>
          <w:sz w:val="24"/>
          <w:szCs w:val="24"/>
          <w:u w:val="single"/>
        </w:rPr>
        <w:t>12</w:t>
      </w:r>
      <w:r w:rsidRPr="003941D0">
        <w:rPr>
          <w:rFonts w:ascii="Times New Roman" w:hAnsi="Times New Roman" w:cs="Times New Roman"/>
          <w:b/>
          <w:sz w:val="24"/>
          <w:szCs w:val="24"/>
          <w:u w:val="single"/>
        </w:rPr>
        <w:t xml:space="preserve"> - § 43 ods. 17 až 19</w:t>
      </w:r>
      <w:r>
        <w:rPr>
          <w:rFonts w:ascii="Times New Roman" w:hAnsi="Times New Roman" w:cs="Times New Roman"/>
          <w:b/>
          <w:sz w:val="24"/>
          <w:szCs w:val="24"/>
          <w:u w:val="single"/>
        </w:rPr>
        <w:t xml:space="preserve"> a 23</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Navrhovanými úpravami dochádza k posunom zákonom určených lehôt pre oznamovacie povinnosti uvedených daňovníkov a zároveň aj k posunutiu lehoty pre odvedenie dane vyberanej zrážkou v zákonom určenom prípade.</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 xml:space="preserve">K bodu </w:t>
      </w:r>
      <w:r>
        <w:rPr>
          <w:rFonts w:ascii="Times New Roman" w:hAnsi="Times New Roman" w:cs="Times New Roman"/>
          <w:b/>
          <w:sz w:val="24"/>
          <w:szCs w:val="24"/>
          <w:u w:val="single"/>
        </w:rPr>
        <w:t>115</w:t>
      </w:r>
      <w:r w:rsidRPr="003941D0">
        <w:rPr>
          <w:rFonts w:ascii="Times New Roman" w:hAnsi="Times New Roman" w:cs="Times New Roman"/>
          <w:b/>
          <w:sz w:val="24"/>
          <w:szCs w:val="24"/>
          <w:u w:val="single"/>
        </w:rPr>
        <w:t xml:space="preserve"> - § 45 ods. 1</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Navrhovanou úpravou sa spresňuje možnosť využitia metód na zamedzenie dvojitého zdanenia v prípade príjmov dosiahnutých formou podielov na zisku a príjmov z kapitálového majetku.</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11</w:t>
      </w:r>
      <w:r>
        <w:rPr>
          <w:rFonts w:ascii="Times New Roman" w:hAnsi="Times New Roman" w:cs="Times New Roman"/>
          <w:b/>
          <w:sz w:val="24"/>
          <w:szCs w:val="24"/>
          <w:u w:val="single"/>
        </w:rPr>
        <w:t>6</w:t>
      </w:r>
      <w:r w:rsidRPr="003941D0">
        <w:rPr>
          <w:rFonts w:ascii="Times New Roman" w:hAnsi="Times New Roman" w:cs="Times New Roman"/>
          <w:b/>
          <w:sz w:val="24"/>
          <w:szCs w:val="24"/>
          <w:u w:val="single"/>
        </w:rPr>
        <w:t xml:space="preserve"> - § 45 ods. 5</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Z dôvodu zabezpečenia právnej istoty v prípade zamedzenia dvojitého zdanenia podľa § 45 zákona, daňovníci budú mať k dispozícií podrobnejšie postupy k uplatňovaniu zmlúv o zamedzení dvojitého zdanenia.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11</w:t>
      </w:r>
      <w:r>
        <w:rPr>
          <w:rFonts w:ascii="Times New Roman" w:hAnsi="Times New Roman" w:cs="Times New Roman"/>
          <w:b/>
          <w:sz w:val="24"/>
          <w:szCs w:val="24"/>
          <w:u w:val="single"/>
        </w:rPr>
        <w:t>7</w:t>
      </w:r>
      <w:r w:rsidRPr="003941D0">
        <w:rPr>
          <w:rFonts w:ascii="Times New Roman" w:hAnsi="Times New Roman" w:cs="Times New Roman"/>
          <w:b/>
          <w:sz w:val="24"/>
          <w:szCs w:val="24"/>
          <w:u w:val="single"/>
        </w:rPr>
        <w:t xml:space="preserve"> - § 49 ods. 3 písm. a) a b)</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Navrhovaným ustanovením sa zavádza jednotné tlačivo pre oznámenie predĺženia lehoty na podanie daňového priznania o 3, resp. 6 mesiacov. Z dôvodu lepšej a rýchlejšej spracovateľnosti správcom dane a zjednodušenia formy oznamovania pre daňovníkov  sa navrhuje aby tlačivo určilo a na svojom webovom sídle zverejnilo Finančné riaditeľstvo SR.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w:t>
      </w:r>
      <w:r>
        <w:rPr>
          <w:rFonts w:ascii="Times New Roman" w:hAnsi="Times New Roman" w:cs="Times New Roman"/>
          <w:b/>
          <w:sz w:val="24"/>
          <w:szCs w:val="24"/>
          <w:u w:val="single"/>
        </w:rPr>
        <w:t>20</w:t>
      </w:r>
      <w:r w:rsidRPr="003941D0">
        <w:rPr>
          <w:rFonts w:ascii="Times New Roman" w:hAnsi="Times New Roman" w:cs="Times New Roman"/>
          <w:b/>
          <w:sz w:val="24"/>
          <w:szCs w:val="24"/>
          <w:u w:val="single"/>
        </w:rPr>
        <w:t xml:space="preserve"> - § 49a ods. 8</w:t>
      </w:r>
    </w:p>
    <w:p w:rsidR="007B2961"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Legislatívno-technická zmena z dôvodu zabezpečenia právnej istoty. </w:t>
      </w:r>
    </w:p>
    <w:p w:rsidR="007B2961" w:rsidP="007B2961">
      <w:pPr>
        <w:bidi w:val="0"/>
        <w:spacing w:after="0" w:line="240" w:lineRule="auto"/>
        <w:jc w:val="both"/>
        <w:rPr>
          <w:rFonts w:ascii="Times New Roman" w:hAnsi="Times New Roman" w:cs="Times New Roman"/>
          <w:sz w:val="24"/>
          <w:szCs w:val="24"/>
        </w:rPr>
      </w:pPr>
    </w:p>
    <w:p w:rsidR="007B2961" w:rsidP="007B2961">
      <w:pPr>
        <w:bidi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 bodu 123</w:t>
      </w:r>
      <w:r w:rsidRPr="00914076">
        <w:rPr>
          <w:rFonts w:ascii="Times New Roman" w:hAnsi="Times New Roman" w:cs="Times New Roman"/>
          <w:b/>
          <w:sz w:val="24"/>
          <w:szCs w:val="24"/>
          <w:u w:val="single"/>
        </w:rPr>
        <w:t xml:space="preserve"> - § 50 ods. 6 úvodná veta</w:t>
      </w:r>
    </w:p>
    <w:p w:rsidR="007B2961" w:rsidRPr="00914076" w:rsidP="007B2961">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zmenu.</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12</w:t>
      </w:r>
      <w:r>
        <w:rPr>
          <w:rFonts w:ascii="Times New Roman" w:hAnsi="Times New Roman" w:cs="Times New Roman"/>
          <w:b/>
          <w:sz w:val="24"/>
          <w:szCs w:val="24"/>
          <w:u w:val="single"/>
        </w:rPr>
        <w:t>7</w:t>
      </w:r>
      <w:r w:rsidRPr="003941D0">
        <w:rPr>
          <w:rFonts w:ascii="Times New Roman" w:hAnsi="Times New Roman" w:cs="Times New Roman"/>
          <w:b/>
          <w:sz w:val="24"/>
          <w:szCs w:val="24"/>
          <w:u w:val="single"/>
        </w:rPr>
        <w:t xml:space="preserve"> - § 50 ods. 11</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Navrhovanou úpravou sa dopĺňa nová možnosť použitia finančných prostriedkov získaných z podielu zaplatenej dane pre nadácie v zákonom stanovenej výške 25% z prijatého podielu, ktoré môže vložiť do nadačného imania nadácie.</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w:t>
      </w:r>
      <w:r>
        <w:rPr>
          <w:rFonts w:ascii="Times New Roman" w:hAnsi="Times New Roman" w:cs="Times New Roman"/>
          <w:b/>
          <w:sz w:val="24"/>
          <w:szCs w:val="24"/>
          <w:u w:val="single"/>
        </w:rPr>
        <w:t>31</w:t>
      </w:r>
      <w:r w:rsidRPr="003941D0">
        <w:rPr>
          <w:rFonts w:ascii="Times New Roman" w:hAnsi="Times New Roman" w:cs="Times New Roman"/>
          <w:b/>
          <w:sz w:val="24"/>
          <w:szCs w:val="24"/>
          <w:u w:val="single"/>
        </w:rPr>
        <w:t xml:space="preserve"> – § 52zl</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u w:val="single"/>
          <w:lang w:eastAsia="cs-CZ"/>
        </w:rPr>
        <w:t>K odseku 1</w:t>
      </w:r>
      <w:r w:rsidRPr="003941D0">
        <w:rPr>
          <w:rFonts w:ascii="Times New Roman" w:hAnsi="Times New Roman" w:cs="Times New Roman"/>
          <w:sz w:val="24"/>
          <w:szCs w:val="24"/>
          <w:lang w:eastAsia="cs-CZ"/>
        </w:rPr>
        <w:t xml:space="preserve"> - </w:t>
      </w:r>
      <w:r w:rsidRPr="003941D0">
        <w:rPr>
          <w:rFonts w:ascii="Times New Roman" w:hAnsi="Times New Roman" w:cs="Times New Roman"/>
          <w:sz w:val="24"/>
          <w:szCs w:val="24"/>
        </w:rPr>
        <w:t xml:space="preserve">Ustanovenia § 2 písm. n), o), r),  ac) až af), </w:t>
      </w:r>
      <w:r>
        <w:rPr>
          <w:rFonts w:ascii="Times New Roman" w:hAnsi="Times New Roman" w:cs="Times New Roman"/>
          <w:sz w:val="24"/>
          <w:szCs w:val="24"/>
        </w:rPr>
        <w:t xml:space="preserve">§ 17 ods. 40, </w:t>
      </w:r>
      <w:r w:rsidRPr="003941D0">
        <w:rPr>
          <w:rFonts w:ascii="Times New Roman" w:hAnsi="Times New Roman" w:cs="Times New Roman"/>
          <w:sz w:val="24"/>
          <w:szCs w:val="24"/>
        </w:rPr>
        <w:t xml:space="preserve">§ 21 ods. 2 písm. o) </w:t>
      </w:r>
      <w:r>
        <w:rPr>
          <w:rFonts w:ascii="Times New Roman" w:hAnsi="Times New Roman" w:cs="Times New Roman"/>
          <w:sz w:val="24"/>
          <w:szCs w:val="24"/>
        </w:rPr>
        <w:t xml:space="preserve">          </w:t>
      </w:r>
      <w:r w:rsidRPr="003941D0">
        <w:rPr>
          <w:rFonts w:ascii="Times New Roman" w:hAnsi="Times New Roman" w:cs="Times New Roman"/>
          <w:sz w:val="24"/>
          <w:szCs w:val="24"/>
        </w:rPr>
        <w:t>a § 30c sa použijú po prvýkrát za zdaňovacie obdobie začínajúce najskôr 1. januára 2018.</w:t>
      </w:r>
    </w:p>
    <w:p w:rsidR="007B2961" w:rsidRPr="003941D0" w:rsidP="007B2961">
      <w:pPr>
        <w:bidi w:val="0"/>
        <w:spacing w:after="0" w:line="240" w:lineRule="auto"/>
        <w:jc w:val="both"/>
        <w:rPr>
          <w:rFonts w:ascii="Times New Roman" w:hAnsi="Times New Roman" w:cs="Times New Roman"/>
          <w:sz w:val="24"/>
          <w:szCs w:val="24"/>
          <w:highlight w:val="yellow"/>
          <w:lang w:eastAsia="cs-CZ"/>
        </w:rPr>
      </w:pPr>
      <w:r w:rsidRPr="003941D0">
        <w:rPr>
          <w:rFonts w:ascii="Times New Roman" w:hAnsi="Times New Roman" w:cs="Times New Roman"/>
          <w:sz w:val="24"/>
          <w:szCs w:val="24"/>
          <w:u w:val="single"/>
        </w:rPr>
        <w:t>K odseku 2</w:t>
      </w:r>
      <w:r w:rsidRPr="003941D0">
        <w:rPr>
          <w:rFonts w:ascii="Times New Roman" w:hAnsi="Times New Roman" w:cs="Times New Roman"/>
          <w:sz w:val="24"/>
          <w:szCs w:val="24"/>
        </w:rPr>
        <w:t xml:space="preserve"> - Prechodné ustanovenie umožňuje ustanovenia súvisiace s procesom oddlženia u fyzickej osoby v zákone použiť už pri podaní daňového priznania po 31. decembri 2017</w:t>
      </w:r>
      <w:r w:rsidRPr="003941D0">
        <w:rPr>
          <w:rFonts w:ascii="Arial Narrow" w:hAnsi="Arial Narrow"/>
        </w:rPr>
        <w:t>.</w:t>
      </w:r>
      <w:r>
        <w:rPr>
          <w:rFonts w:ascii="Arial Narrow" w:hAnsi="Arial Narrow"/>
        </w:rPr>
        <w:t xml:space="preserve"> </w:t>
      </w:r>
      <w:r w:rsidRPr="003941D0">
        <w:rPr>
          <w:rFonts w:ascii="Times New Roman" w:hAnsi="Times New Roman" w:cs="Times New Roman"/>
          <w:sz w:val="24"/>
          <w:szCs w:val="24"/>
          <w:lang w:eastAsia="cs-CZ"/>
        </w:rPr>
        <w:t>Úprava spresňujúca možnosť použitia metód na zamedzenie dvojitého zdanenia pri príjmoch formou podielu zaplatenej dane a príjmov z kapitálového majetku sa vzťahuje už na daňové priznanie podávané po 31. decembri 2017.</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u w:val="single"/>
        </w:rPr>
        <w:t>K odseku 3</w:t>
      </w:r>
      <w:r w:rsidRPr="003941D0">
        <w:rPr>
          <w:rFonts w:ascii="Times New Roman" w:hAnsi="Times New Roman" w:cs="Times New Roman"/>
          <w:sz w:val="24"/>
          <w:szCs w:val="24"/>
        </w:rPr>
        <w:t xml:space="preserve"> - Ustanovenie § 8 ods. 16 v znení účinnom od 1. januára 2018 sa použije aj na príjmy z predaja majetku nadobudnutého do 31. decembra 2017.</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u w:val="single"/>
        </w:rPr>
        <w:t>K odseku 4</w:t>
      </w:r>
      <w:r w:rsidRPr="003941D0">
        <w:rPr>
          <w:rFonts w:ascii="Times New Roman" w:hAnsi="Times New Roman" w:cs="Times New Roman"/>
          <w:sz w:val="24"/>
          <w:szCs w:val="24"/>
        </w:rPr>
        <w:t xml:space="preserve"> - Ustanovenia týkajúce sa zavedenia daňového bonusu na zaplatené úroky sa prvýkrát použijú na zmluvy o úvere na bývanie, ktoré budú uzatvorené po 31. decembri 2017.</w:t>
      </w:r>
    </w:p>
    <w:p w:rsidR="007B2961" w:rsidRPr="003941D0" w:rsidP="007B2961">
      <w:pPr>
        <w:tabs>
          <w:tab w:val="left" w:pos="1560"/>
        </w:tabs>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u w:val="single"/>
        </w:rPr>
        <w:t>K odseku 5</w:t>
      </w:r>
      <w:r w:rsidRPr="003941D0">
        <w:rPr>
          <w:rFonts w:ascii="Times New Roman" w:hAnsi="Times New Roman" w:cs="Times New Roman"/>
          <w:sz w:val="24"/>
          <w:szCs w:val="24"/>
        </w:rPr>
        <w:t xml:space="preserve"> - V navrhovanej úprave zákona sa oslobodzuje nepeňažné plnenie poskytnuté  držiteľom vo forme hodnoty stravy poskytnutej poskytovateľovi zdravotnej starostlivosti na odbornom podujatí určenom výhradne na vzdelávacie účely, ktoré definuje zákon o liekoch, v plnej výške. Oslobodenie nepeňažného plnenia formou poskytnutej stravy sa použije už pri poskytnutej strave na vzdelávacích podujatiach konaných v roku 2017, z ktorých mala byť  daň vyberaná zrážkou po 31. decembri 2017 prostredníctvom oznámenia podľa § 43 ods. 17 zákona podávaného do 31. januára 2018, t.j. poskytnutá strava sa nebude uvádzať ako súčasť nepeňažných plnení oznamovaných správcovi dane ani od držiteľa a ani od poskytovateľa zdravotnej starostlivosti.</w:t>
      </w:r>
    </w:p>
    <w:p w:rsidR="007B2961" w:rsidRPr="003941D0" w:rsidP="007B2961">
      <w:pPr>
        <w:shd w:val="clear" w:color="auto" w:fill="FFFFFF"/>
        <w:bidi w:val="0"/>
        <w:spacing w:after="0" w:line="240" w:lineRule="auto"/>
        <w:jc w:val="both"/>
        <w:rPr>
          <w:rFonts w:ascii="Times New Roman" w:hAnsi="Times New Roman"/>
          <w:sz w:val="24"/>
          <w:szCs w:val="24"/>
          <w:lang w:eastAsia="sk-SK"/>
        </w:rPr>
      </w:pPr>
      <w:r w:rsidRPr="003941D0">
        <w:rPr>
          <w:rFonts w:ascii="Times New Roman" w:hAnsi="Times New Roman" w:cs="Times New Roman"/>
          <w:sz w:val="24"/>
          <w:szCs w:val="24"/>
          <w:u w:val="single"/>
        </w:rPr>
        <w:t>K odsekom 7 a 8</w:t>
      </w:r>
      <w:r w:rsidRPr="003941D0">
        <w:rPr>
          <w:rFonts w:ascii="Times New Roman" w:hAnsi="Times New Roman" w:cs="Times New Roman"/>
          <w:sz w:val="24"/>
          <w:szCs w:val="24"/>
        </w:rPr>
        <w:t xml:space="preserve"> - </w:t>
      </w:r>
      <w:r w:rsidRPr="003941D0">
        <w:rPr>
          <w:rFonts w:ascii="Times New Roman" w:hAnsi="Times New Roman"/>
          <w:sz w:val="24"/>
          <w:szCs w:val="24"/>
          <w:lang w:eastAsia="sk-SK"/>
        </w:rPr>
        <w:t xml:space="preserve">Ustanovuje sa, že oslobodenie podľa § 13a § 13b sa bude vzťahovať na daňovníka, ktorému od 1. januára 2018 plynie príjem vo forme licenčných poplatkov z vymedzených druhov nehmotných aktív alebo príjem z predaja výrobkov, pri ktorých výrobe boli tieto nehmotné aktíva využité. Osobitne sa umožňuje využiť oslobodenie podľa § 13a § 13b aj na tie nehmotné aktíva, ktoré boli pred nadobudnutím účinnosti tohto zákona prevedené daňovníkom na inú osobu a následne po nadobudnutí účinnosti tohto zákona prevedené touto inou osobou naspäť na daňovníka.  </w:t>
      </w:r>
    </w:p>
    <w:p w:rsidR="007B2961" w:rsidRPr="003941D0" w:rsidP="007B2961">
      <w:pPr>
        <w:bidi w:val="0"/>
        <w:spacing w:after="0" w:line="240" w:lineRule="auto"/>
        <w:jc w:val="both"/>
        <w:rPr>
          <w:rFonts w:ascii="Times New Roman" w:hAnsi="Times New Roman" w:cs="Times New Roman"/>
          <w:sz w:val="24"/>
          <w:szCs w:val="24"/>
          <w:lang w:eastAsia="sk-SK"/>
        </w:rPr>
      </w:pPr>
      <w:r w:rsidRPr="003941D0">
        <w:rPr>
          <w:rFonts w:ascii="Times New Roman" w:hAnsi="Times New Roman" w:cs="Times New Roman"/>
          <w:sz w:val="24"/>
          <w:szCs w:val="24"/>
          <w:u w:val="single"/>
          <w:lang w:eastAsia="cs-CZ"/>
        </w:rPr>
        <w:t>K odseku 11</w:t>
      </w:r>
      <w:r w:rsidRPr="003941D0">
        <w:rPr>
          <w:rFonts w:ascii="Times New Roman" w:hAnsi="Times New Roman" w:cs="Times New Roman"/>
          <w:sz w:val="24"/>
          <w:szCs w:val="24"/>
          <w:lang w:eastAsia="cs-CZ"/>
        </w:rPr>
        <w:t xml:space="preserve"> - </w:t>
      </w:r>
      <w:r w:rsidRPr="003941D0">
        <w:rPr>
          <w:rFonts w:ascii="Times New Roman" w:hAnsi="Times New Roman" w:cs="Times New Roman"/>
          <w:sz w:val="24"/>
          <w:szCs w:val="24"/>
          <w:lang w:eastAsia="sk-SK"/>
        </w:rPr>
        <w:t xml:space="preserve">Ustanovenia § 17c ods. </w:t>
      </w:r>
      <w:r>
        <w:rPr>
          <w:rFonts w:ascii="Times New Roman" w:hAnsi="Times New Roman" w:cs="Times New Roman"/>
          <w:sz w:val="24"/>
          <w:szCs w:val="24"/>
          <w:lang w:eastAsia="sk-SK"/>
        </w:rPr>
        <w:t xml:space="preserve">3 písm. a) a ods. </w:t>
      </w:r>
      <w:r w:rsidRPr="003941D0">
        <w:rPr>
          <w:rFonts w:ascii="Times New Roman" w:hAnsi="Times New Roman" w:cs="Times New Roman"/>
          <w:sz w:val="24"/>
          <w:szCs w:val="24"/>
          <w:lang w:eastAsia="sk-SK"/>
        </w:rPr>
        <w:t xml:space="preserve">11 a § 17e ods. 14 sa po prvýkrát použijú pri výplate oceňovacích rozdielov z precenenia pri zlúčení, splynutí alebo rozdelení obchodných spoločností alebo družstiev v zdaňovacom období, ktoré začína najskôr 1. januára 2018.  </w:t>
      </w:r>
    </w:p>
    <w:p w:rsidR="007B2961" w:rsidRPr="003941D0" w:rsidP="007B2961">
      <w:pPr>
        <w:bidi w:val="0"/>
        <w:spacing w:after="0" w:line="240" w:lineRule="auto"/>
        <w:jc w:val="both"/>
        <w:rPr>
          <w:rFonts w:ascii="Times New Roman" w:hAnsi="Times New Roman" w:cs="Times New Roman"/>
          <w:sz w:val="24"/>
          <w:szCs w:val="24"/>
          <w:lang w:eastAsia="cs-CZ"/>
        </w:rPr>
      </w:pPr>
      <w:r w:rsidRPr="003941D0">
        <w:rPr>
          <w:rFonts w:ascii="Times New Roman" w:hAnsi="Times New Roman" w:cs="Times New Roman"/>
          <w:sz w:val="24"/>
          <w:szCs w:val="24"/>
          <w:u w:val="single"/>
          <w:lang w:eastAsia="cs-CZ"/>
        </w:rPr>
        <w:t>K odseku 12</w:t>
      </w:r>
      <w:r w:rsidRPr="003941D0">
        <w:rPr>
          <w:rFonts w:ascii="Times New Roman" w:hAnsi="Times New Roman" w:cs="Times New Roman"/>
          <w:sz w:val="24"/>
          <w:szCs w:val="24"/>
          <w:lang w:eastAsia="cs-CZ"/>
        </w:rPr>
        <w:t xml:space="preserve"> - Ustanovenia § 17f </w:t>
      </w:r>
      <w:r w:rsidRPr="003941D0">
        <w:rPr>
          <w:rFonts w:ascii="Times New Roman" w:hAnsi="Times New Roman" w:cs="Times New Roman"/>
          <w:sz w:val="24"/>
          <w:szCs w:val="24"/>
        </w:rPr>
        <w:t xml:space="preserve">§ 17g, § 25 ods. 1 písm. i) a § 25a písm. g) </w:t>
      </w:r>
      <w:r w:rsidRPr="003941D0">
        <w:rPr>
          <w:rFonts w:ascii="Times New Roman" w:hAnsi="Times New Roman" w:cs="Times New Roman"/>
          <w:sz w:val="24"/>
          <w:szCs w:val="24"/>
          <w:lang w:eastAsia="cs-CZ"/>
        </w:rPr>
        <w:t xml:space="preserve"> o zdanení pri odchode v znení účinnom od 1. januára 2018 sa použije po prvýkrát na presuny majetku, činnosti alebo zmenu daňovej rezidencie uskutočnené v zdaňovacom období začínajúcom najskôr  1. januára 2018.</w:t>
      </w:r>
    </w:p>
    <w:p w:rsidR="007B2961" w:rsidRPr="003941D0" w:rsidP="007B2961">
      <w:pPr>
        <w:bidi w:val="0"/>
        <w:spacing w:after="0" w:line="240" w:lineRule="auto"/>
        <w:jc w:val="both"/>
        <w:rPr>
          <w:rFonts w:ascii="Times New Roman" w:hAnsi="Times New Roman" w:cs="Times New Roman"/>
          <w:sz w:val="24"/>
          <w:szCs w:val="24"/>
          <w:lang w:eastAsia="cs-CZ"/>
        </w:rPr>
      </w:pPr>
      <w:r w:rsidRPr="003941D0">
        <w:rPr>
          <w:rFonts w:ascii="Times New Roman" w:hAnsi="Times New Roman" w:cs="Times New Roman"/>
          <w:sz w:val="24"/>
          <w:szCs w:val="24"/>
          <w:u w:val="single"/>
          <w:lang w:eastAsia="cs-CZ"/>
        </w:rPr>
        <w:t xml:space="preserve">K odseku 13 </w:t>
      </w:r>
      <w:r w:rsidRPr="003941D0">
        <w:rPr>
          <w:rFonts w:ascii="Times New Roman" w:hAnsi="Times New Roman" w:cs="Times New Roman"/>
          <w:sz w:val="24"/>
          <w:szCs w:val="24"/>
          <w:lang w:eastAsia="cs-CZ"/>
        </w:rPr>
        <w:t xml:space="preserve">– Hodnota úhrnu technického zhodnotenia a opráv odpisovaná samostatne ako iný majetok sa použije prvýkrát na technické zhodnotenie a opravy vykonané a zaradené do užívania po 31. decembri 2017. </w:t>
      </w:r>
    </w:p>
    <w:p w:rsidR="007B2961" w:rsidRPr="003941D0" w:rsidP="007B2961">
      <w:pPr>
        <w:bidi w:val="0"/>
        <w:spacing w:after="0" w:line="240" w:lineRule="auto"/>
        <w:jc w:val="both"/>
        <w:rPr>
          <w:rFonts w:ascii="Times New Roman" w:hAnsi="Times New Roman" w:cs="Times New Roman"/>
          <w:sz w:val="24"/>
          <w:szCs w:val="24"/>
          <w:lang w:eastAsia="cs-CZ"/>
        </w:rPr>
      </w:pPr>
      <w:r w:rsidRPr="003941D0">
        <w:rPr>
          <w:rFonts w:ascii="Times New Roman" w:hAnsi="Times New Roman" w:cs="Times New Roman"/>
          <w:sz w:val="24"/>
          <w:szCs w:val="24"/>
          <w:u w:val="single"/>
          <w:lang w:eastAsia="cs-CZ"/>
        </w:rPr>
        <w:t>K odseku 14</w:t>
      </w:r>
      <w:r w:rsidRPr="003941D0">
        <w:rPr>
          <w:rFonts w:ascii="Times New Roman" w:hAnsi="Times New Roman" w:cs="Times New Roman"/>
          <w:sz w:val="24"/>
          <w:szCs w:val="24"/>
          <w:lang w:eastAsia="cs-CZ"/>
        </w:rPr>
        <w:t xml:space="preserve"> –  Ustanovenia § 30a ods. 8,  § 30b ods. 8,  § 30a ods. 9 a § 30b ods. 9 v znení účinnom po 31.decembri 2017 sa po prvýkrát použijú na daňové kontroly ukončené po 1. januári 2018.</w:t>
      </w:r>
    </w:p>
    <w:p w:rsidR="007B2961" w:rsidRPr="003941D0" w:rsidP="007B2961">
      <w:pPr>
        <w:bidi w:val="0"/>
        <w:spacing w:after="0" w:line="240" w:lineRule="auto"/>
        <w:jc w:val="both"/>
        <w:rPr>
          <w:rFonts w:ascii="Times New Roman" w:hAnsi="Times New Roman" w:cs="Times New Roman"/>
          <w:sz w:val="24"/>
          <w:szCs w:val="24"/>
          <w:lang w:eastAsia="cs-CZ"/>
        </w:rPr>
      </w:pPr>
    </w:p>
    <w:p w:rsidR="007B2961" w:rsidRPr="003941D0" w:rsidP="007B2961">
      <w:pPr>
        <w:bidi w:val="0"/>
        <w:spacing w:after="0" w:line="240" w:lineRule="auto"/>
        <w:jc w:val="both"/>
        <w:rPr>
          <w:rFonts w:ascii="Times New Roman" w:hAnsi="Times New Roman" w:cs="Times New Roman"/>
          <w:b/>
          <w:sz w:val="24"/>
          <w:szCs w:val="24"/>
          <w:lang w:eastAsia="cs-CZ"/>
        </w:rPr>
      </w:pPr>
      <w:r w:rsidRPr="003941D0">
        <w:rPr>
          <w:rFonts w:ascii="Times New Roman" w:hAnsi="Times New Roman" w:cs="Times New Roman"/>
          <w:b/>
          <w:sz w:val="24"/>
          <w:szCs w:val="24"/>
          <w:lang w:eastAsia="cs-CZ"/>
        </w:rPr>
        <w:t>§ 52zm</w:t>
      </w:r>
    </w:p>
    <w:p w:rsidR="007B2961" w:rsidP="007B2961">
      <w:pPr>
        <w:bidi w:val="0"/>
        <w:spacing w:after="0" w:line="240" w:lineRule="auto"/>
        <w:jc w:val="both"/>
        <w:rPr>
          <w:rFonts w:ascii="Times New Roman" w:hAnsi="Times New Roman" w:cs="Times New Roman"/>
          <w:sz w:val="24"/>
          <w:szCs w:val="24"/>
          <w:lang w:eastAsia="cs-CZ"/>
        </w:rPr>
      </w:pPr>
      <w:r w:rsidRPr="003941D0">
        <w:rPr>
          <w:rFonts w:ascii="Times New Roman" w:hAnsi="Times New Roman" w:cs="Times New Roman"/>
          <w:sz w:val="24"/>
          <w:szCs w:val="24"/>
          <w:lang w:eastAsia="cs-CZ"/>
        </w:rPr>
        <w:t>Ustanovenie § 17h o kontrolovaných zahraničných spoločnostiach sa použije po prvýkrát za zdaňovacie obdobie začínajúce najskôr  1. januára 2019.</w:t>
      </w:r>
    </w:p>
    <w:p w:rsidR="00943CD1" w:rsidRPr="003941D0" w:rsidP="007B2961">
      <w:pPr>
        <w:bidi w:val="0"/>
        <w:spacing w:after="0" w:line="240" w:lineRule="auto"/>
        <w:jc w:val="both"/>
        <w:rPr>
          <w:rFonts w:ascii="Times New Roman" w:hAnsi="Times New Roman" w:cs="Times New Roman"/>
          <w:sz w:val="24"/>
          <w:szCs w:val="24"/>
          <w:lang w:eastAsia="cs-CZ"/>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w:t>
      </w:r>
      <w:r>
        <w:rPr>
          <w:rFonts w:ascii="Times New Roman" w:hAnsi="Times New Roman" w:cs="Times New Roman"/>
          <w:b/>
          <w:sz w:val="24"/>
          <w:szCs w:val="24"/>
          <w:u w:val="single"/>
        </w:rPr>
        <w:t>32</w:t>
      </w:r>
      <w:r w:rsidRPr="003941D0">
        <w:rPr>
          <w:rFonts w:ascii="Times New Roman" w:hAnsi="Times New Roman" w:cs="Times New Roman"/>
          <w:b/>
          <w:sz w:val="24"/>
          <w:szCs w:val="24"/>
          <w:u w:val="single"/>
        </w:rPr>
        <w:t xml:space="preserve"> – príloha č. 1</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Navrhovaná úprava nadväzuje na zavedenie možnosti posúdenia úhrnu hodnoty technického zhodnotenia a opráv vykonaných na budovách kúpeľov ako iného majetku v § 22 ods. 6 písm. f) zákona. Úhrn technického zhodnotenia a opráv vykonaných na budovách kúpeľov bude zaradený do odpisovej skupiny 2 s dobou odpisovania 6 rokov. </w:t>
      </w:r>
    </w:p>
    <w:p w:rsidR="007B2961" w:rsidRPr="003941D0" w:rsidP="007B2961">
      <w:pPr>
        <w:bidi w:val="0"/>
        <w:spacing w:after="0" w:line="240" w:lineRule="auto"/>
        <w:jc w:val="both"/>
        <w:rPr>
          <w:rFonts w:ascii="Times New Roman" w:hAnsi="Times New Roman" w:cs="Times New Roman"/>
          <w:sz w:val="24"/>
          <w:szCs w:val="24"/>
        </w:rPr>
      </w:pPr>
    </w:p>
    <w:p w:rsidR="007B2961" w:rsidRPr="003941D0" w:rsidP="007B2961">
      <w:pPr>
        <w:bidi w:val="0"/>
        <w:spacing w:after="0" w:line="240" w:lineRule="auto"/>
        <w:jc w:val="both"/>
        <w:rPr>
          <w:rFonts w:ascii="Times New Roman" w:hAnsi="Times New Roman" w:cs="Times New Roman"/>
          <w:b/>
          <w:sz w:val="24"/>
          <w:szCs w:val="24"/>
          <w:u w:val="single"/>
        </w:rPr>
      </w:pPr>
      <w:r w:rsidRPr="003941D0">
        <w:rPr>
          <w:rFonts w:ascii="Times New Roman" w:hAnsi="Times New Roman" w:cs="Times New Roman"/>
          <w:b/>
          <w:sz w:val="24"/>
          <w:szCs w:val="24"/>
          <w:u w:val="single"/>
        </w:rPr>
        <w:t>K bodu 1</w:t>
      </w:r>
      <w:r>
        <w:rPr>
          <w:rFonts w:ascii="Times New Roman" w:hAnsi="Times New Roman" w:cs="Times New Roman"/>
          <w:b/>
          <w:sz w:val="24"/>
          <w:szCs w:val="24"/>
          <w:u w:val="single"/>
        </w:rPr>
        <w:t>33</w:t>
      </w:r>
      <w:r w:rsidRPr="003941D0">
        <w:rPr>
          <w:rFonts w:ascii="Times New Roman" w:hAnsi="Times New Roman" w:cs="Times New Roman"/>
          <w:b/>
          <w:sz w:val="24"/>
          <w:szCs w:val="24"/>
          <w:u w:val="single"/>
        </w:rPr>
        <w:t xml:space="preserve"> – príloha č. 2</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Do prílohy č. 2 sa dopĺňa Smernica Rady (EÚ) 2016/1164  z 12. júla 2016, ktorou sa stanovujú pravidlá proti praktikám vyhýbania sa daňovým povinnostiam, ktoré majú priamy vplyv na fungovanie vnútorného trhu.</w:t>
      </w:r>
    </w:p>
    <w:p w:rsidR="007B2961" w:rsidRPr="003941D0" w:rsidP="007B2961">
      <w:pPr>
        <w:bidi w:val="0"/>
        <w:spacing w:after="0" w:line="240" w:lineRule="auto"/>
        <w:jc w:val="both"/>
        <w:rPr>
          <w:rFonts w:ascii="Times New Roman" w:hAnsi="Times New Roman" w:cs="Times New Roman"/>
          <w:b/>
          <w:sz w:val="24"/>
          <w:szCs w:val="24"/>
        </w:rPr>
      </w:pPr>
    </w:p>
    <w:p w:rsidR="007B2961" w:rsidRPr="003941D0" w:rsidP="007B2961">
      <w:pPr>
        <w:bidi w:val="0"/>
        <w:spacing w:after="0" w:line="240" w:lineRule="auto"/>
        <w:jc w:val="both"/>
        <w:rPr>
          <w:rFonts w:ascii="Times New Roman" w:hAnsi="Times New Roman" w:cs="Times New Roman"/>
          <w:b/>
          <w:sz w:val="24"/>
          <w:szCs w:val="24"/>
        </w:rPr>
      </w:pPr>
      <w:r w:rsidRPr="003941D0">
        <w:rPr>
          <w:rFonts w:ascii="Times New Roman" w:hAnsi="Times New Roman" w:cs="Times New Roman"/>
          <w:b/>
          <w:sz w:val="24"/>
          <w:szCs w:val="24"/>
        </w:rPr>
        <w:t>K Čl. II</w:t>
      </w:r>
    </w:p>
    <w:p w:rsidR="007B2961" w:rsidRPr="003941D0" w:rsidP="007B2961">
      <w:pPr>
        <w:bidi w:val="0"/>
        <w:spacing w:after="0" w:line="240" w:lineRule="auto"/>
        <w:jc w:val="both"/>
        <w:rPr>
          <w:rFonts w:ascii="Times New Roman" w:hAnsi="Times New Roman" w:cs="Times New Roman"/>
          <w:sz w:val="24"/>
          <w:szCs w:val="24"/>
        </w:rPr>
      </w:pPr>
      <w:r w:rsidRPr="003941D0">
        <w:rPr>
          <w:rFonts w:ascii="Times New Roman" w:hAnsi="Times New Roman" w:cs="Times New Roman"/>
          <w:sz w:val="24"/>
          <w:szCs w:val="24"/>
        </w:rPr>
        <w:t xml:space="preserve">Zmena daňového poriadku je vyvolaná zavedením novej formy oslobodenia pre komerčné využívanie nehmotných aktív. Nakoľko Finančnému riaditeľstvu sa v zákone o dani z príjmov ukladá povinnosť zverejňovania zoznamu daňovníkov, ktorí si uplatňujú oslobodenie tohto druhu, bolo potrebné vykonať nadväzujúcu úpravu aj v daňovom poriadku v ustanovení, ktoré sa týka zverejňovania zoznamov. </w:t>
      </w:r>
    </w:p>
    <w:p w:rsidR="007B2961" w:rsidRPr="00AC4812" w:rsidP="007B2961">
      <w:pPr>
        <w:bidi w:val="0"/>
        <w:spacing w:after="0" w:line="240" w:lineRule="auto"/>
        <w:jc w:val="both"/>
        <w:rPr>
          <w:rFonts w:ascii="Times New Roman" w:hAnsi="Times New Roman" w:cs="Times New Roman"/>
          <w:sz w:val="24"/>
          <w:szCs w:val="24"/>
        </w:rPr>
      </w:pPr>
    </w:p>
    <w:p w:rsidR="007B2961" w:rsidRPr="00AC4812" w:rsidP="007B2961">
      <w:pPr>
        <w:bidi w:val="0"/>
        <w:spacing w:after="0" w:line="240" w:lineRule="auto"/>
        <w:jc w:val="both"/>
        <w:rPr>
          <w:rFonts w:ascii="Times New Roman" w:hAnsi="Times New Roman" w:cs="Times New Roman"/>
          <w:b/>
          <w:sz w:val="24"/>
          <w:szCs w:val="24"/>
        </w:rPr>
      </w:pPr>
      <w:r w:rsidRPr="00AC4812">
        <w:rPr>
          <w:rFonts w:ascii="Times New Roman" w:hAnsi="Times New Roman" w:cs="Times New Roman"/>
          <w:b/>
          <w:sz w:val="24"/>
          <w:szCs w:val="24"/>
        </w:rPr>
        <w:t xml:space="preserve">K Čl. </w:t>
      </w:r>
      <w:r>
        <w:rPr>
          <w:rFonts w:ascii="Times New Roman" w:hAnsi="Times New Roman" w:cs="Times New Roman"/>
          <w:b/>
          <w:sz w:val="24"/>
          <w:szCs w:val="24"/>
        </w:rPr>
        <w:t>III</w:t>
      </w:r>
    </w:p>
    <w:p w:rsidR="007B2961" w:rsidRPr="00AC4812" w:rsidP="007B2961">
      <w:pPr>
        <w:bidi w:val="0"/>
        <w:spacing w:after="0" w:line="240" w:lineRule="auto"/>
        <w:jc w:val="both"/>
        <w:rPr>
          <w:rFonts w:ascii="Times New Roman" w:hAnsi="Times New Roman" w:cs="Times New Roman"/>
          <w:sz w:val="24"/>
          <w:szCs w:val="24"/>
        </w:rPr>
      </w:pPr>
      <w:r w:rsidRPr="00AC4812">
        <w:rPr>
          <w:rFonts w:ascii="Times New Roman" w:hAnsi="Times New Roman" w:cs="Times New Roman"/>
          <w:sz w:val="24"/>
          <w:szCs w:val="24"/>
        </w:rPr>
        <w:t>Tento zákon nadobúda účinnosť 1. januára 2018 okrem čl. I</w:t>
      </w:r>
      <w:r>
        <w:rPr>
          <w:rFonts w:ascii="Times New Roman" w:hAnsi="Times New Roman" w:cs="Times New Roman"/>
          <w:sz w:val="24"/>
          <w:szCs w:val="24"/>
        </w:rPr>
        <w:t> </w:t>
      </w:r>
      <w:r w:rsidRPr="00AC4812">
        <w:rPr>
          <w:rFonts w:ascii="Times New Roman" w:hAnsi="Times New Roman" w:cs="Times New Roman"/>
          <w:sz w:val="24"/>
          <w:szCs w:val="24"/>
        </w:rPr>
        <w:t>bodu</w:t>
      </w:r>
      <w:r>
        <w:rPr>
          <w:rFonts w:ascii="Times New Roman" w:hAnsi="Times New Roman" w:cs="Times New Roman"/>
          <w:sz w:val="24"/>
          <w:szCs w:val="24"/>
        </w:rPr>
        <w:t xml:space="preserve"> 44 § 17h</w:t>
      </w:r>
      <w:r w:rsidRPr="00AC4812">
        <w:rPr>
          <w:rFonts w:ascii="Times New Roman" w:hAnsi="Times New Roman" w:cs="Times New Roman"/>
          <w:sz w:val="24"/>
          <w:szCs w:val="24"/>
        </w:rPr>
        <w:t xml:space="preserve"> a </w:t>
      </w:r>
      <w:r w:rsidRPr="00283D1C">
        <w:rPr>
          <w:rFonts w:ascii="Times New Roman" w:hAnsi="Times New Roman" w:cs="Times New Roman"/>
          <w:sz w:val="24"/>
          <w:szCs w:val="24"/>
        </w:rPr>
        <w:t>bodu 1</w:t>
      </w:r>
      <w:r>
        <w:rPr>
          <w:rFonts w:ascii="Times New Roman" w:hAnsi="Times New Roman" w:cs="Times New Roman"/>
          <w:sz w:val="24"/>
          <w:szCs w:val="24"/>
        </w:rPr>
        <w:t xml:space="preserve">31 </w:t>
      </w:r>
      <w:r w:rsidRPr="00AC4812">
        <w:rPr>
          <w:rFonts w:ascii="Times New Roman" w:hAnsi="Times New Roman" w:cs="Times New Roman"/>
          <w:sz w:val="24"/>
          <w:szCs w:val="24"/>
        </w:rPr>
        <w:t xml:space="preserve">§ 52zm, ktoré nadobúdajú účinnosť 1. januára 2019. </w:t>
      </w:r>
    </w:p>
    <w:p w:rsidR="007B2961" w:rsidRPr="00AC4812" w:rsidP="007B2961">
      <w:pPr>
        <w:bidi w:val="0"/>
        <w:spacing w:after="0" w:line="240" w:lineRule="auto"/>
        <w:jc w:val="both"/>
        <w:rPr>
          <w:rFonts w:ascii="Times New Roman" w:hAnsi="Times New Roman" w:cs="Times New Roman"/>
          <w:b/>
          <w:sz w:val="24"/>
          <w:szCs w:val="24"/>
          <w:u w:val="single"/>
        </w:rPr>
      </w:pPr>
    </w:p>
    <w:p w:rsidR="007B2961" w:rsidP="0044777A">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Schválené vládou SR dňa 16. augusta 2017.</w:t>
      </w:r>
    </w:p>
    <w:p w:rsidR="00943CD1" w:rsidP="0044777A">
      <w:pPr>
        <w:bidi w:val="0"/>
        <w:spacing w:after="0" w:line="240" w:lineRule="auto"/>
        <w:jc w:val="both"/>
        <w:rPr>
          <w:rFonts w:ascii="Times New Roman" w:hAnsi="Times New Roman" w:cs="Times New Roman"/>
          <w:sz w:val="24"/>
          <w:szCs w:val="24"/>
        </w:rPr>
      </w:pPr>
    </w:p>
    <w:p w:rsidR="007B2961"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A57582" w:rsidP="0044777A">
      <w:pPr>
        <w:bidi w:val="0"/>
        <w:spacing w:after="0" w:line="240" w:lineRule="auto"/>
        <w:jc w:val="both"/>
        <w:rPr>
          <w:rFonts w:ascii="Times New Roman" w:hAnsi="Times New Roman" w:cs="Times New Roman"/>
          <w:sz w:val="24"/>
          <w:szCs w:val="24"/>
        </w:rPr>
      </w:pPr>
    </w:p>
    <w:p w:rsidR="007B2961" w:rsidRPr="002A3729" w:rsidP="007B2961">
      <w:pPr>
        <w:bidi w:val="0"/>
        <w:spacing w:after="0" w:line="240" w:lineRule="auto"/>
        <w:jc w:val="both"/>
        <w:rPr>
          <w:rFonts w:ascii="Times New Roman" w:hAnsi="Times New Roman"/>
          <w:sz w:val="24"/>
          <w:szCs w:val="24"/>
        </w:rPr>
      </w:pPr>
    </w:p>
    <w:p w:rsidR="007B2961" w:rsidRPr="002A3729" w:rsidP="007B2961">
      <w:pPr>
        <w:bidi w:val="0"/>
        <w:spacing w:after="0" w:line="240" w:lineRule="auto"/>
        <w:jc w:val="center"/>
        <w:rPr>
          <w:rFonts w:ascii="Times New Roman" w:hAnsi="Times New Roman"/>
          <w:b/>
          <w:sz w:val="24"/>
          <w:szCs w:val="24"/>
        </w:rPr>
      </w:pPr>
      <w:r>
        <w:rPr>
          <w:rFonts w:ascii="Times New Roman" w:hAnsi="Times New Roman"/>
          <w:b/>
          <w:sz w:val="24"/>
          <w:szCs w:val="24"/>
        </w:rPr>
        <w:t>Robert Fico</w:t>
      </w:r>
      <w:r w:rsidR="00B565B4">
        <w:rPr>
          <w:rFonts w:ascii="Times New Roman" w:hAnsi="Times New Roman"/>
          <w:b/>
          <w:sz w:val="24"/>
          <w:szCs w:val="24"/>
        </w:rPr>
        <w:t>, v.r.</w:t>
      </w:r>
    </w:p>
    <w:p w:rsidR="007B2961" w:rsidRPr="002A3729" w:rsidP="007B2961">
      <w:pPr>
        <w:bidi w:val="0"/>
        <w:spacing w:after="0" w:line="240" w:lineRule="auto"/>
        <w:jc w:val="center"/>
        <w:rPr>
          <w:rFonts w:ascii="Times New Roman" w:hAnsi="Times New Roman"/>
          <w:sz w:val="24"/>
          <w:szCs w:val="24"/>
        </w:rPr>
      </w:pPr>
      <w:r w:rsidRPr="002A3729">
        <w:rPr>
          <w:rFonts w:ascii="Times New Roman" w:hAnsi="Times New Roman"/>
          <w:sz w:val="24"/>
          <w:szCs w:val="24"/>
        </w:rPr>
        <w:t>predseda vlády Slovenskej republiky</w:t>
      </w:r>
    </w:p>
    <w:p w:rsidR="007B2961" w:rsidRPr="002A3729" w:rsidP="007B2961">
      <w:pPr>
        <w:bidi w:val="0"/>
        <w:spacing w:after="0" w:line="240" w:lineRule="auto"/>
        <w:jc w:val="center"/>
        <w:rPr>
          <w:rFonts w:ascii="Times New Roman" w:hAnsi="Times New Roman"/>
          <w:sz w:val="24"/>
          <w:szCs w:val="24"/>
        </w:rPr>
      </w:pPr>
    </w:p>
    <w:p w:rsidR="007B2961" w:rsidP="007B2961">
      <w:pPr>
        <w:bidi w:val="0"/>
        <w:spacing w:after="0" w:line="240" w:lineRule="auto"/>
        <w:jc w:val="center"/>
        <w:rPr>
          <w:rFonts w:ascii="Times New Roman" w:hAnsi="Times New Roman"/>
          <w:sz w:val="24"/>
          <w:szCs w:val="24"/>
        </w:rPr>
      </w:pPr>
    </w:p>
    <w:p w:rsidR="00943CD1" w:rsidP="007B2961">
      <w:pPr>
        <w:bidi w:val="0"/>
        <w:spacing w:after="0" w:line="240" w:lineRule="auto"/>
        <w:jc w:val="center"/>
        <w:rPr>
          <w:rFonts w:ascii="Times New Roman" w:hAnsi="Times New Roman"/>
          <w:sz w:val="24"/>
          <w:szCs w:val="24"/>
        </w:rPr>
      </w:pPr>
    </w:p>
    <w:p w:rsidR="00A57582" w:rsidP="007B2961">
      <w:pPr>
        <w:bidi w:val="0"/>
        <w:spacing w:after="0" w:line="240" w:lineRule="auto"/>
        <w:jc w:val="center"/>
        <w:rPr>
          <w:rFonts w:ascii="Times New Roman" w:hAnsi="Times New Roman"/>
          <w:sz w:val="24"/>
          <w:szCs w:val="24"/>
        </w:rPr>
      </w:pPr>
    </w:p>
    <w:p w:rsidR="00943CD1" w:rsidRPr="002A3729" w:rsidP="007B2961">
      <w:pPr>
        <w:bidi w:val="0"/>
        <w:spacing w:after="0" w:line="240" w:lineRule="auto"/>
        <w:jc w:val="center"/>
        <w:rPr>
          <w:rFonts w:ascii="Times New Roman" w:hAnsi="Times New Roman"/>
          <w:sz w:val="24"/>
          <w:szCs w:val="24"/>
        </w:rPr>
      </w:pPr>
    </w:p>
    <w:p w:rsidR="007B2961" w:rsidP="007B2961">
      <w:pPr>
        <w:bidi w:val="0"/>
        <w:spacing w:after="0" w:line="240" w:lineRule="auto"/>
        <w:jc w:val="center"/>
        <w:rPr>
          <w:rFonts w:ascii="Times New Roman" w:hAnsi="Times New Roman"/>
          <w:sz w:val="24"/>
          <w:szCs w:val="24"/>
        </w:rPr>
      </w:pPr>
    </w:p>
    <w:p w:rsidR="002B1685" w:rsidRPr="002A3729" w:rsidP="007B2961">
      <w:pPr>
        <w:bidi w:val="0"/>
        <w:spacing w:after="0" w:line="240" w:lineRule="auto"/>
        <w:jc w:val="center"/>
        <w:rPr>
          <w:rFonts w:ascii="Times New Roman" w:hAnsi="Times New Roman"/>
          <w:sz w:val="24"/>
          <w:szCs w:val="24"/>
        </w:rPr>
      </w:pPr>
    </w:p>
    <w:p w:rsidR="007B2961" w:rsidRPr="002A3729" w:rsidP="007B2961">
      <w:pPr>
        <w:bidi w:val="0"/>
        <w:spacing w:after="0" w:line="240" w:lineRule="auto"/>
        <w:jc w:val="center"/>
        <w:rPr>
          <w:rFonts w:ascii="Times New Roman" w:hAnsi="Times New Roman"/>
          <w:b/>
          <w:sz w:val="24"/>
          <w:szCs w:val="24"/>
        </w:rPr>
      </w:pPr>
      <w:r>
        <w:rPr>
          <w:rFonts w:ascii="Times New Roman" w:hAnsi="Times New Roman"/>
          <w:b/>
          <w:sz w:val="24"/>
          <w:szCs w:val="24"/>
        </w:rPr>
        <w:t>Peter Kažimír</w:t>
      </w:r>
      <w:r w:rsidR="00B565B4">
        <w:rPr>
          <w:rFonts w:ascii="Times New Roman" w:hAnsi="Times New Roman"/>
          <w:b/>
          <w:sz w:val="24"/>
          <w:szCs w:val="24"/>
        </w:rPr>
        <w:t>, v.r.</w:t>
      </w:r>
    </w:p>
    <w:p w:rsidR="007B2961" w:rsidRPr="002A3729" w:rsidP="007B2961">
      <w:pPr>
        <w:bidi w:val="0"/>
        <w:spacing w:after="0" w:line="240" w:lineRule="auto"/>
        <w:jc w:val="center"/>
        <w:rPr>
          <w:rFonts w:ascii="Times New Roman" w:hAnsi="Times New Roman"/>
          <w:color w:val="000000"/>
          <w:sz w:val="24"/>
          <w:szCs w:val="24"/>
        </w:rPr>
      </w:pPr>
      <w:r w:rsidRPr="002A3729">
        <w:rPr>
          <w:rFonts w:ascii="Times New Roman" w:hAnsi="Times New Roman"/>
          <w:sz w:val="24"/>
          <w:szCs w:val="24"/>
        </w:rPr>
        <w:t>minister financií Slovenskej republiky</w:t>
      </w:r>
    </w:p>
    <w:p w:rsidR="007B2961" w:rsidP="0044777A">
      <w:pPr>
        <w:bidi w:val="0"/>
        <w:spacing w:after="0" w:line="240" w:lineRule="auto"/>
        <w:jc w:val="both"/>
        <w:rPr>
          <w:rFonts w:ascii="Times New Roman" w:hAnsi="Times New Roman" w:cs="Times New Roman"/>
          <w:sz w:val="24"/>
          <w:szCs w:val="24"/>
        </w:rPr>
      </w:pPr>
    </w:p>
    <w:p w:rsidR="007B2961" w:rsidP="0044777A">
      <w:pPr>
        <w:bidi w:val="0"/>
        <w:spacing w:after="0" w:line="240" w:lineRule="auto"/>
        <w:jc w:val="both"/>
        <w:rPr>
          <w:rFonts w:ascii="Times New Roman" w:hAnsi="Times New Roman" w:cs="Times New Roman"/>
          <w:sz w:val="24"/>
          <w:szCs w:val="24"/>
        </w:rPr>
      </w:pPr>
    </w:p>
    <w:p w:rsidR="007B2961" w:rsidRPr="007B2961" w:rsidP="0044777A">
      <w:pPr>
        <w:bidi w:val="0"/>
        <w:spacing w:after="0" w:line="240" w:lineRule="auto"/>
        <w:jc w:val="both"/>
        <w:rPr>
          <w:rFonts w:ascii="Times New Roman" w:hAnsi="Times New Roman" w:cs="Times New Roman"/>
          <w:sz w:val="24"/>
          <w:szCs w:val="24"/>
        </w:rPr>
      </w:pPr>
    </w:p>
    <w:sectPr w:rsidSect="00A57582">
      <w:pgSz w:w="11906" w:h="16838"/>
      <w:pgMar w:top="1361" w:right="1418" w:bottom="1361"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Arial Narrow"/>
    <w:panose1 w:val="020B0606020202030204"/>
    <w:charset w:val="EE"/>
    <w:family w:val="swiss"/>
    <w:pitch w:val="variable"/>
    <w:sig w:usb0="00000000" w:usb1="00000000" w:usb2="00000000" w:usb3="00000000" w:csb0="0000009F" w:csb1="00000000"/>
  </w:font>
  <w:font w:name="Segoe UI Symbol">
    <w:panose1 w:val="020B0502040204020203"/>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61">
    <w:pPr>
      <w:pStyle w:val="Footer"/>
      <w:bidi w:val="0"/>
      <w:jc w:val="center"/>
    </w:pPr>
    <w:r>
      <w:fldChar w:fldCharType="begin"/>
    </w:r>
    <w:r>
      <w:instrText>PAGE   \* MERGEFORMAT</w:instrText>
    </w:r>
    <w:r>
      <w:fldChar w:fldCharType="separate"/>
    </w:r>
    <w:r w:rsidR="008E08AA">
      <w:rPr>
        <w:noProof/>
      </w:rPr>
      <w:t>14</w:t>
    </w:r>
    <w:r>
      <w:fldChar w:fldCharType="end"/>
    </w:r>
  </w:p>
  <w:p w:rsidR="007B296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abstractNum w:abstractNumId="0">
    <w:nsid w:val="00950BC2"/>
    <w:multiLevelType w:val="hybridMultilevel"/>
    <w:tmpl w:val="C5ACFE6A"/>
    <w:lvl w:ilvl="0">
      <w:start w:val="1"/>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
    <w:nsid w:val="01182A1E"/>
    <w:multiLevelType w:val="hybridMultilevel"/>
    <w:tmpl w:val="7B222CB4"/>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01EB546E"/>
    <w:multiLevelType w:val="hybridMultilevel"/>
    <w:tmpl w:val="AF2EF426"/>
    <w:lvl w:ilvl="0">
      <w:start w:val="1"/>
      <w:numFmt w:val="bullet"/>
      <w:lvlText w:val=""/>
      <w:lvlJc w:val="left"/>
      <w:pPr>
        <w:ind w:left="780" w:hanging="360"/>
      </w:pPr>
      <w:rPr>
        <w:rFonts w:ascii="Symbol" w:hAnsi="Symbol" w:hint="default"/>
        <w:b/>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
    <w:nsid w:val="12A73A57"/>
    <w:multiLevelType w:val="hybridMultilevel"/>
    <w:tmpl w:val="009A81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751291"/>
    <w:multiLevelType w:val="hybridMultilevel"/>
    <w:tmpl w:val="455AE83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0314F5"/>
    <w:multiLevelType w:val="hybridMultilevel"/>
    <w:tmpl w:val="0C1ABD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18E652B9"/>
    <w:multiLevelType w:val="hybridMultilevel"/>
    <w:tmpl w:val="564E5B86"/>
    <w:lvl w:ilvl="0">
      <w:start w:val="1"/>
      <w:numFmt w:val="decimal"/>
      <w:lvlText w:val="%1."/>
      <w:lvlJc w:val="left"/>
      <w:pPr>
        <w:ind w:left="720" w:hanging="360"/>
      </w:pPr>
      <w:rPr>
        <w:rFonts w:ascii="Times New Roman" w:hAnsi="Times New Roman" w:cs="Times New Roman" w:hint="default"/>
        <w:i/>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5801AB"/>
    <w:multiLevelType w:val="hybridMultilevel"/>
    <w:tmpl w:val="571AFD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E16623A"/>
    <w:multiLevelType w:val="hybridMultilevel"/>
    <w:tmpl w:val="61F8DE64"/>
    <w:lvl w:ilvl="0">
      <w:start w:val="24"/>
      <w:numFmt w:val="bullet"/>
      <w:lvlText w:val="-"/>
      <w:lvlJc w:val="left"/>
      <w:pPr>
        <w:ind w:left="720" w:hanging="360"/>
      </w:pPr>
      <w:rPr>
        <w:rFonts w:ascii="Times New Roman" w:eastAsia="Calibri"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1B011D7"/>
    <w:multiLevelType w:val="hybridMultilevel"/>
    <w:tmpl w:val="8B20B1FE"/>
    <w:lvl w:ilvl="0">
      <w:start w:val="0"/>
      <w:numFmt w:val="bullet"/>
      <w:lvlText w:val="•"/>
      <w:lvlJc w:val="left"/>
      <w:pPr>
        <w:ind w:left="1065" w:hanging="705"/>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2BBA28B2"/>
    <w:multiLevelType w:val="hybridMultilevel"/>
    <w:tmpl w:val="B57E1EF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37D512DE"/>
    <w:multiLevelType w:val="hybridMultilevel"/>
    <w:tmpl w:val="47E80E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6B2609"/>
    <w:multiLevelType w:val="hybridMultilevel"/>
    <w:tmpl w:val="3DCE85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42A857A9"/>
    <w:multiLevelType w:val="hybridMultilevel"/>
    <w:tmpl w:val="8806F12E"/>
    <w:lvl w:ilvl="0">
      <w:start w:val="1"/>
      <w:numFmt w:val="bullet"/>
      <w:lvlText w:val=""/>
      <w:lvlJc w:val="left"/>
      <w:pPr>
        <w:ind w:left="1493" w:hanging="360"/>
      </w:pPr>
      <w:rPr>
        <w:rFonts w:ascii="Symbol" w:hAnsi="Symbol" w:hint="default"/>
      </w:rPr>
    </w:lvl>
    <w:lvl w:ilvl="1">
      <w:start w:val="1"/>
      <w:numFmt w:val="bullet"/>
      <w:lvlText w:val="o"/>
      <w:lvlJc w:val="left"/>
      <w:pPr>
        <w:ind w:left="2213" w:hanging="360"/>
      </w:pPr>
      <w:rPr>
        <w:rFonts w:ascii="Courier New" w:hAnsi="Courier New" w:hint="default"/>
      </w:rPr>
    </w:lvl>
    <w:lvl w:ilvl="2">
      <w:start w:val="1"/>
      <w:numFmt w:val="bullet"/>
      <w:lvlText w:val=""/>
      <w:lvlJc w:val="left"/>
      <w:pPr>
        <w:ind w:left="2933" w:hanging="360"/>
      </w:pPr>
      <w:rPr>
        <w:rFonts w:ascii="Wingdings" w:hAnsi="Wingdings" w:hint="default"/>
      </w:rPr>
    </w:lvl>
    <w:lvl w:ilvl="3">
      <w:start w:val="1"/>
      <w:numFmt w:val="bullet"/>
      <w:lvlText w:val=""/>
      <w:lvlJc w:val="left"/>
      <w:pPr>
        <w:ind w:left="3653" w:hanging="360"/>
      </w:pPr>
      <w:rPr>
        <w:rFonts w:ascii="Symbol" w:hAnsi="Symbol" w:hint="default"/>
      </w:rPr>
    </w:lvl>
    <w:lvl w:ilvl="4">
      <w:start w:val="1"/>
      <w:numFmt w:val="bullet"/>
      <w:lvlText w:val="o"/>
      <w:lvlJc w:val="left"/>
      <w:pPr>
        <w:ind w:left="4373" w:hanging="360"/>
      </w:pPr>
      <w:rPr>
        <w:rFonts w:ascii="Courier New" w:hAnsi="Courier New" w:hint="default"/>
      </w:rPr>
    </w:lvl>
    <w:lvl w:ilvl="5">
      <w:start w:val="1"/>
      <w:numFmt w:val="bullet"/>
      <w:lvlText w:val=""/>
      <w:lvlJc w:val="left"/>
      <w:pPr>
        <w:ind w:left="5093" w:hanging="360"/>
      </w:pPr>
      <w:rPr>
        <w:rFonts w:ascii="Wingdings" w:hAnsi="Wingdings" w:hint="default"/>
      </w:rPr>
    </w:lvl>
    <w:lvl w:ilvl="6">
      <w:start w:val="1"/>
      <w:numFmt w:val="bullet"/>
      <w:lvlText w:val=""/>
      <w:lvlJc w:val="left"/>
      <w:pPr>
        <w:ind w:left="5813" w:hanging="360"/>
      </w:pPr>
      <w:rPr>
        <w:rFonts w:ascii="Symbol" w:hAnsi="Symbol" w:hint="default"/>
      </w:rPr>
    </w:lvl>
    <w:lvl w:ilvl="7">
      <w:start w:val="1"/>
      <w:numFmt w:val="bullet"/>
      <w:lvlText w:val="o"/>
      <w:lvlJc w:val="left"/>
      <w:pPr>
        <w:ind w:left="6533" w:hanging="360"/>
      </w:pPr>
      <w:rPr>
        <w:rFonts w:ascii="Courier New" w:hAnsi="Courier New" w:hint="default"/>
      </w:rPr>
    </w:lvl>
    <w:lvl w:ilvl="8">
      <w:start w:val="1"/>
      <w:numFmt w:val="bullet"/>
      <w:lvlText w:val=""/>
      <w:lvlJc w:val="left"/>
      <w:pPr>
        <w:ind w:left="7253" w:hanging="360"/>
      </w:pPr>
      <w:rPr>
        <w:rFonts w:ascii="Wingdings" w:hAnsi="Wingdings" w:hint="default"/>
      </w:rPr>
    </w:lvl>
  </w:abstractNum>
  <w:abstractNum w:abstractNumId="18">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446B6F56"/>
    <w:multiLevelType w:val="hybridMultilevel"/>
    <w:tmpl w:val="47E80E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4BC34BD"/>
    <w:multiLevelType w:val="hybridMultilevel"/>
    <w:tmpl w:val="7DDE495E"/>
    <w:lvl w:ilvl="0">
      <w:start w:val="1"/>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4FB04978"/>
    <w:multiLevelType w:val="hybridMultilevel"/>
    <w:tmpl w:val="DE96B25C"/>
    <w:lvl w:ilvl="0">
      <w:start w:val="1"/>
      <w:numFmt w:val="lowerLetter"/>
      <w:lvlText w:val="%1)"/>
      <w:lvlJc w:val="left"/>
      <w:pPr>
        <w:ind w:left="218" w:hanging="360"/>
      </w:pPr>
      <w:rPr>
        <w:rFonts w:ascii="Times New Roman" w:eastAsia="Times New Roman" w:hAnsi="Times New Roman" w:cs="Times New Roman"/>
        <w:rtl w:val="0"/>
        <w:cs w:val="0"/>
      </w:rPr>
    </w:lvl>
    <w:lvl w:ilvl="1">
      <w:start w:val="1"/>
      <w:numFmt w:val="lowerLetter"/>
      <w:lvlText w:val="%2."/>
      <w:lvlJc w:val="left"/>
      <w:pPr>
        <w:ind w:left="938" w:hanging="360"/>
      </w:pPr>
      <w:rPr>
        <w:rFonts w:cs="Times New Roman"/>
        <w:rtl w:val="0"/>
        <w:cs w:val="0"/>
      </w:rPr>
    </w:lvl>
    <w:lvl w:ilvl="2">
      <w:start w:val="1"/>
      <w:numFmt w:val="lowerRoman"/>
      <w:lvlText w:val="%3."/>
      <w:lvlJc w:val="right"/>
      <w:pPr>
        <w:ind w:left="1658" w:hanging="180"/>
      </w:pPr>
      <w:rPr>
        <w:rFonts w:cs="Times New Roman"/>
        <w:rtl w:val="0"/>
        <w:cs w:val="0"/>
      </w:rPr>
    </w:lvl>
    <w:lvl w:ilvl="3">
      <w:start w:val="1"/>
      <w:numFmt w:val="decimal"/>
      <w:lvlText w:val="%4."/>
      <w:lvlJc w:val="left"/>
      <w:pPr>
        <w:ind w:left="2378" w:hanging="360"/>
      </w:pPr>
      <w:rPr>
        <w:rFonts w:cs="Times New Roman"/>
        <w:rtl w:val="0"/>
        <w:cs w:val="0"/>
      </w:rPr>
    </w:lvl>
    <w:lvl w:ilvl="4">
      <w:start w:val="1"/>
      <w:numFmt w:val="lowerLetter"/>
      <w:lvlText w:val="%5."/>
      <w:lvlJc w:val="left"/>
      <w:pPr>
        <w:ind w:left="3098" w:hanging="360"/>
      </w:pPr>
      <w:rPr>
        <w:rFonts w:cs="Times New Roman"/>
        <w:rtl w:val="0"/>
        <w:cs w:val="0"/>
      </w:rPr>
    </w:lvl>
    <w:lvl w:ilvl="5">
      <w:start w:val="1"/>
      <w:numFmt w:val="lowerRoman"/>
      <w:lvlText w:val="%6."/>
      <w:lvlJc w:val="right"/>
      <w:pPr>
        <w:ind w:left="3818" w:hanging="180"/>
      </w:pPr>
      <w:rPr>
        <w:rFonts w:cs="Times New Roman"/>
        <w:rtl w:val="0"/>
        <w:cs w:val="0"/>
      </w:rPr>
    </w:lvl>
    <w:lvl w:ilvl="6">
      <w:start w:val="1"/>
      <w:numFmt w:val="decimal"/>
      <w:lvlText w:val="%7."/>
      <w:lvlJc w:val="left"/>
      <w:pPr>
        <w:ind w:left="4538" w:hanging="360"/>
      </w:pPr>
      <w:rPr>
        <w:rFonts w:cs="Times New Roman"/>
        <w:rtl w:val="0"/>
        <w:cs w:val="0"/>
      </w:rPr>
    </w:lvl>
    <w:lvl w:ilvl="7">
      <w:start w:val="1"/>
      <w:numFmt w:val="lowerLetter"/>
      <w:lvlText w:val="%8."/>
      <w:lvlJc w:val="left"/>
      <w:pPr>
        <w:ind w:left="5258" w:hanging="360"/>
      </w:pPr>
      <w:rPr>
        <w:rFonts w:cs="Times New Roman"/>
        <w:rtl w:val="0"/>
        <w:cs w:val="0"/>
      </w:rPr>
    </w:lvl>
    <w:lvl w:ilvl="8">
      <w:start w:val="1"/>
      <w:numFmt w:val="lowerRoman"/>
      <w:lvlText w:val="%9."/>
      <w:lvlJc w:val="right"/>
      <w:pPr>
        <w:ind w:left="5978" w:hanging="180"/>
      </w:pPr>
      <w:rPr>
        <w:rFonts w:cs="Times New Roman"/>
        <w:rtl w:val="0"/>
        <w:cs w:val="0"/>
      </w:rPr>
    </w:lvl>
  </w:abstractNum>
  <w:abstractNum w:abstractNumId="23">
    <w:nsid w:val="59D87971"/>
    <w:multiLevelType w:val="hybridMultilevel"/>
    <w:tmpl w:val="F35E144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nsid w:val="5C9B77D4"/>
    <w:multiLevelType w:val="multilevel"/>
    <w:tmpl w:val="B9268C54"/>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6">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EC03B49"/>
    <w:multiLevelType w:val="hybridMultilevel"/>
    <w:tmpl w:val="571AFD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0">
    <w:nsid w:val="64E43DB7"/>
    <w:multiLevelType w:val="hybridMultilevel"/>
    <w:tmpl w:val="BCD0EF50"/>
    <w:lvl w:ilvl="0">
      <w:start w:val="0"/>
      <w:numFmt w:val="bullet"/>
      <w:lvlText w:val="-"/>
      <w:lvlJc w:val="left"/>
      <w:pPr>
        <w:ind w:left="720" w:hanging="360"/>
      </w:pPr>
      <w:rPr>
        <w:rFonts w:ascii="Arial Narrow" w:hAnsi="Arial Narrow"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085009"/>
    <w:multiLevelType w:val="hybridMultilevel"/>
    <w:tmpl w:val="67DE287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B41DE2"/>
    <w:multiLevelType w:val="hybridMultilevel"/>
    <w:tmpl w:val="53487726"/>
    <w:lvl w:ilvl="0">
      <w:start w:val="0"/>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A226C93"/>
    <w:multiLevelType w:val="hybridMultilevel"/>
    <w:tmpl w:val="788AA182"/>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5">
    <w:nsid w:val="6AE9439D"/>
    <w:multiLevelType w:val="hybridMultilevel"/>
    <w:tmpl w:val="2C4A7880"/>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nsid w:val="79824904"/>
    <w:multiLevelType w:val="hybridMultilevel"/>
    <w:tmpl w:val="B5AADEB0"/>
    <w:lvl w:ilvl="0">
      <w:start w:val="0"/>
      <w:numFmt w:val="bullet"/>
      <w:lvlText w:val="-"/>
      <w:lvlJc w:val="left"/>
      <w:pPr>
        <w:ind w:left="720" w:hanging="360"/>
      </w:pPr>
      <w:rPr>
        <w:rFonts w:ascii="Arial Narrow" w:hAnsi="Arial Narrow"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A83359F"/>
    <w:multiLevelType w:val="hybridMultilevel"/>
    <w:tmpl w:val="C42690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AC40453"/>
    <w:multiLevelType w:val="hybridMultilevel"/>
    <w:tmpl w:val="0648364A"/>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B570E34"/>
    <w:multiLevelType w:val="hybridMultilevel"/>
    <w:tmpl w:val="0F54517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42">
    <w:nsid w:val="7E7B19D8"/>
    <w:multiLevelType w:val="hybridMultilevel"/>
    <w:tmpl w:val="DDB88C0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1"/>
  </w:num>
  <w:num w:numId="5">
    <w:abstractNumId w:val="11"/>
  </w:num>
  <w:num w:numId="6">
    <w:abstractNumId w:val="34"/>
  </w:num>
  <w:num w:numId="7">
    <w:abstractNumId w:val="32"/>
  </w:num>
  <w:num w:numId="8">
    <w:abstractNumId w:val="23"/>
  </w:num>
  <w:num w:numId="9">
    <w:abstractNumId w:val="20"/>
  </w:num>
  <w:num w:numId="10">
    <w:abstractNumId w:val="17"/>
  </w:num>
  <w:num w:numId="11">
    <w:abstractNumId w:val="8"/>
  </w:num>
  <w:num w:numId="12">
    <w:abstractNumId w:val="42"/>
  </w:num>
  <w:num w:numId="13">
    <w:abstractNumId w:val="39"/>
  </w:num>
  <w:num w:numId="14">
    <w:abstractNumId w:val="35"/>
  </w:num>
  <w:num w:numId="15">
    <w:abstractNumId w:val="21"/>
  </w:num>
  <w:num w:numId="16">
    <w:abstractNumId w:val="12"/>
  </w:num>
  <w:num w:numId="17">
    <w:abstractNumId w:val="25"/>
  </w:num>
  <w:num w:numId="18">
    <w:abstractNumId w:val="31"/>
  </w:num>
  <w:num w:numId="19">
    <w:abstractNumId w:val="24"/>
  </w:num>
  <w:num w:numId="20">
    <w:abstractNumId w:val="29"/>
  </w:num>
  <w:num w:numId="21">
    <w:abstractNumId w:val="2"/>
  </w:num>
  <w:num w:numId="22">
    <w:abstractNumId w:val="16"/>
  </w:num>
  <w:num w:numId="23">
    <w:abstractNumId w:val="18"/>
  </w:num>
  <w:num w:numId="24">
    <w:abstractNumId w:val="7"/>
  </w:num>
  <w:num w:numId="25">
    <w:abstractNumId w:val="26"/>
  </w:num>
  <w:num w:numId="26">
    <w:abstractNumId w:val="36"/>
  </w:num>
  <w:num w:numId="27">
    <w:abstractNumId w:val="28"/>
  </w:num>
  <w:num w:numId="28">
    <w:abstractNumId w:val="4"/>
  </w:num>
  <w:num w:numId="29">
    <w:abstractNumId w:val="27"/>
  </w:num>
  <w:num w:numId="30">
    <w:abstractNumId w:val="37"/>
  </w:num>
  <w:num w:numId="31">
    <w:abstractNumId w:val="30"/>
  </w:num>
  <w:num w:numId="32">
    <w:abstractNumId w:val="15"/>
  </w:num>
  <w:num w:numId="33">
    <w:abstractNumId w:val="9"/>
  </w:num>
  <w:num w:numId="34">
    <w:abstractNumId w:val="10"/>
  </w:num>
  <w:num w:numId="35">
    <w:abstractNumId w:val="22"/>
  </w:num>
  <w:num w:numId="36">
    <w:abstractNumId w:val="1"/>
  </w:num>
  <w:num w:numId="37">
    <w:abstractNumId w:val="13"/>
  </w:num>
  <w:num w:numId="38">
    <w:abstractNumId w:val="38"/>
  </w:num>
  <w:num w:numId="39">
    <w:abstractNumId w:val="19"/>
  </w:num>
  <w:num w:numId="40">
    <w:abstractNumId w:val="14"/>
  </w:num>
  <w:num w:numId="41">
    <w:abstractNumId w:val="6"/>
  </w:num>
  <w:num w:numId="42">
    <w:abstractNumId w:val="40"/>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5169E"/>
    <w:rsid w:val="0002556C"/>
    <w:rsid w:val="00047E2B"/>
    <w:rsid w:val="00053509"/>
    <w:rsid w:val="00053AFA"/>
    <w:rsid w:val="00070546"/>
    <w:rsid w:val="000706D2"/>
    <w:rsid w:val="000C35A3"/>
    <w:rsid w:val="000E1143"/>
    <w:rsid w:val="000E2CB8"/>
    <w:rsid w:val="000F4E4C"/>
    <w:rsid w:val="000F5D08"/>
    <w:rsid w:val="001246B4"/>
    <w:rsid w:val="00134639"/>
    <w:rsid w:val="00153DB7"/>
    <w:rsid w:val="001639AC"/>
    <w:rsid w:val="001656F9"/>
    <w:rsid w:val="001C2D0D"/>
    <w:rsid w:val="001C53DB"/>
    <w:rsid w:val="001E56CA"/>
    <w:rsid w:val="00204EF7"/>
    <w:rsid w:val="002114AC"/>
    <w:rsid w:val="00212894"/>
    <w:rsid w:val="00224A84"/>
    <w:rsid w:val="002344C2"/>
    <w:rsid w:val="002668B4"/>
    <w:rsid w:val="00283D1C"/>
    <w:rsid w:val="002A021A"/>
    <w:rsid w:val="002A3729"/>
    <w:rsid w:val="002B1685"/>
    <w:rsid w:val="002D1539"/>
    <w:rsid w:val="002E4361"/>
    <w:rsid w:val="002E53C4"/>
    <w:rsid w:val="002F5B4C"/>
    <w:rsid w:val="003119EE"/>
    <w:rsid w:val="0035169E"/>
    <w:rsid w:val="00355AF7"/>
    <w:rsid w:val="00366F03"/>
    <w:rsid w:val="00373ECE"/>
    <w:rsid w:val="00385E37"/>
    <w:rsid w:val="003941D0"/>
    <w:rsid w:val="003A066D"/>
    <w:rsid w:val="003C33E6"/>
    <w:rsid w:val="00404C5D"/>
    <w:rsid w:val="00440704"/>
    <w:rsid w:val="0044777A"/>
    <w:rsid w:val="00470D8D"/>
    <w:rsid w:val="004D77EC"/>
    <w:rsid w:val="004F1881"/>
    <w:rsid w:val="00506D17"/>
    <w:rsid w:val="00506DDC"/>
    <w:rsid w:val="00507365"/>
    <w:rsid w:val="00510C05"/>
    <w:rsid w:val="0051689A"/>
    <w:rsid w:val="00526826"/>
    <w:rsid w:val="00531C70"/>
    <w:rsid w:val="005552DC"/>
    <w:rsid w:val="00566371"/>
    <w:rsid w:val="005A7FD7"/>
    <w:rsid w:val="005C3E80"/>
    <w:rsid w:val="005C4B64"/>
    <w:rsid w:val="005E2690"/>
    <w:rsid w:val="005E6012"/>
    <w:rsid w:val="00607CF5"/>
    <w:rsid w:val="00626715"/>
    <w:rsid w:val="00641824"/>
    <w:rsid w:val="00656A11"/>
    <w:rsid w:val="0067658D"/>
    <w:rsid w:val="00685BF0"/>
    <w:rsid w:val="00697122"/>
    <w:rsid w:val="006B3646"/>
    <w:rsid w:val="006B4351"/>
    <w:rsid w:val="006F12F2"/>
    <w:rsid w:val="00711EF3"/>
    <w:rsid w:val="00752C01"/>
    <w:rsid w:val="00761D6F"/>
    <w:rsid w:val="007923D7"/>
    <w:rsid w:val="007B2961"/>
    <w:rsid w:val="007B6510"/>
    <w:rsid w:val="007D5748"/>
    <w:rsid w:val="007F1A39"/>
    <w:rsid w:val="007F2E44"/>
    <w:rsid w:val="00854854"/>
    <w:rsid w:val="00881789"/>
    <w:rsid w:val="008D2B39"/>
    <w:rsid w:val="008D339D"/>
    <w:rsid w:val="008E08AA"/>
    <w:rsid w:val="008E6776"/>
    <w:rsid w:val="008F30E3"/>
    <w:rsid w:val="00900448"/>
    <w:rsid w:val="00907C81"/>
    <w:rsid w:val="00914076"/>
    <w:rsid w:val="00943CD1"/>
    <w:rsid w:val="00961ABF"/>
    <w:rsid w:val="00962D75"/>
    <w:rsid w:val="00997C4D"/>
    <w:rsid w:val="009C2789"/>
    <w:rsid w:val="009F69EF"/>
    <w:rsid w:val="00A15FD4"/>
    <w:rsid w:val="00A241DB"/>
    <w:rsid w:val="00A45B6A"/>
    <w:rsid w:val="00A47553"/>
    <w:rsid w:val="00A57087"/>
    <w:rsid w:val="00A57582"/>
    <w:rsid w:val="00A82D40"/>
    <w:rsid w:val="00A85909"/>
    <w:rsid w:val="00AC4812"/>
    <w:rsid w:val="00AC5B68"/>
    <w:rsid w:val="00AD48B8"/>
    <w:rsid w:val="00B5458A"/>
    <w:rsid w:val="00B565B4"/>
    <w:rsid w:val="00B6544D"/>
    <w:rsid w:val="00BD2F86"/>
    <w:rsid w:val="00BE0AA4"/>
    <w:rsid w:val="00C0323B"/>
    <w:rsid w:val="00C041E9"/>
    <w:rsid w:val="00C67AAA"/>
    <w:rsid w:val="00C83337"/>
    <w:rsid w:val="00C874C9"/>
    <w:rsid w:val="00CA2924"/>
    <w:rsid w:val="00CB7B58"/>
    <w:rsid w:val="00CC18D0"/>
    <w:rsid w:val="00CC217A"/>
    <w:rsid w:val="00CD5793"/>
    <w:rsid w:val="00CD63EF"/>
    <w:rsid w:val="00D24094"/>
    <w:rsid w:val="00D26C83"/>
    <w:rsid w:val="00D70344"/>
    <w:rsid w:val="00DA01F2"/>
    <w:rsid w:val="00DA4547"/>
    <w:rsid w:val="00E008FB"/>
    <w:rsid w:val="00E25749"/>
    <w:rsid w:val="00E42036"/>
    <w:rsid w:val="00E770DD"/>
    <w:rsid w:val="00EC7D75"/>
    <w:rsid w:val="00ED036E"/>
    <w:rsid w:val="00F15D1F"/>
    <w:rsid w:val="00F711B9"/>
    <w:rsid w:val="00FB5382"/>
    <w:rsid w:val="00FC44C7"/>
    <w:rsid w:val="00FD07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35169E"/>
    <w:pPr>
      <w:spacing w:after="0" w:line="240" w:lineRule="auto"/>
      <w:ind w:left="720"/>
      <w:contextualSpacing/>
      <w:jc w:val="left"/>
    </w:pPr>
    <w:rPr>
      <w:rFonts w:ascii="Times New Roman" w:hAnsi="Times New Roman" w:cs="Times New Roman"/>
      <w:sz w:val="24"/>
      <w:szCs w:val="24"/>
      <w:lang w:eastAsia="sk-SK"/>
    </w:rPr>
  </w:style>
  <w:style w:type="paragraph" w:styleId="BalloonText">
    <w:name w:val="Balloon Text"/>
    <w:basedOn w:val="Normal"/>
    <w:link w:val="TextbublinyChar"/>
    <w:uiPriority w:val="99"/>
    <w:semiHidden/>
    <w:unhideWhenUsed/>
    <w:rsid w:val="004F1881"/>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F1881"/>
    <w:rPr>
      <w:rFonts w:ascii="Segoe UI" w:hAnsi="Segoe UI" w:cs="Segoe UI"/>
      <w:sz w:val="18"/>
      <w:szCs w:val="18"/>
      <w:rtl w:val="0"/>
      <w:cs w:val="0"/>
    </w:rPr>
  </w:style>
  <w:style w:type="table" w:styleId="TableGrid">
    <w:name w:val="Table Grid"/>
    <w:basedOn w:val="TableNormal"/>
    <w:uiPriority w:val="59"/>
    <w:rsid w:val="001346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34639"/>
    <w:rPr>
      <w:rFonts w:cs="Times New Roman"/>
      <w:color w:val="0563C1" w:themeColor="hlink" w:themeShade="FF"/>
      <w:u w:val="single"/>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2E4361"/>
    <w:rPr>
      <w:rFonts w:ascii="Times New Roman" w:hAnsi="Times New Roman" w:cs="Times New Roman"/>
      <w:sz w:val="24"/>
      <w:szCs w:val="24"/>
      <w:rtl w:val="0"/>
      <w:cs w:val="0"/>
      <w:lang w:val="x-none" w:eastAsia="sk-SK"/>
    </w:rPr>
  </w:style>
  <w:style w:type="paragraph" w:styleId="Header">
    <w:name w:val="header"/>
    <w:basedOn w:val="Normal"/>
    <w:link w:val="HlavikaChar"/>
    <w:uiPriority w:val="99"/>
    <w:unhideWhenUsed/>
    <w:rsid w:val="002E436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E4361"/>
    <w:rPr>
      <w:rFonts w:cs="Times New Roman"/>
      <w:rtl w:val="0"/>
      <w:cs w:val="0"/>
    </w:rPr>
  </w:style>
  <w:style w:type="paragraph" w:styleId="Footer">
    <w:name w:val="footer"/>
    <w:basedOn w:val="Normal"/>
    <w:link w:val="PtaChar"/>
    <w:uiPriority w:val="99"/>
    <w:unhideWhenUsed/>
    <w:rsid w:val="002E436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E4361"/>
    <w:rPr>
      <w:rFonts w:cs="Times New Roman"/>
      <w:rtl w:val="0"/>
      <w:cs w:val="0"/>
    </w:rPr>
  </w:style>
  <w:style w:type="paragraph" w:styleId="BodyTextIndent">
    <w:name w:val="Body Text Indent"/>
    <w:basedOn w:val="Normal"/>
    <w:link w:val="ZarkazkladnhotextuChar"/>
    <w:uiPriority w:val="99"/>
    <w:rsid w:val="007B2961"/>
    <w:pPr>
      <w:spacing w:after="120" w:line="240" w:lineRule="auto"/>
      <w:ind w:left="283"/>
      <w:jc w:val="left"/>
    </w:pPr>
    <w:rPr>
      <w:rFonts w:ascii="Times New Roman" w:hAnsi="Times New Roman" w:cs="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7B2961"/>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7B2961"/>
    <w:rPr>
      <w:rFonts w:cs="Times New Roman"/>
      <w:i/>
      <w:rtl w:val="0"/>
      <w:cs w:val="0"/>
    </w:rPr>
  </w:style>
  <w:style w:type="character" w:styleId="Strong">
    <w:name w:val="Strong"/>
    <w:basedOn w:val="DefaultParagraphFont"/>
    <w:uiPriority w:val="22"/>
    <w:qFormat/>
    <w:rsid w:val="007B2961"/>
    <w:rPr>
      <w:rFonts w:cs="Times New Roman"/>
      <w:b/>
      <w:bCs/>
      <w:rtl w:val="0"/>
      <w:cs w:val="0"/>
    </w:rPr>
  </w:style>
  <w:style w:type="character" w:customStyle="1" w:styleId="h1a2">
    <w:name w:val="h1a2"/>
    <w:basedOn w:val="DefaultParagraphFont"/>
    <w:rsid w:val="007B2961"/>
    <w:rPr>
      <w:rFonts w:cs="Times New Roman"/>
      <w:vanish w:val="0"/>
      <w:webHidden/>
      <w:sz w:val="24"/>
      <w:szCs w:val="24"/>
      <w:rtl w:val="0"/>
      <w:cs w:val="0"/>
    </w:rPr>
  </w:style>
  <w:style w:type="paragraph" w:customStyle="1" w:styleId="default">
    <w:name w:val="default"/>
    <w:basedOn w:val="Normal"/>
    <w:rsid w:val="007B2961"/>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Default0">
    <w:name w:val="Default"/>
    <w:basedOn w:val="Normal"/>
    <w:rsid w:val="007B2961"/>
    <w:pPr>
      <w:autoSpaceDE w:val="0"/>
      <w:autoSpaceDN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chaela.vidova@mfsr.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26D5-01E4-421B-91D4-A9CFD575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55</Pages>
  <Words>23489</Words>
  <Characters>133893</Characters>
  <Application>Microsoft Office Word</Application>
  <DocSecurity>0</DocSecurity>
  <Lines>0</Lines>
  <Paragraphs>0</Paragraphs>
  <ScaleCrop>false</ScaleCrop>
  <Company>Ministerstvo financií SR</Company>
  <LinksUpToDate>false</LinksUpToDate>
  <CharactersWithSpaces>157068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2</cp:revision>
  <cp:lastPrinted>2017-08-16T14:23:00Z</cp:lastPrinted>
  <dcterms:created xsi:type="dcterms:W3CDTF">2017-08-21T11:10:00Z</dcterms:created>
  <dcterms:modified xsi:type="dcterms:W3CDTF">2017-08-21T11:10:00Z</dcterms:modified>
</cp:coreProperties>
</file>