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9A7314" w:rsidRPr="00275B71" w:rsidP="00275B71">
      <w:pPr>
        <w:pStyle w:val="Normlnywebov1"/>
        <w:bidi w:val="0"/>
        <w:spacing w:before="120" w:after="0" w:line="276" w:lineRule="auto"/>
        <w:jc w:val="center"/>
        <w:rPr>
          <w:rFonts w:ascii="Book Antiqua" w:hAnsi="Book Antiqua" w:cs="Book Antiqua"/>
          <w:sz w:val="22"/>
          <w:szCs w:val="22"/>
        </w:rPr>
      </w:pPr>
      <w:r w:rsidRPr="00275B71">
        <w:rPr>
          <w:rFonts w:ascii="Book Antiqua" w:hAnsi="Book Antiqua" w:cs="Book Antiqua"/>
          <w:b/>
          <w:bCs/>
          <w:caps/>
          <w:spacing w:val="30"/>
          <w:sz w:val="22"/>
          <w:szCs w:val="22"/>
        </w:rPr>
        <w:t>DôvodovÁ SPRÁVA</w:t>
      </w:r>
    </w:p>
    <w:p w:rsidR="009A7314" w:rsidRPr="00275B71" w:rsidP="00275B71">
      <w:pPr>
        <w:pStyle w:val="Heading1"/>
        <w:bidi w:val="0"/>
        <w:spacing w:before="120" w:line="276" w:lineRule="auto"/>
        <w:jc w:val="both"/>
        <w:rPr>
          <w:rFonts w:ascii="Book Antiqua" w:hAnsi="Book Antiqua" w:cs="Book Antiqua"/>
          <w:sz w:val="22"/>
          <w:szCs w:val="22"/>
        </w:rPr>
      </w:pPr>
      <w:r w:rsidRPr="00275B71">
        <w:rPr>
          <w:rFonts w:ascii="Book Antiqua" w:hAnsi="Book Antiqua" w:cs="Book Antiqua"/>
          <w:sz w:val="22"/>
          <w:szCs w:val="22"/>
        </w:rPr>
        <w:t>A. Všeobecná časť</w:t>
      </w:r>
    </w:p>
    <w:p w:rsidR="009A7314" w:rsidRPr="00275B71" w:rsidP="00275B71">
      <w:pPr>
        <w:bidi w:val="0"/>
        <w:spacing w:before="120" w:after="0"/>
        <w:ind w:firstLine="709"/>
        <w:jc w:val="both"/>
        <w:rPr>
          <w:rFonts w:ascii="Book Antiqua" w:hAnsi="Book Antiqua" w:cs="Arial"/>
        </w:rPr>
      </w:pPr>
      <w:r w:rsidRPr="00275B71">
        <w:rPr>
          <w:rFonts w:ascii="Book Antiqua" w:hAnsi="Book Antiqua" w:cs="Book Antiqua"/>
        </w:rPr>
        <w:t xml:space="preserve">Návrh zákona, ktorým </w:t>
      </w:r>
      <w:r w:rsidRPr="00275B71" w:rsidR="00145187">
        <w:rPr>
          <w:rFonts w:ascii="Book Antiqua" w:hAnsi="Book Antiqua" w:cs="Book Antiqua"/>
          <w:bCs/>
        </w:rPr>
        <w:t xml:space="preserve">sa mení a </w:t>
      </w:r>
      <w:r w:rsidRPr="00275B71">
        <w:rPr>
          <w:rFonts w:ascii="Book Antiqua" w:hAnsi="Book Antiqua" w:cs="Book Antiqua"/>
          <w:bCs/>
        </w:rPr>
        <w:t xml:space="preserve">dopĺňa zákon č. 311/2001 Z. z. Zákonník práce </w:t>
      </w:r>
      <w:r w:rsidRPr="00275B71">
        <w:rPr>
          <w:rFonts w:ascii="Book Antiqua" w:hAnsi="Book Antiqua" w:cs="Book Antiqua"/>
        </w:rPr>
        <w:t>v znení neskorších predpisov (ďalej len „návrh zákona“) predkladá do legislatívneho procesu skupina poslancov Národnej rady Slovenskej republiky za hnutie OBYČAJNÍ ĽUDIA a</w:t>
      </w:r>
      <w:r w:rsidR="00452642">
        <w:rPr>
          <w:rFonts w:ascii="Book Antiqua" w:hAnsi="Book Antiqua" w:cs="Book Antiqua"/>
        </w:rPr>
        <w:t> nezávislé osobnosti (OĽANO</w:t>
      </w:r>
      <w:r w:rsidRPr="00275B71">
        <w:rPr>
          <w:rFonts w:ascii="Book Antiqua" w:hAnsi="Book Antiqua" w:cs="Book Antiqua"/>
        </w:rPr>
        <w:t>).</w:t>
      </w:r>
    </w:p>
    <w:p w:rsidR="00800509" w:rsidRPr="00275B71" w:rsidP="00275B71">
      <w:pPr>
        <w:suppressAutoHyphens w:val="0"/>
        <w:bidi w:val="0"/>
        <w:spacing w:before="120" w:after="0"/>
        <w:ind w:firstLine="709"/>
        <w:jc w:val="both"/>
        <w:rPr>
          <w:rFonts w:ascii="Book Antiqua" w:hAnsi="Book Antiqua" w:cs="Arial"/>
        </w:rPr>
      </w:pPr>
      <w:r w:rsidRPr="00275B71" w:rsidR="00A07287">
        <w:rPr>
          <w:rFonts w:ascii="Book Antiqua" w:hAnsi="Book Antiqua" w:cs="Arial"/>
        </w:rPr>
        <w:t>Práca s ľuďmi je všeobecne považovaná za jednu z najťažších. Okrem toho, že taká práca kladie vysoké nároky na odbornosť, pohotovosť či príjemné vystupovanie zamestnanca, predstavuje daný zamestn</w:t>
      </w:r>
      <w:r w:rsidRPr="00275B71" w:rsidR="00FC4661">
        <w:rPr>
          <w:rFonts w:ascii="Book Antiqua" w:hAnsi="Book Antiqua" w:cs="Arial"/>
        </w:rPr>
        <w:t>anec spravidla aj tzv.</w:t>
      </w:r>
      <w:r w:rsidRPr="00275B71" w:rsidR="00A07287">
        <w:rPr>
          <w:rFonts w:ascii="Book Antiqua" w:hAnsi="Book Antiqua" w:cs="Arial"/>
        </w:rPr>
        <w:t xml:space="preserve"> nárazníkovú zónu medzi problémami </w:t>
      </w:r>
      <w:r w:rsidRPr="00275B71">
        <w:rPr>
          <w:rFonts w:ascii="Book Antiqua" w:hAnsi="Book Antiqua" w:cs="Arial"/>
        </w:rPr>
        <w:t>klienta s </w:t>
      </w:r>
      <w:r w:rsidRPr="00275B71" w:rsidR="00A07287">
        <w:rPr>
          <w:rFonts w:ascii="Book Antiqua" w:hAnsi="Book Antiqua" w:cs="Arial"/>
        </w:rPr>
        <w:t>inštitúciou</w:t>
      </w:r>
      <w:r w:rsidRPr="00275B71">
        <w:rPr>
          <w:rFonts w:ascii="Book Antiqua" w:hAnsi="Book Antiqua" w:cs="Arial"/>
        </w:rPr>
        <w:t xml:space="preserve"> pre ktorú pracuje, čo len zvyšuje riziko vypätých a stresových situácii.</w:t>
      </w:r>
    </w:p>
    <w:p w:rsidR="0083400A" w:rsidRPr="00275B71" w:rsidP="00275B71">
      <w:pPr>
        <w:suppressAutoHyphens w:val="0"/>
        <w:bidi w:val="0"/>
        <w:spacing w:before="120" w:after="0"/>
        <w:ind w:firstLine="709"/>
        <w:jc w:val="both"/>
        <w:rPr>
          <w:rFonts w:ascii="Book Antiqua" w:hAnsi="Book Antiqua" w:cs="Arial"/>
        </w:rPr>
      </w:pPr>
      <w:r w:rsidRPr="00275B71" w:rsidR="00800509">
        <w:rPr>
          <w:rFonts w:ascii="Book Antiqua" w:hAnsi="Book Antiqua" w:cs="Arial"/>
        </w:rPr>
        <w:t>Pedagogický zamestnanec je ukážkovým príkladom zamestnanca, ktorý vyššie popísané nároky bezpodmienečne musí spĺňať a zároveň dennodenne čeliť uvedeným rizikám. Vyššia miera trpezlivosti voči žiakom</w:t>
      </w:r>
      <w:r w:rsidRPr="00275B71" w:rsidR="00FC4661">
        <w:rPr>
          <w:rFonts w:ascii="Book Antiqua" w:hAnsi="Book Antiqua" w:cs="Arial"/>
        </w:rPr>
        <w:t>,</w:t>
      </w:r>
      <w:r w:rsidRPr="00275B71" w:rsidR="00800509">
        <w:rPr>
          <w:rFonts w:ascii="Book Antiqua" w:hAnsi="Book Antiqua" w:cs="Arial"/>
        </w:rPr>
        <w:t xml:space="preserve"> či neraz aj strpenie bežne neakceptovateľných situácii a do</w:t>
      </w:r>
      <w:r w:rsidRPr="00275B71" w:rsidR="00FC4661">
        <w:rPr>
          <w:rFonts w:ascii="Book Antiqua" w:hAnsi="Book Antiqua" w:cs="Arial"/>
        </w:rPr>
        <w:t xml:space="preserve"> istej miery často aj nahrádzanie</w:t>
      </w:r>
      <w:r w:rsidRPr="00275B71" w:rsidR="00800509">
        <w:rPr>
          <w:rFonts w:ascii="Book Antiqua" w:hAnsi="Book Antiqua" w:cs="Arial"/>
        </w:rPr>
        <w:t xml:space="preserve"> rodičovských povinností len zvýrazňujú n</w:t>
      </w:r>
      <w:r w:rsidRPr="00275B71">
        <w:rPr>
          <w:rFonts w:ascii="Book Antiqua" w:hAnsi="Book Antiqua" w:cs="Arial"/>
        </w:rPr>
        <w:t xml:space="preserve">áročnosť tohto povolania. </w:t>
      </w:r>
    </w:p>
    <w:p w:rsidR="0083400A" w:rsidRPr="00275B71" w:rsidP="00275B71">
      <w:pPr>
        <w:suppressAutoHyphens w:val="0"/>
        <w:bidi w:val="0"/>
        <w:spacing w:before="120" w:after="0"/>
        <w:ind w:firstLine="709"/>
        <w:jc w:val="both"/>
        <w:rPr>
          <w:rFonts w:ascii="Book Antiqua" w:hAnsi="Book Antiqua" w:cs="Arial"/>
        </w:rPr>
      </w:pPr>
      <w:r w:rsidRPr="00275B71">
        <w:rPr>
          <w:rFonts w:ascii="Book Antiqua" w:hAnsi="Book Antiqua" w:cs="Arial"/>
        </w:rPr>
        <w:t xml:space="preserve">Dôkladné a svedomité plnenie povinností pedagogických zamestnancov si bezpochyby vyžaduje dobrú fyzickú aj psychickú kondíciu. </w:t>
      </w:r>
      <w:r w:rsidRPr="00275B71" w:rsidR="00425757">
        <w:rPr>
          <w:rFonts w:ascii="Book Antiqua" w:hAnsi="Book Antiqua" w:cs="Arial"/>
        </w:rPr>
        <w:t xml:space="preserve">Práca pedagóga sa od </w:t>
      </w:r>
      <w:r w:rsidRPr="00275B71">
        <w:rPr>
          <w:rFonts w:ascii="Book Antiqua" w:hAnsi="Book Antiqua" w:cs="Arial"/>
        </w:rPr>
        <w:t xml:space="preserve">určitého momentu </w:t>
      </w:r>
      <w:r w:rsidRPr="00275B71" w:rsidR="00425757">
        <w:rPr>
          <w:rFonts w:ascii="Book Antiqua" w:hAnsi="Book Antiqua" w:cs="Arial"/>
        </w:rPr>
        <w:t>stáva</w:t>
      </w:r>
      <w:r w:rsidRPr="00275B71">
        <w:rPr>
          <w:rFonts w:ascii="Book Antiqua" w:hAnsi="Book Antiqua" w:cs="Arial"/>
        </w:rPr>
        <w:t xml:space="preserve"> s pribúdajúcim vekom čoraz</w:t>
      </w:r>
      <w:r w:rsidRPr="00275B71" w:rsidR="00425757">
        <w:rPr>
          <w:rFonts w:ascii="Book Antiqua" w:hAnsi="Book Antiqua" w:cs="Arial"/>
        </w:rPr>
        <w:t xml:space="preserve"> náročnejšia</w:t>
      </w:r>
      <w:r w:rsidRPr="00275B71">
        <w:rPr>
          <w:rFonts w:ascii="Book Antiqua" w:hAnsi="Book Antiqua" w:cs="Arial"/>
        </w:rPr>
        <w:t xml:space="preserve">. </w:t>
      </w:r>
      <w:r w:rsidRPr="00275B71" w:rsidR="00425757">
        <w:rPr>
          <w:rFonts w:ascii="Book Antiqua" w:hAnsi="Book Antiqua" w:cs="Arial"/>
        </w:rPr>
        <w:t>Bez zveličovania pritom možno konštatovať, že s dosiahnutím istého veku sa už vykonávaná práca stáva neefektívnou a dokonca kontraproduktívnou.</w:t>
      </w:r>
    </w:p>
    <w:p w:rsidR="00CB566F" w:rsidRPr="00275B71" w:rsidP="00275B71">
      <w:pPr>
        <w:suppressAutoHyphens w:val="0"/>
        <w:bidi w:val="0"/>
        <w:spacing w:before="120" w:after="0"/>
        <w:ind w:firstLine="709"/>
        <w:jc w:val="both"/>
        <w:rPr>
          <w:rFonts w:ascii="Book Antiqua" w:hAnsi="Book Antiqua" w:cs="Arial"/>
          <w:b/>
        </w:rPr>
      </w:pPr>
      <w:r w:rsidRPr="00275B71" w:rsidR="00425757">
        <w:rPr>
          <w:rFonts w:ascii="Book Antiqua" w:hAnsi="Book Antiqua" w:cs="Arial"/>
        </w:rPr>
        <w:t xml:space="preserve">Na základe uvedených skutočností sa preto </w:t>
      </w:r>
      <w:r w:rsidRPr="00275B71" w:rsidR="00425757">
        <w:rPr>
          <w:rFonts w:ascii="Book Antiqua" w:hAnsi="Book Antiqua" w:cs="Arial"/>
          <w:b/>
        </w:rPr>
        <w:t xml:space="preserve">navrhuje </w:t>
      </w:r>
      <w:r w:rsidRPr="00275B71" w:rsidR="00362D91">
        <w:rPr>
          <w:rFonts w:ascii="Book Antiqua" w:hAnsi="Book Antiqua" w:cs="Arial"/>
          <w:b/>
        </w:rPr>
        <w:t>stanoviť pevnú vekovú hranicu, dosiahnutím ktorej automaticky zanikne jeho učiteľský pracovný pomer</w:t>
      </w:r>
      <w:r w:rsidRPr="00275B71" w:rsidR="00362D91">
        <w:rPr>
          <w:rFonts w:ascii="Book Antiqua" w:hAnsi="Book Antiqua" w:cs="Arial"/>
        </w:rPr>
        <w:t xml:space="preserve">. Z dôvodu možných negatívnych následkov takéhoto skončenia pracovného pomeru, </w:t>
      </w:r>
      <w:r w:rsidRPr="00275B71" w:rsidR="00362D91">
        <w:rPr>
          <w:rFonts w:ascii="Book Antiqua" w:hAnsi="Book Antiqua" w:cs="Arial"/>
          <w:b/>
        </w:rPr>
        <w:t>sa</w:t>
      </w:r>
      <w:r w:rsidRPr="00275B71" w:rsidR="00362D91">
        <w:rPr>
          <w:rFonts w:ascii="Book Antiqua" w:hAnsi="Book Antiqua" w:cs="Arial"/>
        </w:rPr>
        <w:t xml:space="preserve"> </w:t>
      </w:r>
      <w:r w:rsidRPr="00275B71" w:rsidR="00362D91">
        <w:rPr>
          <w:rFonts w:ascii="Book Antiqua" w:hAnsi="Book Antiqua" w:cs="Arial"/>
          <w:b/>
        </w:rPr>
        <w:t xml:space="preserve">zároveň zavádza možnosť </w:t>
      </w:r>
      <w:r w:rsidRPr="00275B71" w:rsidR="00FC4661">
        <w:rPr>
          <w:rFonts w:ascii="Book Antiqua" w:hAnsi="Book Antiqua" w:cs="Arial"/>
          <w:b/>
        </w:rPr>
        <w:t>zmeny</w:t>
      </w:r>
      <w:r w:rsidRPr="00275B71" w:rsidR="00362D91">
        <w:rPr>
          <w:rFonts w:ascii="Book Antiqua" w:hAnsi="Book Antiqua" w:cs="Arial"/>
          <w:b/>
        </w:rPr>
        <w:t xml:space="preserve"> pracovných podmienok, a tým aj predĺženia pracovnej zmluvy o ďalšie 2 roky</w:t>
      </w:r>
      <w:r w:rsidRPr="00275B71" w:rsidR="00FC4661">
        <w:rPr>
          <w:rFonts w:ascii="Book Antiqua" w:hAnsi="Book Antiqua" w:cs="Arial"/>
          <w:b/>
        </w:rPr>
        <w:t>, a to v rámci uvedeného obdobia aj opakovane</w:t>
      </w:r>
      <w:r w:rsidRPr="00275B71" w:rsidR="00362D91">
        <w:rPr>
          <w:rFonts w:ascii="Book Antiqua" w:hAnsi="Book Antiqua" w:cs="Arial"/>
          <w:b/>
        </w:rPr>
        <w:t>.</w:t>
      </w:r>
    </w:p>
    <w:p w:rsidR="00D132FB" w:rsidRPr="00275B71" w:rsidP="00275B71">
      <w:pPr>
        <w:suppressAutoHyphens w:val="0"/>
        <w:bidi w:val="0"/>
        <w:spacing w:before="120" w:after="0"/>
        <w:ind w:firstLine="709"/>
        <w:jc w:val="both"/>
        <w:rPr>
          <w:rFonts w:ascii="Book Antiqua" w:hAnsi="Book Antiqua" w:cs="Arial"/>
        </w:rPr>
      </w:pPr>
      <w:r w:rsidRPr="00275B71" w:rsidR="00CB566F">
        <w:rPr>
          <w:rFonts w:ascii="Book Antiqua" w:hAnsi="Book Antiqua" w:cs="Arial"/>
        </w:rPr>
        <w:t>Pri postupne sa zvyšujúcom dôchodkovom veku, je nezavedenie „vekového stropu“ pre učiteľov jednak prejavom hlbokej neúcty voči nim a zároveň podcenenie očakáv</w:t>
      </w:r>
      <w:r w:rsidRPr="00275B71" w:rsidR="00FC4661">
        <w:rPr>
          <w:rFonts w:ascii="Book Antiqua" w:hAnsi="Book Antiqua" w:cs="Arial"/>
        </w:rPr>
        <w:t xml:space="preserve">aní žiakov od svojich učiteľov. </w:t>
      </w:r>
      <w:r w:rsidRPr="00275B71" w:rsidR="00CB566F">
        <w:rPr>
          <w:rFonts w:ascii="Book Antiqua" w:hAnsi="Book Antiqua" w:cs="Arial"/>
        </w:rPr>
        <w:t xml:space="preserve">Navrhnutá </w:t>
      </w:r>
      <w:r w:rsidRPr="00275B71" w:rsidR="003D0C98">
        <w:rPr>
          <w:rFonts w:ascii="Book Antiqua" w:hAnsi="Book Antiqua" w:cs="Arial"/>
        </w:rPr>
        <w:t xml:space="preserve">právna </w:t>
      </w:r>
      <w:r w:rsidRPr="00275B71" w:rsidR="00CB566F">
        <w:rPr>
          <w:rFonts w:ascii="Book Antiqua" w:hAnsi="Book Antiqua" w:cs="Arial"/>
        </w:rPr>
        <w:t>úprava nie je v slovenskom právnom poriadku úplne nová</w:t>
      </w:r>
      <w:r w:rsidRPr="00275B71" w:rsidR="00FC4661">
        <w:rPr>
          <w:rFonts w:ascii="Book Antiqua" w:hAnsi="Book Antiqua" w:cs="Arial"/>
        </w:rPr>
        <w:t xml:space="preserve">. V podstate zanikne pracovný pomer </w:t>
      </w:r>
      <w:r w:rsidRPr="00275B71" w:rsidR="003D0C98">
        <w:rPr>
          <w:rFonts w:ascii="Book Antiqua" w:hAnsi="Book Antiqua" w:cs="Arial"/>
        </w:rPr>
        <w:t>zo zákona</w:t>
      </w:r>
      <w:r w:rsidRPr="00275B71" w:rsidR="00FC4661">
        <w:rPr>
          <w:rFonts w:ascii="Book Antiqua" w:hAnsi="Book Antiqua" w:cs="Arial"/>
        </w:rPr>
        <w:t xml:space="preserve"> rovnako ako je to možné u štátnych zamestnancov v prípade skončenia štátnozamestnaneckého pomeru zo zákona pri dosiahnutí veku 65 rokov, a to podľa zákona č. 55/2017 Z. z. o štátnej službe a o zmene a doplnení </w:t>
      </w:r>
      <w:r w:rsidR="00275B71">
        <w:rPr>
          <w:rFonts w:ascii="Book Antiqua" w:hAnsi="Book Antiqua" w:cs="Arial"/>
        </w:rPr>
        <w:t>niektorých zákonov</w:t>
      </w:r>
      <w:r w:rsidRPr="00275B71" w:rsidR="00FC4661">
        <w:rPr>
          <w:rFonts w:ascii="Book Antiqua" w:hAnsi="Book Antiqua" w:cs="Arial"/>
        </w:rPr>
        <w:t>.</w:t>
      </w:r>
    </w:p>
    <w:p w:rsidR="009A7314" w:rsidRPr="00275B71" w:rsidP="00275B71">
      <w:pPr>
        <w:pStyle w:val="Normlnywebov1"/>
        <w:bidi w:val="0"/>
        <w:spacing w:before="120" w:after="0" w:line="276" w:lineRule="auto"/>
        <w:ind w:firstLine="708"/>
        <w:jc w:val="both"/>
        <w:rPr>
          <w:rFonts w:ascii="Book Antiqua" w:hAnsi="Book Antiqua" w:cs="Book Antiqua"/>
          <w:sz w:val="22"/>
          <w:szCs w:val="22"/>
        </w:rPr>
      </w:pPr>
      <w:r w:rsidRPr="00275B71">
        <w:rPr>
          <w:rFonts w:ascii="Book Antiqua" w:hAnsi="Book Antiqua" w:cs="Book Antiqua"/>
          <w:sz w:val="22"/>
          <w:szCs w:val="22"/>
        </w:rPr>
        <w:t>Predkladaný návrh zákona bude mať pozitívne sociálne vplyvy</w:t>
      </w:r>
      <w:r w:rsidRPr="00275B71" w:rsidR="00362D91">
        <w:rPr>
          <w:rFonts w:ascii="Book Antiqua" w:hAnsi="Book Antiqua" w:cs="Book Antiqua"/>
          <w:sz w:val="22"/>
          <w:szCs w:val="22"/>
        </w:rPr>
        <w:t>, a to bez vplyvov na rozpočet verejnej správy</w:t>
      </w:r>
      <w:r w:rsidRPr="00275B71" w:rsidR="006C16FC">
        <w:rPr>
          <w:rFonts w:ascii="Book Antiqua" w:hAnsi="Book Antiqua" w:cs="Book Antiqua"/>
          <w:sz w:val="22"/>
          <w:szCs w:val="22"/>
        </w:rPr>
        <w:t>.</w:t>
      </w:r>
      <w:r w:rsidRPr="00275B71">
        <w:rPr>
          <w:rFonts w:ascii="Book Antiqua" w:hAnsi="Book Antiqua" w:cs="Book Antiqua"/>
          <w:sz w:val="22"/>
          <w:szCs w:val="22"/>
        </w:rPr>
        <w:t xml:space="preserve"> Návrh zákona nebude mať žiadny vplyv na </w:t>
      </w:r>
      <w:r w:rsidRPr="00275B71" w:rsidR="00CB566F">
        <w:rPr>
          <w:rFonts w:ascii="Book Antiqua" w:hAnsi="Book Antiqua" w:cs="Book Antiqua"/>
          <w:sz w:val="22"/>
          <w:szCs w:val="22"/>
        </w:rPr>
        <w:t xml:space="preserve">podnikateľské prostredie, </w:t>
      </w:r>
      <w:r w:rsidRPr="00275B71">
        <w:rPr>
          <w:rFonts w:ascii="Book Antiqua" w:hAnsi="Book Antiqua" w:cs="Book Antiqua"/>
          <w:sz w:val="22"/>
          <w:szCs w:val="22"/>
        </w:rPr>
        <w:t>životné prostredie ani na informatizáciu spoločnosti.</w:t>
      </w:r>
    </w:p>
    <w:p w:rsidR="003A4B9B" w:rsidRPr="00275B71" w:rsidP="00275B71">
      <w:pPr>
        <w:pStyle w:val="Normlnywebov1"/>
        <w:bidi w:val="0"/>
        <w:spacing w:before="120" w:after="0" w:line="276" w:lineRule="auto"/>
        <w:ind w:firstLine="708"/>
        <w:jc w:val="both"/>
        <w:rPr>
          <w:rFonts w:ascii="Book Antiqua" w:hAnsi="Book Antiqua" w:cs="Book Antiqua"/>
          <w:sz w:val="22"/>
          <w:szCs w:val="22"/>
        </w:rPr>
      </w:pPr>
      <w:r w:rsidRPr="00275B71" w:rsidR="009A7314">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w:t>
      </w:r>
      <w:r w:rsidRPr="00275B71">
        <w:rPr>
          <w:rFonts w:ascii="Book Antiqua" w:hAnsi="Book Antiqua" w:cs="Book Antiqua"/>
          <w:sz w:val="22"/>
          <w:szCs w:val="22"/>
        </w:rPr>
        <w:t>zaná a s právom Európskej únie.</w:t>
      </w:r>
    </w:p>
    <w:p w:rsidR="009A7314" w:rsidRPr="00275B71" w:rsidP="00275B71">
      <w:pPr>
        <w:pStyle w:val="Normlnywebov1"/>
        <w:bidi w:val="0"/>
        <w:spacing w:before="120" w:after="0" w:line="276" w:lineRule="auto"/>
        <w:jc w:val="both"/>
        <w:rPr>
          <w:rFonts w:ascii="Book Antiqua" w:hAnsi="Book Antiqua" w:cs="Book Antiqua"/>
          <w:b/>
          <w:sz w:val="22"/>
          <w:szCs w:val="22"/>
        </w:rPr>
      </w:pPr>
      <w:r w:rsidRPr="00275B71">
        <w:rPr>
          <w:rFonts w:ascii="Book Antiqua" w:hAnsi="Book Antiqua"/>
          <w:b/>
          <w:sz w:val="22"/>
          <w:szCs w:val="22"/>
        </w:rPr>
        <w:t>B. Osobitná časť</w:t>
      </w:r>
    </w:p>
    <w:p w:rsidR="009A7314" w:rsidRPr="00275B71" w:rsidP="00275B71">
      <w:pPr>
        <w:bidi w:val="0"/>
        <w:spacing w:before="120" w:after="0"/>
        <w:jc w:val="both"/>
        <w:rPr>
          <w:rFonts w:ascii="Book Antiqua" w:hAnsi="Book Antiqua" w:cs="Book Antiqua"/>
          <w:b/>
        </w:rPr>
      </w:pPr>
    </w:p>
    <w:p w:rsidR="009A7314" w:rsidRPr="00275B71" w:rsidP="00275B71">
      <w:pPr>
        <w:bidi w:val="0"/>
        <w:spacing w:before="120" w:after="0"/>
        <w:jc w:val="both"/>
        <w:rPr>
          <w:rFonts w:ascii="Book Antiqua" w:hAnsi="Book Antiqua" w:cs="Book Antiqua"/>
          <w:u w:val="single"/>
        </w:rPr>
      </w:pPr>
      <w:r w:rsidRPr="00275B71">
        <w:rPr>
          <w:rFonts w:ascii="Book Antiqua" w:hAnsi="Book Antiqua" w:cs="Book Antiqua"/>
          <w:b/>
        </w:rPr>
        <w:t>K Čl. I</w:t>
      </w:r>
    </w:p>
    <w:p w:rsidR="009A7314" w:rsidRPr="00275B71" w:rsidP="00275B71">
      <w:pPr>
        <w:bidi w:val="0"/>
        <w:spacing w:before="120" w:after="0"/>
        <w:jc w:val="both"/>
        <w:rPr>
          <w:rFonts w:ascii="Book Antiqua" w:hAnsi="Book Antiqua" w:cs="Book Antiqua"/>
        </w:rPr>
      </w:pPr>
      <w:r w:rsidRPr="00275B71">
        <w:rPr>
          <w:rFonts w:ascii="Book Antiqua" w:hAnsi="Book Antiqua" w:cs="Book Antiqua"/>
          <w:u w:val="single"/>
        </w:rPr>
        <w:t>K bodu 1</w:t>
      </w:r>
    </w:p>
    <w:p w:rsidR="00425757" w:rsidRPr="00275B71" w:rsidP="00275B71">
      <w:pPr>
        <w:bidi w:val="0"/>
        <w:spacing w:before="120" w:after="0"/>
        <w:jc w:val="both"/>
        <w:rPr>
          <w:rFonts w:ascii="Book Antiqua" w:hAnsi="Book Antiqua"/>
        </w:rPr>
      </w:pPr>
      <w:r w:rsidRPr="00275B71" w:rsidR="009A7314">
        <w:rPr>
          <w:rFonts w:ascii="Book Antiqua" w:hAnsi="Book Antiqua" w:cs="Book Antiqua"/>
        </w:rPr>
        <w:tab/>
      </w:r>
      <w:r w:rsidRPr="00275B71" w:rsidR="0083400A">
        <w:rPr>
          <w:rFonts w:ascii="Book Antiqua" w:hAnsi="Book Antiqua"/>
        </w:rPr>
        <w:t>Je nespochybniteľným faktom, že nároky na pedagogických zamestnancov sa z roka na rok zvyšujú</w:t>
      </w:r>
      <w:r w:rsidRPr="00275B71" w:rsidR="00843F85">
        <w:rPr>
          <w:rFonts w:ascii="Book Antiqua" w:hAnsi="Book Antiqua"/>
        </w:rPr>
        <w:t>.</w:t>
      </w:r>
      <w:r w:rsidRPr="00275B71" w:rsidR="0083400A">
        <w:rPr>
          <w:rFonts w:ascii="Book Antiqua" w:hAnsi="Book Antiqua"/>
        </w:rPr>
        <w:t xml:space="preserve"> Odhliadnuc od stále narastajúcej administratívy pre učiteľov, nároky na učiteľov rastú najmä zo strany žiakov a ich rodičov. </w:t>
      </w:r>
      <w:r w:rsidRPr="00275B71">
        <w:rPr>
          <w:rFonts w:ascii="Book Antiqua" w:hAnsi="Book Antiqua"/>
        </w:rPr>
        <w:t xml:space="preserve">Učiteľom je neraz či už priamo alebo nepriamo vyčítaný dokonca aj stav slovenského školstva. </w:t>
      </w:r>
      <w:r w:rsidRPr="00275B71" w:rsidR="0083400A">
        <w:rPr>
          <w:rFonts w:ascii="Book Antiqua" w:hAnsi="Book Antiqua"/>
        </w:rPr>
        <w:t xml:space="preserve"> </w:t>
      </w:r>
    </w:p>
    <w:p w:rsidR="003D0C98" w:rsidRPr="00275B71" w:rsidP="00275B71">
      <w:pPr>
        <w:suppressAutoHyphens w:val="0"/>
        <w:bidi w:val="0"/>
        <w:spacing w:before="120" w:after="0"/>
        <w:ind w:firstLine="709"/>
        <w:jc w:val="both"/>
        <w:rPr>
          <w:rFonts w:ascii="Book Antiqua" w:hAnsi="Book Antiqua" w:cs="Arial"/>
        </w:rPr>
      </w:pPr>
      <w:r w:rsidRPr="00275B71">
        <w:rPr>
          <w:rFonts w:ascii="Book Antiqua" w:hAnsi="Book Antiqua" w:cs="Arial"/>
        </w:rPr>
        <w:t xml:space="preserve">Pedagogický zamestnanec je ukážkovým príkladom zamestnanca, na ktorého je tlak vyvíjaný nie len zo strany žiakov, ale aj zo strany ich rodičov či spoločnosti ako celku. Obrovská miera zodpovednosti za žiakov, množstvo stresových či iných vypätých situácii je pre pedagogického zamestnanca už každodenná rutina. Dôsledné plnenie si všetkých povinností a zároveň priateľský aj výchovný prístup voči žiakom sa priamoúmerne odráža na fyzickej a psychickej kondícii každého učiteľa. </w:t>
      </w:r>
      <w:r w:rsidRPr="00275B71" w:rsidR="00302143">
        <w:rPr>
          <w:rFonts w:ascii="Book Antiqua" w:hAnsi="Book Antiqua" w:cs="Arial"/>
        </w:rPr>
        <w:t>A to bez ohľadu na to</w:t>
      </w:r>
      <w:r w:rsidRPr="00275B71" w:rsidR="00275B71">
        <w:rPr>
          <w:rFonts w:ascii="Book Antiqua" w:hAnsi="Book Antiqua" w:cs="Arial"/>
        </w:rPr>
        <w:t>, či si to uvedomuje</w:t>
      </w:r>
      <w:r w:rsidRPr="00275B71" w:rsidR="00302143">
        <w:rPr>
          <w:rFonts w:ascii="Book Antiqua" w:hAnsi="Book Antiqua" w:cs="Arial"/>
        </w:rPr>
        <w:t xml:space="preserve">. </w:t>
      </w:r>
    </w:p>
    <w:p w:rsidR="00D54DD6" w:rsidRPr="00275B71" w:rsidP="00275B71">
      <w:pPr>
        <w:suppressAutoHyphens w:val="0"/>
        <w:bidi w:val="0"/>
        <w:spacing w:before="120" w:after="0"/>
        <w:ind w:firstLine="709"/>
        <w:jc w:val="both"/>
        <w:rPr>
          <w:rFonts w:ascii="Book Antiqua" w:hAnsi="Book Antiqua" w:cs="Arial"/>
        </w:rPr>
      </w:pPr>
      <w:r w:rsidRPr="00275B71">
        <w:rPr>
          <w:rFonts w:ascii="Book Antiqua" w:hAnsi="Book Antiqua" w:cs="Arial"/>
        </w:rPr>
        <w:t>Na základ</w:t>
      </w:r>
      <w:r w:rsidRPr="00275B71" w:rsidR="00275B71">
        <w:rPr>
          <w:rFonts w:ascii="Book Antiqua" w:hAnsi="Book Antiqua" w:cs="Arial"/>
        </w:rPr>
        <w:t xml:space="preserve">e uvedených dôvodov </w:t>
      </w:r>
      <w:r w:rsidRPr="00275B71" w:rsidR="00275B71">
        <w:rPr>
          <w:rFonts w:ascii="Book Antiqua" w:hAnsi="Book Antiqua" w:cs="Arial"/>
          <w:b/>
        </w:rPr>
        <w:t>sa navrhuje ustanoviť zánik</w:t>
      </w:r>
      <w:r w:rsidRPr="00275B71">
        <w:rPr>
          <w:rFonts w:ascii="Book Antiqua" w:hAnsi="Book Antiqua" w:cs="Arial"/>
          <w:b/>
        </w:rPr>
        <w:t xml:space="preserve"> p</w:t>
      </w:r>
      <w:r w:rsidRPr="00275B71" w:rsidR="00275B71">
        <w:rPr>
          <w:rFonts w:ascii="Book Antiqua" w:hAnsi="Book Antiqua" w:cs="Arial"/>
          <w:b/>
        </w:rPr>
        <w:t xml:space="preserve">racovného pomeru aj </w:t>
      </w:r>
      <w:r w:rsidRPr="00275B71">
        <w:rPr>
          <w:rFonts w:ascii="Book Antiqua" w:hAnsi="Book Antiqua" w:cs="Arial"/>
          <w:b/>
        </w:rPr>
        <w:t>po dosiahnutí veku 65 rokov</w:t>
      </w:r>
      <w:r w:rsidRPr="00275B71" w:rsidR="00275B71">
        <w:rPr>
          <w:rFonts w:ascii="Book Antiqua" w:hAnsi="Book Antiqua" w:cs="Arial"/>
          <w:b/>
        </w:rPr>
        <w:t>, a to výlučne pre pedagogického zamestnanca</w:t>
      </w:r>
      <w:r w:rsidRPr="00275B71">
        <w:rPr>
          <w:rFonts w:ascii="Book Antiqua" w:hAnsi="Book Antiqua" w:cs="Arial"/>
        </w:rPr>
        <w:t>. Z dôvodu zamedzenia možných nepriaznivých dôsledkov takejto úpravy, najmä dočasný nedostatok pedagogických zamestnancov, sa zavádza možnosť predĺženia tohto pracovného pomeru, najviac však na dva roky</w:t>
      </w:r>
      <w:r w:rsidRPr="00275B71" w:rsidR="00275B71">
        <w:rPr>
          <w:rFonts w:ascii="Book Antiqua" w:hAnsi="Book Antiqua" w:cs="Arial"/>
        </w:rPr>
        <w:t>, a to v rámci uvedenej doby aj opakovane</w:t>
      </w:r>
      <w:r w:rsidRPr="00275B71">
        <w:rPr>
          <w:rFonts w:ascii="Book Antiqua" w:hAnsi="Book Antiqua" w:cs="Arial"/>
        </w:rPr>
        <w:t xml:space="preserve">. </w:t>
      </w:r>
    </w:p>
    <w:p w:rsidR="00D54DD6" w:rsidRPr="00275B71" w:rsidP="00275B71">
      <w:pPr>
        <w:suppressAutoHyphens w:val="0"/>
        <w:bidi w:val="0"/>
        <w:spacing w:before="120" w:after="0"/>
        <w:ind w:firstLine="709"/>
        <w:jc w:val="both"/>
        <w:rPr>
          <w:rFonts w:ascii="Book Antiqua" w:hAnsi="Book Antiqua" w:cs="Arial"/>
        </w:rPr>
      </w:pPr>
      <w:r w:rsidRPr="00275B71">
        <w:rPr>
          <w:rFonts w:ascii="Book Antiqua" w:hAnsi="Book Antiqua" w:cs="Arial"/>
        </w:rPr>
        <w:t xml:space="preserve">Obdobie dvoch rokov je plne dostačujúce na prípadné doplnenie si kvalifikácie aj pre začínajúcich učiteľov z radov absolventov.  </w:t>
      </w:r>
    </w:p>
    <w:p w:rsidR="00302143" w:rsidRPr="00275B71" w:rsidP="00275B71">
      <w:pPr>
        <w:pStyle w:val="NormalWeb"/>
        <w:tabs>
          <w:tab w:val="left" w:pos="284"/>
        </w:tabs>
        <w:bidi w:val="0"/>
        <w:spacing w:before="120" w:after="0" w:line="276" w:lineRule="auto"/>
        <w:jc w:val="both"/>
        <w:rPr>
          <w:rFonts w:ascii="Book Antiqua" w:hAnsi="Book Antiqua"/>
          <w:sz w:val="22"/>
          <w:szCs w:val="22"/>
        </w:rPr>
      </w:pPr>
      <w:r w:rsidRPr="00275B71" w:rsidR="00BA3D35">
        <w:rPr>
          <w:rFonts w:ascii="Book Antiqua" w:hAnsi="Book Antiqua"/>
          <w:color w:val="FF0000"/>
          <w:sz w:val="22"/>
          <w:szCs w:val="22"/>
        </w:rPr>
        <w:tab/>
        <w:tab/>
      </w:r>
      <w:r w:rsidRPr="00275B71">
        <w:rPr>
          <w:rFonts w:ascii="Book Antiqua" w:hAnsi="Book Antiqua"/>
          <w:sz w:val="22"/>
          <w:szCs w:val="22"/>
        </w:rPr>
        <w:t>Zákon č. 365/2004 Z. z. o rovnakom zaobchádzaní v niektorých oblastiach a o ochrane pred diskrimináciou a o zmene a doplnení niektorých zákonov v znení neskorších predpisov definuje aj niektoré prípustné f</w:t>
      </w:r>
      <w:r w:rsidR="00275B71">
        <w:rPr>
          <w:rFonts w:ascii="Book Antiqua" w:hAnsi="Book Antiqua"/>
          <w:sz w:val="22"/>
          <w:szCs w:val="22"/>
        </w:rPr>
        <w:t xml:space="preserve">ormy rozdielneho zaobchádzania. </w:t>
      </w:r>
      <w:r w:rsidRPr="00275B71">
        <w:rPr>
          <w:rFonts w:ascii="Book Antiqua" w:hAnsi="Book Antiqua"/>
          <w:sz w:val="22"/>
          <w:szCs w:val="22"/>
        </w:rPr>
        <w:t xml:space="preserve">V danej súvislosti je smerodajné ustanovenie § 8 ods. 3 písm. a), podľa ktorého sa za diskrimináciu nepovažuje ustanovenie minimálnej alebo maximálnej vekovej hranice ako podmienky na vstup do zamestnania, pričom takéto opatrenie musí byť objektívne odôvodnené, nevyhnutné a primerané s ohľadom na dosiahnutie sledovaného cieľa. </w:t>
      </w:r>
    </w:p>
    <w:p w:rsidR="00302143" w:rsidRPr="00275B71" w:rsidP="00275B71">
      <w:pPr>
        <w:pStyle w:val="NormalWeb"/>
        <w:bidi w:val="0"/>
        <w:spacing w:before="120" w:after="0" w:line="276" w:lineRule="auto"/>
        <w:ind w:firstLine="709"/>
        <w:jc w:val="both"/>
        <w:rPr>
          <w:rFonts w:ascii="Book Antiqua" w:hAnsi="Book Antiqua"/>
          <w:sz w:val="22"/>
          <w:szCs w:val="22"/>
        </w:rPr>
      </w:pPr>
      <w:r w:rsidRPr="00275B71">
        <w:rPr>
          <w:rFonts w:ascii="Book Antiqua" w:hAnsi="Book Antiqua"/>
          <w:sz w:val="22"/>
          <w:szCs w:val="22"/>
        </w:rPr>
        <w:t>Odôvodnenosť predmetného opatrenia je daná snahou o podporu celkovej zamestnanosti v Slovenskej republike a taktiež zamestnávania absolventov vysokých a </w:t>
      </w:r>
      <w:r w:rsidR="00275B71">
        <w:rPr>
          <w:rFonts w:ascii="Book Antiqua" w:hAnsi="Book Antiqua"/>
          <w:sz w:val="22"/>
          <w:szCs w:val="22"/>
        </w:rPr>
        <w:t xml:space="preserve">stredných škôl na úkor </w:t>
      </w:r>
      <w:r w:rsidRPr="00275B71">
        <w:rPr>
          <w:rFonts w:ascii="Book Antiqua" w:hAnsi="Book Antiqua"/>
          <w:sz w:val="22"/>
          <w:szCs w:val="22"/>
        </w:rPr>
        <w:t>zamestnancov</w:t>
      </w:r>
      <w:r w:rsidR="00275B71">
        <w:rPr>
          <w:rFonts w:ascii="Book Antiqua" w:hAnsi="Book Antiqua"/>
          <w:sz w:val="22"/>
          <w:szCs w:val="22"/>
        </w:rPr>
        <w:t xml:space="preserve"> vo verejnej služby (výkone prác vo verejnom záujme)</w:t>
      </w:r>
      <w:r w:rsidRPr="00275B71">
        <w:rPr>
          <w:rFonts w:ascii="Book Antiqua" w:hAnsi="Book Antiqua"/>
          <w:sz w:val="22"/>
          <w:szCs w:val="22"/>
        </w:rPr>
        <w:t>, ktorí dovŕšili vek odchodu do dôchodku, z titulu ktorého sú poberateľmi starobného dôchodku a zároveň im prináleží aj funkčný pl</w:t>
      </w:r>
      <w:r w:rsidR="00275B71">
        <w:rPr>
          <w:rFonts w:ascii="Book Antiqua" w:hAnsi="Book Antiqua"/>
          <w:sz w:val="22"/>
          <w:szCs w:val="22"/>
        </w:rPr>
        <w:t>at za vykonávanie takejto práce vo verejnom záujme</w:t>
      </w:r>
      <w:r w:rsidRPr="00275B71">
        <w:rPr>
          <w:rFonts w:ascii="Book Antiqua" w:hAnsi="Book Antiqua"/>
          <w:sz w:val="22"/>
          <w:szCs w:val="22"/>
        </w:rPr>
        <w:t xml:space="preserve">. </w:t>
      </w:r>
    </w:p>
    <w:p w:rsidR="00302143" w:rsidRPr="00275B71" w:rsidP="00275B71">
      <w:pPr>
        <w:pStyle w:val="NormalWeb"/>
        <w:bidi w:val="0"/>
        <w:spacing w:before="120" w:after="0" w:line="276" w:lineRule="auto"/>
        <w:ind w:firstLine="709"/>
        <w:jc w:val="both"/>
        <w:rPr>
          <w:rFonts w:ascii="Book Antiqua" w:hAnsi="Book Antiqua"/>
          <w:sz w:val="22"/>
          <w:szCs w:val="22"/>
        </w:rPr>
      </w:pPr>
      <w:r w:rsidRPr="00275B71">
        <w:rPr>
          <w:rFonts w:ascii="Book Antiqua" w:hAnsi="Book Antiqua"/>
          <w:sz w:val="22"/>
          <w:szCs w:val="22"/>
        </w:rPr>
        <w:t>Primeranosť navrhovaného ustan</w:t>
      </w:r>
      <w:r w:rsidR="00275B71">
        <w:rPr>
          <w:rFonts w:ascii="Book Antiqua" w:hAnsi="Book Antiqua"/>
          <w:sz w:val="22"/>
          <w:szCs w:val="22"/>
        </w:rPr>
        <w:t>ovenia je zjavná aj z dôvodu, že veková hranica nie je</w:t>
      </w:r>
      <w:r w:rsidRPr="00275B71">
        <w:rPr>
          <w:rFonts w:ascii="Book Antiqua" w:hAnsi="Book Antiqua"/>
          <w:sz w:val="22"/>
          <w:szCs w:val="22"/>
        </w:rPr>
        <w:t xml:space="preserve"> naviazaná na všeobecnú zákonnú úpravu vzniku nároku na priznanie starob</w:t>
      </w:r>
      <w:r w:rsidR="00275B71">
        <w:rPr>
          <w:rFonts w:ascii="Book Antiqua" w:hAnsi="Book Antiqua"/>
          <w:sz w:val="22"/>
          <w:szCs w:val="22"/>
        </w:rPr>
        <w:t>ného dôchodku (62 rokov), ale je</w:t>
      </w:r>
      <w:r w:rsidRPr="00275B71">
        <w:rPr>
          <w:rFonts w:ascii="Book Antiqua" w:hAnsi="Book Antiqua"/>
          <w:sz w:val="22"/>
          <w:szCs w:val="22"/>
        </w:rPr>
        <w:t xml:space="preserve"> zvolená vyššia hranica, navyše s možnosťou jej predĺženia o ďalších </w:t>
      </w:r>
      <w:r w:rsidRPr="00275B71" w:rsidR="006C366C">
        <w:rPr>
          <w:rFonts w:ascii="Book Antiqua" w:hAnsi="Book Antiqua"/>
          <w:sz w:val="22"/>
          <w:szCs w:val="22"/>
        </w:rPr>
        <w:t>24</w:t>
      </w:r>
      <w:r w:rsidRPr="00275B71">
        <w:rPr>
          <w:rFonts w:ascii="Book Antiqua" w:hAnsi="Book Antiqua"/>
          <w:sz w:val="22"/>
          <w:szCs w:val="22"/>
        </w:rPr>
        <w:t xml:space="preserve"> mesiacov. Uvedeným sú splnené podmienky objektívneho odôvodnenia, nevyhnutnosti a primeranosti zavedenia vekového cenzu ako opatrenia, ktoré je v súlade s antidiskriminačným zákonom.</w:t>
      </w:r>
    </w:p>
    <w:p w:rsidR="00275B71" w:rsidP="00275B71">
      <w:pPr>
        <w:bidi w:val="0"/>
        <w:spacing w:before="120" w:after="0"/>
        <w:jc w:val="both"/>
        <w:rPr>
          <w:rFonts w:ascii="Book Antiqua" w:hAnsi="Book Antiqua" w:cs="Book Antiqua"/>
          <w:u w:val="single"/>
        </w:rPr>
      </w:pPr>
      <w:r w:rsidRPr="00275B71">
        <w:rPr>
          <w:rFonts w:ascii="Book Antiqua" w:hAnsi="Book Antiqua" w:cs="Book Antiqua"/>
          <w:u w:val="single"/>
        </w:rPr>
        <w:t xml:space="preserve">K bodu </w:t>
      </w:r>
      <w:r>
        <w:rPr>
          <w:rFonts w:ascii="Book Antiqua" w:hAnsi="Book Antiqua" w:cs="Book Antiqua"/>
          <w:u w:val="single"/>
        </w:rPr>
        <w:t>2</w:t>
      </w:r>
    </w:p>
    <w:p w:rsidR="00275B71" w:rsidP="00275B71">
      <w:pPr>
        <w:bidi w:val="0"/>
        <w:spacing w:before="120" w:after="0"/>
        <w:jc w:val="both"/>
        <w:rPr>
          <w:rFonts w:ascii="Book Antiqua" w:hAnsi="Book Antiqua" w:cs="Book Antiqua"/>
        </w:rPr>
      </w:pPr>
      <w:r>
        <w:rPr>
          <w:rFonts w:ascii="Book Antiqua" w:hAnsi="Book Antiqua" w:cs="Book Antiqua"/>
        </w:rPr>
        <w:tab/>
      </w:r>
      <w:r w:rsidR="001A7501">
        <w:rPr>
          <w:rFonts w:ascii="Book Antiqua" w:hAnsi="Book Antiqua" w:cs="Book Antiqua"/>
        </w:rPr>
        <w:t>V nadväznosti na čl. I bod 1 sa spresňuje, kedy presne zaniká pracovný pomer pedagogického zamestnanca, ktorý síce dosiahol vek 65 rokov, ale dohodou o zmene pracovných podmienok podľa § 54 Zákonníka práce dosiahol predĺženie svojho pracovného pomeru najviac o 2 roky, a to v rámci uvedenej doby aj opakovane. Keďže predĺženie pracovného pomeru v rámci uvedeného obdobia je individuálne u každého pedagogického zamestnanca, aj z dôvodu väčšej právnej istoty je namieste výslovne v zákone uviesť, kedy sa takýto predĺžený pracovný pomer pedagogického zamestnanca po dosiahnutí veku 65 rokov skončí, resp. zmysle Zákonníka práce zanikne. S cieľom zabezpečiť väčšiu právnu istotu v pracovnoprávnych vzťahoch, najmä na strane pedagogického zamestnanca sa zároveň zakotvuje povinnosť pre zamestnávateľa vydať takémuto zamestnancovi písomné oznámenie o zániku jeho (predĺženého) pracovného pomeru.</w:t>
      </w:r>
    </w:p>
    <w:p w:rsidR="001A7501" w:rsidRPr="00275B71" w:rsidP="00275B71">
      <w:pPr>
        <w:bidi w:val="0"/>
        <w:spacing w:before="120" w:after="0"/>
        <w:jc w:val="both"/>
        <w:rPr>
          <w:rFonts w:ascii="Book Antiqua" w:hAnsi="Book Antiqua" w:cs="Book Antiqua"/>
        </w:rPr>
      </w:pPr>
      <w:r>
        <w:rPr>
          <w:rFonts w:ascii="Book Antiqua" w:hAnsi="Book Antiqua" w:cs="Book Antiqua"/>
        </w:rPr>
        <w:tab/>
        <w:t xml:space="preserve">Rovnakým spôsobom je zabezpečené právne postavenie štátnych zamestnancov, ktorých štátnozamestnanecký pomer sa skončí dosiahnutím veku 65 rokov s možnosťou jeho predĺženia podľa zákona č. </w:t>
      </w:r>
      <w:r w:rsidRPr="00275B71">
        <w:rPr>
          <w:rFonts w:ascii="Book Antiqua" w:hAnsi="Book Antiqua" w:cs="Arial"/>
        </w:rPr>
        <w:t xml:space="preserve">55/2017 Z. z. o štátnej službe a o zmene a doplnení </w:t>
      </w:r>
      <w:r>
        <w:rPr>
          <w:rFonts w:ascii="Book Antiqua" w:hAnsi="Book Antiqua" w:cs="Arial"/>
        </w:rPr>
        <w:t>niektorých zákonov, pričom vydávanie písomného oznámenia zo strany zamestnávateľa je v Zákonníku práce upravené aj v iných prípadoch pri zmene pracovných podmienok dohodou.</w:t>
      </w:r>
    </w:p>
    <w:p w:rsidR="00EF27A6" w:rsidRPr="00275B71" w:rsidP="00275B71">
      <w:pPr>
        <w:bidi w:val="0"/>
        <w:spacing w:before="120" w:after="0"/>
        <w:jc w:val="both"/>
        <w:rPr>
          <w:rFonts w:ascii="Book Antiqua" w:hAnsi="Book Antiqua" w:cs="Book Antiqua"/>
        </w:rPr>
      </w:pPr>
      <w:r w:rsidRPr="00275B71">
        <w:rPr>
          <w:rFonts w:ascii="Book Antiqua" w:hAnsi="Book Antiqua" w:cs="Book Antiqua"/>
          <w:u w:val="single"/>
        </w:rPr>
        <w:t xml:space="preserve">K bodu </w:t>
      </w:r>
      <w:r w:rsidR="00275B71">
        <w:rPr>
          <w:rFonts w:ascii="Book Antiqua" w:hAnsi="Book Antiqua" w:cs="Book Antiqua"/>
          <w:u w:val="single"/>
        </w:rPr>
        <w:t>3</w:t>
      </w:r>
    </w:p>
    <w:p w:rsidR="00EF27A6" w:rsidRPr="00275B71" w:rsidP="00275B71">
      <w:pPr>
        <w:bidi w:val="0"/>
        <w:spacing w:before="120" w:after="0"/>
        <w:jc w:val="both"/>
        <w:rPr>
          <w:rFonts w:ascii="Book Antiqua" w:hAnsi="Book Antiqua" w:cs="Book Antiqua"/>
        </w:rPr>
      </w:pPr>
      <w:r w:rsidRPr="00275B71">
        <w:rPr>
          <w:rFonts w:ascii="Book Antiqua" w:hAnsi="Book Antiqua" w:cs="Book Antiqua"/>
        </w:rPr>
        <w:tab/>
        <w:t xml:space="preserve">Zavádza sa prechodné ustanovenie, ktorého účelom je zaistiť, aby sa navrhovaná úprava vzťahovala aj na tých  zamestnancov, ktorých pracovné zmluvy boli uzatvorené pred </w:t>
      </w:r>
      <w:r w:rsidR="00275B71">
        <w:rPr>
          <w:rFonts w:ascii="Book Antiqua" w:hAnsi="Book Antiqua" w:cs="Book Antiqua"/>
        </w:rPr>
        <w:t>3</w:t>
      </w:r>
      <w:r w:rsidRPr="00275B71">
        <w:rPr>
          <w:rFonts w:ascii="Book Antiqua" w:hAnsi="Book Antiqua" w:cs="Book Antiqua"/>
        </w:rPr>
        <w:t xml:space="preserve">1. </w:t>
      </w:r>
      <w:r w:rsidRPr="00275B71" w:rsidR="00BA3D35">
        <w:rPr>
          <w:rFonts w:ascii="Book Antiqua" w:hAnsi="Book Antiqua" w:cs="Book Antiqua"/>
        </w:rPr>
        <w:t>decembro</w:t>
      </w:r>
      <w:r w:rsidRPr="00275B71" w:rsidR="007754CF">
        <w:rPr>
          <w:rFonts w:ascii="Book Antiqua" w:hAnsi="Book Antiqua" w:cs="Book Antiqua"/>
        </w:rPr>
        <w:t>m</w:t>
      </w:r>
      <w:r w:rsidR="00275B71">
        <w:rPr>
          <w:rFonts w:ascii="Book Antiqua" w:hAnsi="Book Antiqua" w:cs="Book Antiqua"/>
        </w:rPr>
        <w:t xml:space="preserve"> 2017, a to v princípe rovnakým spôsobom, akým sa upravili pracovnoprávne vzťahy v prípade štátnych zamestnancov pri zavedení vekového cenzu podľa zákona            č. </w:t>
      </w:r>
      <w:r w:rsidRPr="00275B71" w:rsidR="00275B71">
        <w:rPr>
          <w:rFonts w:ascii="Book Antiqua" w:hAnsi="Book Antiqua" w:cs="Arial"/>
        </w:rPr>
        <w:t xml:space="preserve">55/2017 Z. z. o štátnej službe a o zmene a doplnení </w:t>
      </w:r>
      <w:r w:rsidR="00275B71">
        <w:rPr>
          <w:rFonts w:ascii="Book Antiqua" w:hAnsi="Book Antiqua" w:cs="Arial"/>
        </w:rPr>
        <w:t>niektorých zákonov.</w:t>
      </w:r>
    </w:p>
    <w:p w:rsidR="00275B71" w:rsidP="00275B71">
      <w:pPr>
        <w:bidi w:val="0"/>
        <w:spacing w:before="120" w:after="0"/>
        <w:jc w:val="both"/>
        <w:rPr>
          <w:rFonts w:ascii="Book Antiqua" w:hAnsi="Book Antiqua" w:cs="Book Antiqua"/>
          <w:b/>
        </w:rPr>
      </w:pPr>
    </w:p>
    <w:p w:rsidR="009A7314" w:rsidRPr="00275B71" w:rsidP="00275B71">
      <w:pPr>
        <w:bidi w:val="0"/>
        <w:spacing w:before="120" w:after="0"/>
        <w:jc w:val="both"/>
        <w:rPr>
          <w:rFonts w:ascii="Book Antiqua" w:hAnsi="Book Antiqua" w:cs="Book Antiqua"/>
          <w:b/>
          <w:bCs/>
          <w:caps/>
          <w:spacing w:val="30"/>
        </w:rPr>
      </w:pPr>
      <w:r w:rsidRPr="00275B71">
        <w:rPr>
          <w:rFonts w:ascii="Book Antiqua" w:hAnsi="Book Antiqua" w:cs="Book Antiqua"/>
          <w:b/>
        </w:rPr>
        <w:t>K Čl. II</w:t>
      </w:r>
    </w:p>
    <w:p w:rsidR="009A7314" w:rsidRPr="00275B71" w:rsidP="00275B71">
      <w:pPr>
        <w:pStyle w:val="Normlnywebov1"/>
        <w:bidi w:val="0"/>
        <w:spacing w:before="120" w:after="0" w:line="276" w:lineRule="auto"/>
        <w:ind w:firstLine="708"/>
        <w:jc w:val="both"/>
        <w:rPr>
          <w:rFonts w:ascii="Book Antiqua" w:hAnsi="Book Antiqua" w:cs="Book Antiqua"/>
          <w:b/>
          <w:bCs/>
          <w:caps/>
          <w:spacing w:val="30"/>
          <w:sz w:val="22"/>
          <w:szCs w:val="22"/>
        </w:rPr>
      </w:pPr>
      <w:r w:rsidRPr="00275B71">
        <w:rPr>
          <w:rFonts w:ascii="Book Antiqua" w:hAnsi="Book Antiqua" w:cs="Book Antiqua"/>
          <w:b/>
          <w:bCs/>
          <w:caps/>
          <w:spacing w:val="30"/>
          <w:sz w:val="22"/>
          <w:szCs w:val="22"/>
        </w:rPr>
        <w:tab/>
      </w:r>
      <w:r w:rsidRPr="00275B71">
        <w:rPr>
          <w:rFonts w:ascii="Book Antiqua" w:hAnsi="Book Antiqua" w:cs="Book Antiqua"/>
          <w:bCs/>
          <w:sz w:val="22"/>
          <w:szCs w:val="22"/>
        </w:rPr>
        <w:t>Navrhuje sa účinnosť predkladaného návrhu zákona so zohľadnením potrebnej dĺžky legisvakančnej lehoty na</w:t>
      </w:r>
      <w:r w:rsidRPr="00275B71" w:rsidR="0034756F">
        <w:rPr>
          <w:rFonts w:ascii="Book Antiqua" w:hAnsi="Book Antiqua" w:cs="Book Antiqua"/>
          <w:sz w:val="22"/>
          <w:szCs w:val="22"/>
        </w:rPr>
        <w:t xml:space="preserve"> 1. </w:t>
      </w:r>
      <w:r w:rsidR="00275B71">
        <w:rPr>
          <w:rFonts w:ascii="Book Antiqua" w:hAnsi="Book Antiqua" w:cs="Book Antiqua"/>
          <w:sz w:val="22"/>
          <w:szCs w:val="22"/>
        </w:rPr>
        <w:t>januára 2018</w:t>
      </w:r>
      <w:r w:rsidRPr="00275B71">
        <w:rPr>
          <w:rFonts w:ascii="Book Antiqua" w:hAnsi="Book Antiqua" w:cs="Book Antiqua"/>
          <w:sz w:val="22"/>
          <w:szCs w:val="22"/>
        </w:rPr>
        <w:t>.</w:t>
      </w:r>
    </w:p>
    <w:p w:rsidR="009A7314" w:rsidRPr="00275B71" w:rsidP="00275B71">
      <w:pPr>
        <w:pageBreakBefore/>
        <w:tabs>
          <w:tab w:val="left" w:pos="6015"/>
        </w:tabs>
        <w:bidi w:val="0"/>
        <w:spacing w:before="120" w:after="0"/>
        <w:jc w:val="center"/>
        <w:rPr>
          <w:rFonts w:ascii="Book Antiqua" w:hAnsi="Book Antiqua" w:cs="Book Antiqua"/>
          <w:b/>
          <w:bCs/>
        </w:rPr>
      </w:pPr>
      <w:r w:rsidRPr="00275B71">
        <w:rPr>
          <w:rFonts w:ascii="Book Antiqua" w:hAnsi="Book Antiqua" w:cs="Book Antiqua"/>
          <w:b/>
          <w:bCs/>
          <w:caps/>
          <w:spacing w:val="30"/>
        </w:rPr>
        <w:t>DOLOŽKA ZLUČITEĽNOSTI</w:t>
      </w:r>
    </w:p>
    <w:p w:rsidR="009A7314" w:rsidRPr="00275B71" w:rsidP="00275B71">
      <w:pPr>
        <w:pStyle w:val="Normlnywebov1"/>
        <w:bidi w:val="0"/>
        <w:spacing w:before="120" w:after="0" w:line="276" w:lineRule="auto"/>
        <w:jc w:val="center"/>
        <w:rPr>
          <w:rFonts w:ascii="Book Antiqua" w:hAnsi="Book Antiqua" w:cs="Book Antiqua"/>
          <w:sz w:val="22"/>
          <w:szCs w:val="22"/>
        </w:rPr>
      </w:pPr>
      <w:r w:rsidRPr="00275B71">
        <w:rPr>
          <w:rFonts w:ascii="Book Antiqua" w:hAnsi="Book Antiqua" w:cs="Book Antiqua"/>
          <w:b/>
          <w:bCs/>
          <w:sz w:val="22"/>
          <w:szCs w:val="22"/>
        </w:rPr>
        <w:t>návrhu zákona</w:t>
      </w:r>
      <w:r w:rsidRPr="00275B71">
        <w:rPr>
          <w:rFonts w:ascii="Book Antiqua" w:hAnsi="Book Antiqua" w:cs="Book Antiqua"/>
          <w:sz w:val="22"/>
          <w:szCs w:val="22"/>
        </w:rPr>
        <w:t xml:space="preserve"> </w:t>
      </w:r>
      <w:r w:rsidRPr="00275B71">
        <w:rPr>
          <w:rFonts w:ascii="Book Antiqua" w:hAnsi="Book Antiqua" w:cs="Book Antiqua"/>
          <w:b/>
          <w:bCs/>
          <w:sz w:val="22"/>
          <w:szCs w:val="22"/>
        </w:rPr>
        <w:t>s právom Európskej únie</w:t>
      </w:r>
    </w:p>
    <w:p w:rsidR="009A7314" w:rsidRPr="00275B71" w:rsidP="00275B71">
      <w:pPr>
        <w:pStyle w:val="Normlnywebov1"/>
        <w:bidi w:val="0"/>
        <w:spacing w:before="120" w:after="0" w:line="276" w:lineRule="auto"/>
        <w:jc w:val="both"/>
        <w:rPr>
          <w:rFonts w:ascii="Book Antiqua" w:hAnsi="Book Antiqua" w:cs="Book Antiqua"/>
          <w:b/>
          <w:bCs/>
          <w:sz w:val="22"/>
          <w:szCs w:val="22"/>
        </w:rPr>
      </w:pPr>
      <w:r w:rsidRPr="00275B71">
        <w:rPr>
          <w:rFonts w:ascii="Book Antiqua" w:hAnsi="Book Antiqua" w:cs="Book Antiqua"/>
          <w:sz w:val="22"/>
          <w:szCs w:val="22"/>
        </w:rPr>
        <w:t> </w:t>
      </w:r>
    </w:p>
    <w:p w:rsidR="009A7314" w:rsidRPr="00275B71" w:rsidP="00275B71">
      <w:pPr>
        <w:pStyle w:val="Normlnywebov1"/>
        <w:bidi w:val="0"/>
        <w:spacing w:before="120" w:after="0" w:line="276" w:lineRule="auto"/>
        <w:jc w:val="both"/>
        <w:rPr>
          <w:rFonts w:ascii="Book Antiqua" w:hAnsi="Book Antiqua" w:cs="Book Antiqua"/>
          <w:b/>
          <w:bCs/>
          <w:sz w:val="22"/>
          <w:szCs w:val="22"/>
        </w:rPr>
      </w:pPr>
      <w:r w:rsidRPr="00275B71">
        <w:rPr>
          <w:rFonts w:ascii="Book Antiqua" w:hAnsi="Book Antiqua" w:cs="Book Antiqua"/>
          <w:b/>
          <w:bCs/>
          <w:sz w:val="22"/>
          <w:szCs w:val="22"/>
        </w:rPr>
        <w:t xml:space="preserve">1. </w:t>
      </w:r>
      <w:r w:rsidRPr="001A7501">
        <w:rPr>
          <w:rFonts w:ascii="Book Antiqua" w:hAnsi="Book Antiqua" w:cs="Book Antiqua"/>
          <w:b/>
          <w:bCs/>
          <w:sz w:val="22"/>
          <w:szCs w:val="22"/>
        </w:rPr>
        <w:t>Navrhovateľ zákona:</w:t>
      </w:r>
      <w:r w:rsidRPr="001A7501">
        <w:rPr>
          <w:rFonts w:ascii="Book Antiqua" w:hAnsi="Book Antiqua" w:cs="Book Antiqua"/>
          <w:sz w:val="22"/>
          <w:szCs w:val="22"/>
        </w:rPr>
        <w:t xml:space="preserve"> skupina poslancov Národnej rady Slovenskej republik</w:t>
      </w:r>
      <w:r w:rsidR="00452642">
        <w:rPr>
          <w:rFonts w:ascii="Book Antiqua" w:hAnsi="Book Antiqua" w:cs="Book Antiqua"/>
          <w:sz w:val="22"/>
          <w:szCs w:val="22"/>
        </w:rPr>
        <w:t>y</w:t>
      </w:r>
    </w:p>
    <w:p w:rsidR="009A7314" w:rsidRPr="00275B71" w:rsidP="00275B71">
      <w:pPr>
        <w:bidi w:val="0"/>
        <w:spacing w:before="120" w:after="0"/>
        <w:jc w:val="both"/>
        <w:rPr>
          <w:rFonts w:ascii="Book Antiqua" w:hAnsi="Book Antiqua" w:cs="Book Antiqua"/>
          <w:b/>
          <w:bCs/>
        </w:rPr>
      </w:pPr>
    </w:p>
    <w:p w:rsidR="009A7314" w:rsidRPr="00275B71" w:rsidP="00275B71">
      <w:pPr>
        <w:bidi w:val="0"/>
        <w:spacing w:before="120" w:after="0"/>
        <w:jc w:val="both"/>
        <w:rPr>
          <w:rFonts w:ascii="Book Antiqua" w:hAnsi="Book Antiqua" w:cs="Book Antiqua"/>
        </w:rPr>
      </w:pPr>
      <w:r w:rsidRPr="00275B71">
        <w:rPr>
          <w:rFonts w:ascii="Book Antiqua" w:hAnsi="Book Antiqua" w:cs="Book Antiqua"/>
          <w:b/>
          <w:bCs/>
        </w:rPr>
        <w:t>2. Názov návrhu právneho predpisu:</w:t>
      </w:r>
      <w:r w:rsidRPr="00275B71">
        <w:rPr>
          <w:rFonts w:ascii="Book Antiqua" w:hAnsi="Book Antiqua" w:cs="Book Antiqua"/>
          <w:b/>
        </w:rPr>
        <w:t xml:space="preserve"> </w:t>
      </w:r>
      <w:r w:rsidRPr="00275B71">
        <w:rPr>
          <w:rFonts w:ascii="Book Antiqua" w:hAnsi="Book Antiqua" w:cs="Book Antiqua"/>
        </w:rPr>
        <w:t xml:space="preserve">návrh zákona, ktorým </w:t>
      </w:r>
      <w:r w:rsidRPr="00275B71">
        <w:rPr>
          <w:rFonts w:ascii="Book Antiqua" w:hAnsi="Book Antiqua" w:cs="Book Antiqua"/>
          <w:bCs/>
        </w:rPr>
        <w:t xml:space="preserve">sa mení a dopĺňa zákon             č. 311/2001 Z. z. Zákonník práce </w:t>
      </w:r>
      <w:r w:rsidRPr="00275B71">
        <w:rPr>
          <w:rFonts w:ascii="Book Antiqua" w:hAnsi="Book Antiqua" w:cs="Book Antiqua"/>
        </w:rPr>
        <w:t xml:space="preserve">v znení neskorších predpisov </w:t>
      </w:r>
    </w:p>
    <w:p w:rsidR="009A7314" w:rsidRPr="00275B71" w:rsidP="00275B71">
      <w:pPr>
        <w:pStyle w:val="NormalWeb"/>
        <w:bidi w:val="0"/>
        <w:spacing w:before="120" w:after="0" w:line="276" w:lineRule="auto"/>
        <w:jc w:val="both"/>
        <w:rPr>
          <w:rFonts w:ascii="Book Antiqua" w:hAnsi="Book Antiqua" w:cs="Book Antiqua"/>
          <w:sz w:val="22"/>
          <w:szCs w:val="22"/>
        </w:rPr>
      </w:pPr>
    </w:p>
    <w:p w:rsidR="009A7314" w:rsidRPr="00275B71" w:rsidP="00275B71">
      <w:pPr>
        <w:pStyle w:val="NormalWeb"/>
        <w:bidi w:val="0"/>
        <w:spacing w:before="120" w:after="0" w:line="276" w:lineRule="auto"/>
        <w:jc w:val="both"/>
        <w:rPr>
          <w:rFonts w:ascii="Book Antiqua" w:hAnsi="Book Antiqua" w:cs="Book Antiqua"/>
          <w:b/>
          <w:bCs/>
          <w:sz w:val="22"/>
          <w:szCs w:val="22"/>
        </w:rPr>
      </w:pPr>
      <w:r w:rsidRPr="00275B71">
        <w:rPr>
          <w:rFonts w:ascii="Book Antiqua" w:hAnsi="Book Antiqua" w:cs="Book Antiqua"/>
          <w:b/>
          <w:bCs/>
          <w:sz w:val="22"/>
          <w:szCs w:val="22"/>
        </w:rPr>
        <w:t>3. Predmet návrhu zákona:</w:t>
      </w:r>
    </w:p>
    <w:p w:rsidR="009A7314" w:rsidRPr="00275B71" w:rsidP="00275B71">
      <w:pPr>
        <w:pStyle w:val="Vchodzie"/>
        <w:numPr>
          <w:numId w:val="3"/>
        </w:numPr>
        <w:autoSpaceDE/>
        <w:bidi w:val="0"/>
        <w:spacing w:before="120" w:line="276" w:lineRule="auto"/>
        <w:jc w:val="both"/>
        <w:rPr>
          <w:rFonts w:ascii="Book Antiqua" w:hAnsi="Book Antiqua"/>
          <w:sz w:val="22"/>
          <w:szCs w:val="22"/>
        </w:rPr>
      </w:pPr>
      <w:r w:rsidRPr="00275B71" w:rsidR="00D557A0">
        <w:rPr>
          <w:rFonts w:ascii="Book Antiqua" w:hAnsi="Book Antiqua"/>
          <w:sz w:val="22"/>
          <w:szCs w:val="22"/>
        </w:rPr>
        <w:t>je upravený v primárnom práve Európskej únie,</w:t>
      </w:r>
      <w:r w:rsidRPr="00275B71" w:rsidR="00D557A0">
        <w:rPr>
          <w:rFonts w:ascii="Book Antiqua" w:hAnsi="Book Antiqua"/>
          <w:b/>
          <w:sz w:val="22"/>
          <w:szCs w:val="22"/>
        </w:rPr>
        <w:t xml:space="preserve"> </w:t>
      </w:r>
      <w:r w:rsidRPr="00275B71" w:rsidR="00D557A0">
        <w:rPr>
          <w:rFonts w:ascii="Book Antiqua" w:hAnsi="Book Antiqua"/>
          <w:sz w:val="22"/>
          <w:szCs w:val="22"/>
        </w:rPr>
        <w:t>a  to</w:t>
      </w:r>
      <w:r w:rsidRPr="00275B71" w:rsidR="00D557A0">
        <w:rPr>
          <w:rFonts w:ascii="Book Antiqua" w:hAnsi="Book Antiqua"/>
          <w:b/>
          <w:sz w:val="22"/>
          <w:szCs w:val="22"/>
        </w:rPr>
        <w:t xml:space="preserve"> </w:t>
      </w:r>
      <w:r w:rsidRPr="00275B71" w:rsidR="006C16FC">
        <w:rPr>
          <w:rFonts w:ascii="Book Antiqua" w:hAnsi="Book Antiqua"/>
          <w:sz w:val="22"/>
          <w:szCs w:val="22"/>
        </w:rPr>
        <w:t>v</w:t>
      </w:r>
      <w:r w:rsidR="002611C7">
        <w:rPr>
          <w:rFonts w:ascii="Book Antiqua" w:hAnsi="Book Antiqua"/>
          <w:sz w:val="22"/>
          <w:szCs w:val="22"/>
        </w:rPr>
        <w:t xml:space="preserve"> článkoch 8, 10 </w:t>
      </w:r>
      <w:r w:rsidR="00C123FD">
        <w:rPr>
          <w:rFonts w:ascii="Book Antiqua" w:hAnsi="Book Antiqua"/>
          <w:sz w:val="22"/>
          <w:szCs w:val="22"/>
        </w:rPr>
        <w:t xml:space="preserve">a 19 </w:t>
      </w:r>
      <w:r w:rsidRPr="00275B71" w:rsidR="00D557A0">
        <w:rPr>
          <w:rFonts w:ascii="Book Antiqua" w:hAnsi="Book Antiqua"/>
          <w:sz w:val="22"/>
          <w:szCs w:val="22"/>
        </w:rPr>
        <w:t>Zmluvy o  fungovaní Európskej únie</w:t>
      </w:r>
      <w:r w:rsidR="00C123FD">
        <w:rPr>
          <w:rFonts w:ascii="Book Antiqua" w:hAnsi="Book Antiqua"/>
          <w:sz w:val="22"/>
          <w:szCs w:val="22"/>
        </w:rPr>
        <w:t xml:space="preserve"> (zásady rovnakého zaobchádzania aj z dôvodu veku)</w:t>
      </w:r>
      <w:r w:rsidRPr="00275B71">
        <w:rPr>
          <w:rFonts w:ascii="Book Antiqua" w:hAnsi="Book Antiqua" w:cs="Book Antiqua"/>
          <w:bCs/>
          <w:sz w:val="22"/>
          <w:szCs w:val="22"/>
        </w:rPr>
        <w:t>,</w:t>
      </w:r>
    </w:p>
    <w:p w:rsidR="00D16B5C" w:rsidRPr="009577E5" w:rsidP="009577E5">
      <w:pPr>
        <w:pStyle w:val="NormalWeb"/>
        <w:numPr>
          <w:numId w:val="3"/>
        </w:numPr>
        <w:bidi w:val="0"/>
        <w:spacing w:before="120" w:after="0" w:line="276" w:lineRule="auto"/>
        <w:jc w:val="both"/>
        <w:rPr>
          <w:rFonts w:ascii="Book Antiqua" w:hAnsi="Book Antiqua" w:cs="Book Antiqua"/>
          <w:bCs/>
          <w:sz w:val="22"/>
          <w:szCs w:val="22"/>
        </w:rPr>
      </w:pPr>
      <w:r w:rsidRPr="00F04C86" w:rsidR="009A7314">
        <w:rPr>
          <w:rFonts w:ascii="Book Antiqua" w:hAnsi="Book Antiqua" w:cs="Book Antiqua"/>
          <w:bCs/>
          <w:sz w:val="22"/>
          <w:szCs w:val="22"/>
        </w:rPr>
        <w:t>je upravený v sekundárnom práve Európskej únie,</w:t>
      </w:r>
      <w:r w:rsidRPr="00F04C86">
        <w:rPr>
          <w:rFonts w:ascii="Book Antiqua" w:hAnsi="Book Antiqua" w:cs="Book Antiqua"/>
          <w:bCs/>
          <w:sz w:val="22"/>
          <w:szCs w:val="22"/>
        </w:rPr>
        <w:t xml:space="preserve"> a to v smernici</w:t>
      </w:r>
      <w:r w:rsidRPr="00F04C86">
        <w:rPr>
          <w:rFonts w:ascii="Book Antiqua" w:hAnsi="Book Antiqua"/>
          <w:sz w:val="22"/>
          <w:szCs w:val="22"/>
        </w:rPr>
        <w:t xml:space="preserve"> Rady 2000/78/ES z 27. novembra 2000, ktorá ustanovuje všeobecný rámec na zabezpečenie rovnakého zaobchádzanie v zamestnaní a</w:t>
      </w:r>
      <w:r w:rsidRPr="00F04C86" w:rsidR="002611C7">
        <w:rPr>
          <w:rFonts w:ascii="Book Antiqua" w:hAnsi="Book Antiqua"/>
          <w:sz w:val="22"/>
          <w:szCs w:val="22"/>
        </w:rPr>
        <w:t> </w:t>
      </w:r>
      <w:r w:rsidRPr="00F04C86">
        <w:rPr>
          <w:rFonts w:ascii="Book Antiqua" w:hAnsi="Book Antiqua"/>
          <w:sz w:val="22"/>
          <w:szCs w:val="22"/>
        </w:rPr>
        <w:t>povolaní</w:t>
      </w:r>
      <w:r w:rsidRPr="00F04C86" w:rsidR="002611C7">
        <w:rPr>
          <w:rFonts w:ascii="Book Antiqua" w:hAnsi="Book Antiqua"/>
          <w:sz w:val="22"/>
          <w:szCs w:val="22"/>
        </w:rPr>
        <w:t xml:space="preserve"> </w:t>
      </w:r>
      <w:r w:rsidRPr="00F04C86" w:rsidR="00F04C86">
        <w:rPr>
          <w:rFonts w:ascii="Book Antiqua" w:hAnsi="Book Antiqua" w:cs="Arial"/>
          <w:sz w:val="22"/>
          <w:szCs w:val="22"/>
          <w:shd w:val="clear" w:color="auto" w:fill="FFFFFF"/>
        </w:rPr>
        <w:t>(Mimoriadne vydan</w:t>
      </w:r>
      <w:r w:rsidR="009577E5">
        <w:rPr>
          <w:rFonts w:ascii="Book Antiqua" w:hAnsi="Book Antiqua" w:cs="Arial"/>
          <w:sz w:val="22"/>
          <w:szCs w:val="22"/>
          <w:shd w:val="clear" w:color="auto" w:fill="FFFFFF"/>
        </w:rPr>
        <w:t>ie Ú. v. EÚ, kap. 5/zv. 4; Ú. v. ES L 303, 2</w:t>
      </w:r>
      <w:r w:rsidRPr="00F04C86" w:rsidR="00F04C86">
        <w:rPr>
          <w:rFonts w:ascii="Book Antiqua" w:hAnsi="Book Antiqua" w:cs="Arial"/>
          <w:sz w:val="22"/>
          <w:szCs w:val="22"/>
          <w:shd w:val="clear" w:color="auto" w:fill="FFFFFF"/>
        </w:rPr>
        <w:t>. 1</w:t>
      </w:r>
      <w:r w:rsidR="009577E5">
        <w:rPr>
          <w:rFonts w:ascii="Book Antiqua" w:hAnsi="Book Antiqua" w:cs="Arial"/>
          <w:sz w:val="22"/>
          <w:szCs w:val="22"/>
          <w:shd w:val="clear" w:color="auto" w:fill="FFFFFF"/>
        </w:rPr>
        <w:t>2. 2000, s. 16</w:t>
      </w:r>
      <w:r w:rsidRPr="009577E5" w:rsidR="00F04C86">
        <w:rPr>
          <w:rFonts w:ascii="Book Antiqua" w:hAnsi="Book Antiqua" w:cs="Arial"/>
          <w:sz w:val="22"/>
          <w:szCs w:val="22"/>
          <w:shd w:val="clear" w:color="auto" w:fill="FFFFFF"/>
        </w:rPr>
        <w:t>)</w:t>
      </w:r>
      <w:r w:rsidRPr="009577E5" w:rsidR="00F04C86">
        <w:rPr>
          <w:rStyle w:val="Strong"/>
          <w:rFonts w:ascii="Book Antiqua" w:hAnsi="Book Antiqua"/>
          <w:bCs/>
          <w:sz w:val="22"/>
          <w:szCs w:val="22"/>
        </w:rPr>
        <w:t xml:space="preserve"> </w:t>
      </w:r>
      <w:r w:rsidRPr="009577E5" w:rsidR="00F04C86">
        <w:rPr>
          <w:rStyle w:val="Strong"/>
          <w:rFonts w:ascii="Book Antiqua" w:hAnsi="Book Antiqua"/>
          <w:b w:val="0"/>
          <w:bCs/>
          <w:sz w:val="22"/>
          <w:szCs w:val="22"/>
        </w:rPr>
        <w:t>v platnom znení</w:t>
      </w:r>
      <w:r w:rsidRPr="009577E5" w:rsidR="00F04C86">
        <w:rPr>
          <w:rFonts w:ascii="Book Antiqua" w:hAnsi="Book Antiqua"/>
          <w:sz w:val="22"/>
          <w:szCs w:val="22"/>
        </w:rPr>
        <w:t xml:space="preserve"> </w:t>
      </w:r>
      <w:r w:rsidRPr="009577E5" w:rsidR="002611C7">
        <w:rPr>
          <w:rFonts w:ascii="Book Antiqua" w:hAnsi="Book Antiqua"/>
          <w:sz w:val="22"/>
          <w:szCs w:val="22"/>
        </w:rPr>
        <w:t>– čl. 4 ods. 1 a čl. 6, ktoré umožňujú členským štátom EÚ prijať legislatívne opatrenia obsahujúce odôvodnené rozdiely v zaobchádzaní z dôvodu veku</w:t>
      </w:r>
      <w:r w:rsidRPr="009577E5" w:rsidR="001A7501">
        <w:rPr>
          <w:rFonts w:ascii="Book Antiqua" w:hAnsi="Book Antiqua"/>
          <w:sz w:val="22"/>
          <w:szCs w:val="22"/>
        </w:rPr>
        <w:t>,</w:t>
      </w:r>
    </w:p>
    <w:p w:rsidR="009A7314" w:rsidRPr="00275B71" w:rsidP="00275B71">
      <w:pPr>
        <w:pStyle w:val="NormalWeb"/>
        <w:numPr>
          <w:numId w:val="3"/>
        </w:numPr>
        <w:bidi w:val="0"/>
        <w:spacing w:before="120" w:after="0" w:line="276" w:lineRule="auto"/>
        <w:jc w:val="both"/>
        <w:rPr>
          <w:rFonts w:ascii="Book Antiqua" w:hAnsi="Book Antiqua" w:cs="Book Antiqua"/>
          <w:b/>
          <w:bCs/>
          <w:sz w:val="22"/>
          <w:szCs w:val="22"/>
        </w:rPr>
      </w:pPr>
      <w:r w:rsidRPr="00275B71">
        <w:rPr>
          <w:rFonts w:ascii="Book Antiqua" w:hAnsi="Book Antiqua" w:cs="Book Antiqua"/>
          <w:bCs/>
          <w:sz w:val="22"/>
          <w:szCs w:val="22"/>
        </w:rPr>
        <w:t>je obsiahnutý v judikatúre Súdneho dvora Európskej únie</w:t>
      </w:r>
      <w:r w:rsidRPr="00275B71" w:rsidR="00D16B5C">
        <w:rPr>
          <w:rFonts w:ascii="Book Antiqua" w:hAnsi="Book Antiqua" w:cs="Book Antiqua"/>
          <w:bCs/>
          <w:sz w:val="22"/>
          <w:szCs w:val="22"/>
        </w:rPr>
        <w:t xml:space="preserve">, a to v rozhodnutí </w:t>
      </w:r>
      <w:r w:rsidRPr="00275B71" w:rsidR="00D16B5C">
        <w:rPr>
          <w:rFonts w:ascii="Book Antiqua" w:hAnsi="Book Antiqua"/>
          <w:sz w:val="22"/>
          <w:szCs w:val="22"/>
        </w:rPr>
        <w:t>Súdneho dvora Európskej únie vo veci C-159/10 a C-160/10 Gerhard Fuchs, Peter Köhler prot</w:t>
      </w:r>
      <w:r w:rsidR="001A7501">
        <w:rPr>
          <w:rFonts w:ascii="Book Antiqua" w:hAnsi="Book Antiqua"/>
          <w:sz w:val="22"/>
          <w:szCs w:val="22"/>
        </w:rPr>
        <w:t xml:space="preserve">i Spolkovej republike </w:t>
      </w:r>
      <w:r w:rsidRPr="00F04C86" w:rsidR="001A7501">
        <w:rPr>
          <w:rFonts w:ascii="Book Antiqua" w:hAnsi="Book Antiqua"/>
          <w:sz w:val="22"/>
          <w:szCs w:val="22"/>
        </w:rPr>
        <w:t>Hesensko</w:t>
      </w:r>
      <w:r w:rsidRPr="00F04C86" w:rsidR="00F04C86">
        <w:rPr>
          <w:rFonts w:ascii="Book Antiqua" w:hAnsi="Book Antiqua"/>
          <w:sz w:val="22"/>
          <w:szCs w:val="22"/>
        </w:rPr>
        <w:t xml:space="preserve"> </w:t>
      </w:r>
      <w:r w:rsidR="009577E5">
        <w:rPr>
          <w:rFonts w:ascii="Book Antiqua" w:hAnsi="Book Antiqua"/>
          <w:sz w:val="22"/>
          <w:szCs w:val="22"/>
        </w:rPr>
        <w:t>[2011</w:t>
      </w:r>
      <w:r w:rsidRPr="00F04C86" w:rsidR="00F04C86">
        <w:rPr>
          <w:rFonts w:ascii="Book Antiqua" w:hAnsi="Book Antiqua"/>
          <w:sz w:val="22"/>
          <w:szCs w:val="22"/>
        </w:rPr>
        <w:t>]</w:t>
      </w:r>
      <w:r w:rsidRPr="00F04C86" w:rsidR="001A7501">
        <w:rPr>
          <w:rFonts w:ascii="Book Antiqua" w:hAnsi="Book Antiqua"/>
          <w:sz w:val="22"/>
          <w:szCs w:val="22"/>
        </w:rPr>
        <w:t>,</w:t>
      </w:r>
      <w:r w:rsidR="001A7501">
        <w:rPr>
          <w:rFonts w:ascii="Book Antiqua" w:hAnsi="Book Antiqua"/>
          <w:sz w:val="22"/>
          <w:szCs w:val="22"/>
        </w:rPr>
        <w:t xml:space="preserve"> ktorý </w:t>
      </w:r>
      <w:r w:rsidRPr="00275B71" w:rsidR="00D16B5C">
        <w:rPr>
          <w:rFonts w:ascii="Book Antiqua" w:hAnsi="Book Antiqua"/>
          <w:sz w:val="22"/>
          <w:szCs w:val="22"/>
        </w:rPr>
        <w:t>k</w:t>
      </w:r>
      <w:r w:rsidR="001A7501">
        <w:rPr>
          <w:rFonts w:ascii="Book Antiqua" w:hAnsi="Book Antiqua"/>
          <w:sz w:val="22"/>
          <w:szCs w:val="22"/>
        </w:rPr>
        <w:t>onštatoval, že zákonná úprava</w:t>
      </w:r>
      <w:r w:rsidRPr="00275B71" w:rsidR="00D16B5C">
        <w:rPr>
          <w:rFonts w:ascii="Book Antiqua" w:hAnsi="Book Antiqua"/>
          <w:sz w:val="22"/>
          <w:szCs w:val="22"/>
        </w:rPr>
        <w:t xml:space="preserve"> vyváženej vekovej štruktúry v záujme podpory zamestnávania nových pracovníkov nie je v rozpore so smernicou Rady</w:t>
      </w:r>
      <w:r w:rsidR="001A7501">
        <w:rPr>
          <w:rFonts w:ascii="Book Antiqua" w:hAnsi="Book Antiqua"/>
          <w:sz w:val="22"/>
          <w:szCs w:val="22"/>
        </w:rPr>
        <w:t xml:space="preserve"> 2000/78/ES z 27. novembra 2000</w:t>
      </w:r>
      <w:r w:rsidRPr="00275B71">
        <w:rPr>
          <w:rFonts w:ascii="Book Antiqua" w:hAnsi="Book Antiqua" w:cs="Book Antiqua"/>
          <w:bCs/>
          <w:sz w:val="22"/>
          <w:szCs w:val="22"/>
        </w:rPr>
        <w:t>.</w:t>
      </w:r>
      <w:r w:rsidRPr="00275B71">
        <w:rPr>
          <w:rFonts w:ascii="Book Antiqua" w:hAnsi="Book Antiqua" w:cs="Book Antiqua"/>
          <w:sz w:val="22"/>
          <w:szCs w:val="22"/>
        </w:rPr>
        <w:t> </w:t>
      </w:r>
    </w:p>
    <w:p w:rsidR="00DF4AAE" w:rsidRPr="00275B71" w:rsidP="00275B71">
      <w:pPr>
        <w:pStyle w:val="NormalWeb"/>
        <w:bidi w:val="0"/>
        <w:spacing w:before="120" w:after="0" w:line="276" w:lineRule="auto"/>
        <w:ind w:left="720"/>
        <w:jc w:val="both"/>
        <w:rPr>
          <w:rFonts w:ascii="Book Antiqua" w:hAnsi="Book Antiqua" w:cs="Book Antiqua"/>
          <w:b/>
          <w:bCs/>
          <w:sz w:val="22"/>
          <w:szCs w:val="22"/>
        </w:rPr>
      </w:pPr>
    </w:p>
    <w:p w:rsidR="00DF4AAE" w:rsidRPr="00275B71" w:rsidP="00275B71">
      <w:pPr>
        <w:pStyle w:val="NormalWeb"/>
        <w:bidi w:val="0"/>
        <w:spacing w:before="120" w:after="0" w:line="276" w:lineRule="auto"/>
        <w:jc w:val="both"/>
        <w:rPr>
          <w:rFonts w:ascii="Book Antiqua" w:hAnsi="Book Antiqua" w:cs="Book Antiqua"/>
          <w:b/>
          <w:bCs/>
          <w:sz w:val="22"/>
          <w:szCs w:val="22"/>
        </w:rPr>
      </w:pPr>
      <w:r w:rsidRPr="00275B71">
        <w:rPr>
          <w:rFonts w:ascii="Book Antiqua" w:hAnsi="Book Antiqua" w:cs="Book Antiqua"/>
          <w:b/>
          <w:bCs/>
          <w:sz w:val="22"/>
          <w:szCs w:val="22"/>
        </w:rPr>
        <w:t>4. Záväzky Slovenskej republiky vo vzťahu k Európskej únii:</w:t>
      </w:r>
    </w:p>
    <w:p w:rsidR="00DF4AAE" w:rsidRPr="00275B71" w:rsidP="00275B71">
      <w:pPr>
        <w:pStyle w:val="Vchodzie"/>
        <w:numPr>
          <w:numId w:val="5"/>
        </w:numPr>
        <w:tabs>
          <w:tab w:val="left" w:pos="284"/>
          <w:tab w:val="left" w:pos="720"/>
        </w:tabs>
        <w:bidi w:val="0"/>
        <w:spacing w:before="120" w:line="276" w:lineRule="auto"/>
        <w:jc w:val="both"/>
        <w:rPr>
          <w:rFonts w:ascii="Book Antiqua" w:hAnsi="Book Antiqua"/>
          <w:sz w:val="22"/>
          <w:szCs w:val="22"/>
        </w:rPr>
      </w:pPr>
      <w:r w:rsidRPr="00275B71" w:rsidR="00137EE0">
        <w:rPr>
          <w:rFonts w:ascii="Book Antiqua" w:hAnsi="Book Antiqua"/>
          <w:sz w:val="22"/>
          <w:szCs w:val="22"/>
        </w:rPr>
        <w:t>lehota na prebratie smernice 2000/78/ES bola stanovená do 2. decembra 2003</w:t>
      </w:r>
      <w:r w:rsidRPr="00275B71">
        <w:rPr>
          <w:rFonts w:ascii="Book Antiqua" w:hAnsi="Book Antiqua"/>
          <w:sz w:val="22"/>
          <w:szCs w:val="22"/>
        </w:rPr>
        <w:t>,</w:t>
      </w:r>
    </w:p>
    <w:p w:rsidR="00DF4AAE" w:rsidRPr="00275B71" w:rsidP="00275B71">
      <w:pPr>
        <w:pStyle w:val="Vchodzie"/>
        <w:numPr>
          <w:numId w:val="5"/>
        </w:numPr>
        <w:tabs>
          <w:tab w:val="left" w:pos="284"/>
          <w:tab w:val="left" w:pos="720"/>
        </w:tabs>
        <w:bidi w:val="0"/>
        <w:spacing w:before="120" w:line="276" w:lineRule="auto"/>
        <w:jc w:val="both"/>
        <w:rPr>
          <w:rFonts w:ascii="Book Antiqua" w:hAnsi="Book Antiqua"/>
          <w:sz w:val="22"/>
          <w:szCs w:val="22"/>
        </w:rPr>
      </w:pPr>
      <w:r w:rsidRPr="00275B71">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931132" w:rsidRPr="00931132" w:rsidP="00931132">
      <w:pPr>
        <w:pStyle w:val="Vchodzie"/>
        <w:numPr>
          <w:numId w:val="5"/>
        </w:numPr>
        <w:tabs>
          <w:tab w:val="left" w:pos="284"/>
          <w:tab w:val="left" w:pos="720"/>
        </w:tabs>
        <w:bidi w:val="0"/>
        <w:spacing w:before="120" w:line="276" w:lineRule="auto"/>
        <w:jc w:val="both"/>
        <w:rPr>
          <w:rFonts w:ascii="Book Antiqua" w:hAnsi="Book Antiqua"/>
          <w:sz w:val="22"/>
          <w:szCs w:val="22"/>
        </w:rPr>
      </w:pPr>
      <w:r>
        <w:rPr>
          <w:rFonts w:ascii="Book Antiqua" w:hAnsi="Book Antiqua" w:cs="Book Antiqua"/>
          <w:sz w:val="22"/>
        </w:rPr>
        <w:t>smernica</w:t>
      </w:r>
      <w:r w:rsidRPr="00931132">
        <w:rPr>
          <w:rFonts w:ascii="Book Antiqua" w:hAnsi="Book Antiqua" w:cs="Book Antiqua"/>
          <w:sz w:val="22"/>
        </w:rPr>
        <w:t xml:space="preserve"> 2000/78/ES bola transponovaná do nasledovných právnych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73/1998 Z. z. o štátnej službe príslušníkov Policajného zboru, Slovenskej informačnej služby, Zboru väzenskej a justičnej stráže Slovenskej republiky a Železničnej polície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200/1998 Z. z. o štátnej službe colníkov a o zmene a doplnení niektorých ďalších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311/2001 Z. z. Zákonník práce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315/2001 Z. z. o Hasičskom zbore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131/2002 Z. z. o vysokých školách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328/2002 Z. z. o sociálnom zabezpečení policajtov a vojakov a o zmene a doplnení niektorých zákonov,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xml:space="preserve">- zákon č. 552/2003 Z. z. o službách zamestnanosti v znení neskorších predpisov, </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5/2004 Z. z. o službách zamestnanosti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365/2004 Z. z. o rovnakom zaobchádzaní v niektorých oblastiach a o ochrane pred diskrimináciou a o zmene a doplnení niektorých zákonov (antidiskriminačný zákon)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580/2004 Z. z. o zdravotnom poistení a o zmene a doplnení zákona      č. 95/2002 Z. z. o poisťovníctve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578/2004 Z. z. o poskytovateľoch zdravotnej starostlivosti, zdravotníckych pracovníkoch, stavovských organizáciách v zdravotníctve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124/2006 Z. z. o bezpečnosti a ochrane zdravia pri práci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xml:space="preserve">- zákon č. 125/2006 Z . z. o inšpekcii práce a o zmene a doplnení niektorých a o zmene a doplní </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317/2009 Z. z. o pedagogických zamestnancoch a odborných zamestnancoch a o zmene a doplnení niektorých zákonov v znení neskorších predpisov,</w:t>
      </w:r>
    </w:p>
    <w:p w:rsid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160/2015 Z. z. Civilný sporový poriadok v znení zákona č. 87/2017 Z. z.,</w:t>
      </w:r>
    </w:p>
    <w:p w:rsidR="00931132" w:rsidRPr="00931132" w:rsidP="00931132">
      <w:pPr>
        <w:pStyle w:val="Vchodzie"/>
        <w:tabs>
          <w:tab w:val="left" w:pos="284"/>
          <w:tab w:val="left" w:pos="720"/>
        </w:tabs>
        <w:bidi w:val="0"/>
        <w:spacing w:before="120" w:line="276" w:lineRule="auto"/>
        <w:ind w:left="1080"/>
        <w:jc w:val="both"/>
        <w:rPr>
          <w:rFonts w:ascii="Times New Roman" w:hAnsi="Times New Roman"/>
        </w:rPr>
      </w:pPr>
      <w:r>
        <w:rPr>
          <w:rFonts w:ascii="Book Antiqua" w:hAnsi="Book Antiqua" w:cs="Book Antiqua"/>
          <w:sz w:val="22"/>
        </w:rPr>
        <w:t>- zákon č. 281/2015 Z. z. o štátnej službe profesionálnych vojakov v znení zákona č. 125/2016 Z. z.</w:t>
      </w:r>
    </w:p>
    <w:p w:rsidR="00B3150D" w:rsidRPr="00275B71" w:rsidP="00275B71">
      <w:pPr>
        <w:pStyle w:val="Vchodzie"/>
        <w:tabs>
          <w:tab w:val="left" w:pos="284"/>
          <w:tab w:val="left" w:pos="720"/>
        </w:tabs>
        <w:bidi w:val="0"/>
        <w:spacing w:before="120" w:line="276" w:lineRule="auto"/>
        <w:jc w:val="both"/>
        <w:rPr>
          <w:rFonts w:ascii="Book Antiqua" w:hAnsi="Book Antiqua"/>
          <w:sz w:val="22"/>
          <w:szCs w:val="22"/>
        </w:rPr>
      </w:pPr>
    </w:p>
    <w:p w:rsidR="00DF4AAE" w:rsidRPr="00275B71" w:rsidP="00275B71">
      <w:pPr>
        <w:pStyle w:val="NormalWeb"/>
        <w:bidi w:val="0"/>
        <w:spacing w:before="120" w:after="0" w:line="276" w:lineRule="auto"/>
        <w:jc w:val="both"/>
        <w:rPr>
          <w:rFonts w:ascii="Book Antiqua" w:hAnsi="Book Antiqua" w:cs="Book Antiqua"/>
          <w:b/>
          <w:bCs/>
          <w:sz w:val="22"/>
          <w:szCs w:val="22"/>
        </w:rPr>
      </w:pPr>
      <w:r w:rsidR="00C123FD">
        <w:rPr>
          <w:rFonts w:ascii="Book Antiqua" w:hAnsi="Book Antiqua" w:cs="Book Antiqua"/>
          <w:b/>
          <w:bCs/>
          <w:sz w:val="22"/>
          <w:szCs w:val="22"/>
        </w:rPr>
        <w:t>5. </w:t>
      </w:r>
      <w:r w:rsidRPr="00CA038B" w:rsidR="00CA038B">
        <w:rPr>
          <w:rFonts w:ascii="Book Antiqua" w:hAnsi="Book Antiqua" w:cs="Book Antiqua"/>
          <w:b/>
          <w:color w:val="000000"/>
          <w:sz w:val="22"/>
          <w:szCs w:val="22"/>
        </w:rPr>
        <w:t>Stupeň zlučiteľnosti návrhu zákona s právom Európskej únie</w:t>
      </w:r>
      <w:r w:rsidRPr="00CA038B">
        <w:rPr>
          <w:rFonts w:ascii="Book Antiqua" w:hAnsi="Book Antiqua" w:cs="Book Antiqua"/>
          <w:b/>
          <w:bCs/>
          <w:sz w:val="22"/>
          <w:szCs w:val="22"/>
        </w:rPr>
        <w:t>:</w:t>
      </w:r>
    </w:p>
    <w:p w:rsidR="00DF4AAE" w:rsidRPr="00275B71" w:rsidP="00275B71">
      <w:pPr>
        <w:pStyle w:val="Vchodzie"/>
        <w:autoSpaceDE/>
        <w:bidi w:val="0"/>
        <w:spacing w:before="120" w:line="276" w:lineRule="auto"/>
        <w:ind w:left="851" w:hanging="425"/>
        <w:jc w:val="both"/>
        <w:rPr>
          <w:rFonts w:ascii="Book Antiqua" w:hAnsi="Book Antiqua"/>
          <w:sz w:val="22"/>
          <w:szCs w:val="22"/>
        </w:rPr>
      </w:pPr>
      <w:r w:rsidRPr="00275B71">
        <w:rPr>
          <w:rFonts w:ascii="Book Antiqua" w:hAnsi="Book Antiqua"/>
          <w:sz w:val="22"/>
          <w:szCs w:val="22"/>
        </w:rPr>
        <w:t xml:space="preserve">- </w:t>
        <w:tab/>
        <w:t>úplný</w:t>
      </w:r>
    </w:p>
    <w:p w:rsidR="00DF4AAE" w:rsidRPr="00275B71" w:rsidP="00275B71">
      <w:pPr>
        <w:pStyle w:val="NormalWeb"/>
        <w:bidi w:val="0"/>
        <w:spacing w:before="120" w:after="0" w:line="276" w:lineRule="auto"/>
        <w:jc w:val="both"/>
        <w:rPr>
          <w:rFonts w:ascii="Book Antiqua" w:hAnsi="Book Antiqua" w:cs="Book Antiqua"/>
          <w:b/>
          <w:bCs/>
          <w:sz w:val="22"/>
          <w:szCs w:val="22"/>
        </w:rPr>
      </w:pPr>
    </w:p>
    <w:p w:rsidR="009A7314" w:rsidRPr="00275B71" w:rsidP="00275B71">
      <w:pPr>
        <w:pStyle w:val="NormalWeb"/>
        <w:bidi w:val="0"/>
        <w:spacing w:before="120" w:after="0" w:line="276" w:lineRule="auto"/>
        <w:jc w:val="both"/>
        <w:rPr>
          <w:rFonts w:ascii="Book Antiqua" w:hAnsi="Book Antiqua" w:cs="Book Antiqua"/>
          <w:b/>
          <w:bCs/>
          <w:sz w:val="22"/>
          <w:szCs w:val="22"/>
        </w:rPr>
      </w:pPr>
    </w:p>
    <w:p w:rsidR="009A7314" w:rsidRPr="00275B71" w:rsidP="00275B71">
      <w:pPr>
        <w:pageBreakBefore/>
        <w:bidi w:val="0"/>
        <w:spacing w:before="120" w:after="0"/>
        <w:jc w:val="center"/>
        <w:rPr>
          <w:rFonts w:ascii="Book Antiqua" w:hAnsi="Book Antiqua" w:cs="Book Antiqua"/>
          <w:b/>
          <w:bCs/>
        </w:rPr>
      </w:pPr>
      <w:r w:rsidRPr="00275B71">
        <w:rPr>
          <w:rFonts w:ascii="Book Antiqua" w:hAnsi="Book Antiqua" w:cs="Book Antiqua"/>
          <w:b/>
          <w:bCs/>
          <w:caps/>
          <w:spacing w:val="30"/>
        </w:rPr>
        <w:t>Doložka</w:t>
      </w:r>
    </w:p>
    <w:p w:rsidR="009A7314" w:rsidRPr="00275B71" w:rsidP="00275B71">
      <w:pPr>
        <w:bidi w:val="0"/>
        <w:spacing w:before="120" w:after="0"/>
        <w:jc w:val="center"/>
        <w:rPr>
          <w:rFonts w:ascii="Book Antiqua" w:hAnsi="Book Antiqua" w:cs="Book Antiqua"/>
        </w:rPr>
      </w:pPr>
      <w:r w:rsidRPr="00275B71">
        <w:rPr>
          <w:rFonts w:ascii="Book Antiqua" w:hAnsi="Book Antiqua" w:cs="Book Antiqua"/>
          <w:b/>
          <w:bCs/>
        </w:rPr>
        <w:t>vybraných vplyvov</w:t>
      </w:r>
    </w:p>
    <w:p w:rsidR="009A7314" w:rsidRPr="00275B71" w:rsidP="00275B71">
      <w:pPr>
        <w:bidi w:val="0"/>
        <w:spacing w:before="120" w:after="0"/>
        <w:jc w:val="both"/>
        <w:rPr>
          <w:rFonts w:ascii="Book Antiqua" w:hAnsi="Book Antiqua" w:cs="Book Antiqua"/>
        </w:rPr>
      </w:pPr>
    </w:p>
    <w:p w:rsidR="009A7314" w:rsidRPr="00275B71" w:rsidP="00275B71">
      <w:pPr>
        <w:bidi w:val="0"/>
        <w:spacing w:before="120" w:after="0"/>
        <w:jc w:val="both"/>
        <w:rPr>
          <w:rFonts w:ascii="Book Antiqua" w:hAnsi="Book Antiqua" w:cs="Book Antiqua"/>
        </w:rPr>
      </w:pPr>
      <w:r w:rsidRPr="00275B71">
        <w:rPr>
          <w:rFonts w:ascii="Book Antiqua" w:hAnsi="Book Antiqua" w:cs="Book Antiqua"/>
          <w:b/>
          <w:bCs/>
        </w:rPr>
        <w:t xml:space="preserve">A.1. Názov materiálu: </w:t>
      </w:r>
      <w:r w:rsidRPr="00275B71">
        <w:rPr>
          <w:rFonts w:ascii="Book Antiqua" w:hAnsi="Book Antiqua" w:cs="Book Antiqua"/>
        </w:rPr>
        <w:t xml:space="preserve">návrh zákona, ktorým </w:t>
      </w:r>
      <w:r w:rsidRPr="00275B71">
        <w:rPr>
          <w:rFonts w:ascii="Book Antiqua" w:hAnsi="Book Antiqua" w:cs="Book Antiqua"/>
          <w:bCs/>
        </w:rPr>
        <w:t xml:space="preserve">sa mení a dopĺňa zákon č. 311/2001 Z. z. Zákonník práce </w:t>
      </w:r>
      <w:r w:rsidRPr="00275B71">
        <w:rPr>
          <w:rFonts w:ascii="Book Antiqua" w:hAnsi="Book Antiqua" w:cs="Book Antiqua"/>
        </w:rPr>
        <w:t xml:space="preserve">v znení neskorších predpisov </w:t>
      </w:r>
    </w:p>
    <w:p w:rsidR="009A7314" w:rsidRPr="00275B71" w:rsidP="00275B71">
      <w:pPr>
        <w:keepNext/>
        <w:bidi w:val="0"/>
        <w:spacing w:before="120" w:after="0"/>
        <w:jc w:val="both"/>
        <w:rPr>
          <w:rFonts w:ascii="Book Antiqua" w:hAnsi="Book Antiqua" w:cs="Book Antiqua"/>
        </w:rPr>
      </w:pPr>
    </w:p>
    <w:p w:rsidR="009A7314" w:rsidRPr="00275B71" w:rsidP="00275B71">
      <w:pPr>
        <w:bidi w:val="0"/>
        <w:spacing w:before="120" w:after="0"/>
        <w:jc w:val="both"/>
        <w:rPr>
          <w:rFonts w:ascii="Book Antiqua" w:hAnsi="Book Antiqua" w:cs="Book Antiqua"/>
          <w:i/>
          <w:iCs/>
        </w:rPr>
      </w:pPr>
      <w:r w:rsidRPr="00275B71">
        <w:rPr>
          <w:rFonts w:ascii="Book Antiqua" w:hAnsi="Book Antiqua" w:cs="Book Antiqua"/>
          <w:b/>
          <w:bCs/>
        </w:rPr>
        <w:t>Termín začatia a ukončenia PPK:</w:t>
      </w:r>
      <w:r w:rsidRPr="00275B71">
        <w:rPr>
          <w:rFonts w:ascii="Book Antiqua" w:hAnsi="Book Antiqua" w:cs="Book Antiqua"/>
        </w:rPr>
        <w:t xml:space="preserve"> </w:t>
      </w:r>
      <w:r w:rsidRPr="00275B71">
        <w:rPr>
          <w:rFonts w:ascii="Book Antiqua" w:hAnsi="Book Antiqua" w:cs="Book Antiqua"/>
          <w:i/>
          <w:iCs/>
        </w:rPr>
        <w:t>bezpredmetné</w:t>
      </w:r>
    </w:p>
    <w:p w:rsidR="009A7314" w:rsidRPr="00275B71" w:rsidP="00275B71">
      <w:pPr>
        <w:bidi w:val="0"/>
        <w:spacing w:before="120" w:after="0"/>
        <w:jc w:val="both"/>
        <w:rPr>
          <w:rFonts w:ascii="Book Antiqua" w:hAnsi="Book Antiqua" w:cs="Book Antiqua"/>
          <w:i/>
          <w:iCs/>
        </w:rPr>
      </w:pPr>
    </w:p>
    <w:p w:rsidR="009A7314" w:rsidRPr="00275B71" w:rsidP="00275B71">
      <w:pPr>
        <w:bidi w:val="0"/>
        <w:spacing w:before="120" w:after="0"/>
        <w:jc w:val="both"/>
        <w:rPr>
          <w:rFonts w:ascii="Book Antiqua" w:hAnsi="Book Antiqua" w:cs="Book Antiqua"/>
        </w:rPr>
      </w:pPr>
      <w:r w:rsidRPr="00275B71">
        <w:rPr>
          <w:rFonts w:ascii="Book Antiqua" w:hAnsi="Book Antiqua" w:cs="Book Antiqua"/>
          <w:b/>
          <w:bCs/>
        </w:rPr>
        <w:t>A.2. Vplyvy:</w:t>
      </w:r>
    </w:p>
    <w:tbl>
      <w:tblPr>
        <w:tblStyle w:val="TableNormal"/>
        <w:tblW w:w="0" w:type="auto"/>
        <w:tblInd w:w="-34" w:type="dxa"/>
        <w:tblLayout w:type="fixed"/>
        <w:tblCellMar>
          <w:left w:w="0" w:type="dxa"/>
          <w:right w:w="0" w:type="dxa"/>
        </w:tblCellMar>
      </w:tblPr>
      <w:tblGrid>
        <w:gridCol w:w="5518"/>
        <w:gridCol w:w="1192"/>
        <w:gridCol w:w="1181"/>
        <w:gridCol w:w="1257"/>
      </w:tblGrid>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both"/>
              <w:rPr>
                <w:rFonts w:ascii="Book Antiqua" w:hAnsi="Book Antiqua" w:cs="Book Antiqua"/>
              </w:rPr>
            </w:pP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 Pozitívne </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 Žiadne </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pacing w:before="120" w:after="0"/>
              <w:jc w:val="both"/>
              <w:rPr>
                <w:rFonts w:ascii="Book Antiqua" w:hAnsi="Book Antiqua"/>
              </w:rPr>
            </w:pPr>
            <w:r w:rsidRPr="00275B71">
              <w:rPr>
                <w:rFonts w:ascii="Book Antiqua" w:hAnsi="Book Antiqua" w:cs="Book Antiqua"/>
              </w:rPr>
              <w:t> Negatívne </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1. Vplyvy na rozpočet verejnej správy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r w:rsidRPr="00275B71" w:rsidR="006C16FC">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pacing w:before="120" w:after="0"/>
              <w:jc w:val="center"/>
              <w:rPr>
                <w:rFonts w:ascii="Book Antiqua" w:hAnsi="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2. Vplyvy na podnikateľské prostredie – dochádza k zvýšeniu regulačného zaťaženia?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r w:rsidRPr="00275B71" w:rsidR="006C16FC">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pacing w:before="120" w:after="0"/>
              <w:jc w:val="center"/>
              <w:rPr>
                <w:rFonts w:ascii="Book Antiqua" w:hAnsi="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3. Sociálne vplyvy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r w:rsidRPr="00275B71">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 vplyvy na hospodárenie obyvateľstva,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r w:rsidRPr="00275B71" w:rsidR="006C16FC">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 sociálnu exklúziu,</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r w:rsidRPr="00275B71" w:rsidR="006C16FC">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 rovnosť príležitostí a rodovú rovnosť a vplyvy na zamestnanosť</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r w:rsidRPr="00275B71" w:rsidR="006C16FC">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4. Vplyvy na životné prostredie</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r w:rsidRPr="00275B71">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both"/>
              <w:rPr>
                <w:rFonts w:ascii="Book Antiqua" w:hAnsi="Book Antiqua" w:cs="Book Antiqua"/>
              </w:rPr>
            </w:pPr>
            <w:r w:rsidRPr="00275B71">
              <w:rPr>
                <w:rFonts w:ascii="Book Antiqua" w:hAnsi="Book Antiqua" w:cs="Book Antiqua"/>
              </w:rPr>
              <w:t>5. Vplyvy na informatizáciu spoločnosti</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275B71" w:rsidP="00275B71">
            <w:pPr>
              <w:bidi w:val="0"/>
              <w:spacing w:before="120" w:after="0"/>
              <w:jc w:val="center"/>
              <w:rPr>
                <w:rFonts w:ascii="Book Antiqua" w:hAnsi="Book Antiqua" w:cs="Book Antiqua"/>
              </w:rPr>
            </w:pPr>
            <w:r w:rsidRPr="00275B71">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275B71" w:rsidP="00275B71">
            <w:pPr>
              <w:bidi w:val="0"/>
              <w:snapToGrid w:val="0"/>
              <w:spacing w:before="120" w:after="0"/>
              <w:jc w:val="center"/>
              <w:rPr>
                <w:rFonts w:ascii="Book Antiqua" w:hAnsi="Book Antiqua" w:cs="Book Antiqua"/>
              </w:rPr>
            </w:pPr>
          </w:p>
        </w:tc>
      </w:tr>
    </w:tbl>
    <w:p w:rsidR="009A7314" w:rsidRPr="00275B71" w:rsidP="00275B71">
      <w:pPr>
        <w:bidi w:val="0"/>
        <w:spacing w:before="120" w:after="0"/>
        <w:jc w:val="both"/>
        <w:rPr>
          <w:rFonts w:ascii="Book Antiqua" w:hAnsi="Book Antiqua" w:cs="Book Antiqua"/>
          <w:b/>
          <w:bCs/>
        </w:rPr>
      </w:pPr>
      <w:r w:rsidRPr="00275B71">
        <w:rPr>
          <w:rFonts w:ascii="Book Antiqua" w:hAnsi="Book Antiqua" w:cs="Book Antiqua"/>
        </w:rPr>
        <w:t> </w:t>
      </w:r>
    </w:p>
    <w:p w:rsidR="009A7314" w:rsidRPr="00275B71" w:rsidP="00275B71">
      <w:pPr>
        <w:bidi w:val="0"/>
        <w:spacing w:before="120" w:after="0"/>
        <w:jc w:val="both"/>
        <w:rPr>
          <w:rFonts w:ascii="Book Antiqua" w:hAnsi="Book Antiqua" w:cs="Book Antiqua"/>
          <w:bCs/>
          <w:i/>
        </w:rPr>
      </w:pPr>
      <w:r w:rsidRPr="00275B71">
        <w:rPr>
          <w:rFonts w:ascii="Book Antiqua" w:hAnsi="Book Antiqua" w:cs="Book Antiqua"/>
          <w:b/>
          <w:bCs/>
        </w:rPr>
        <w:t>A.3. Poznámky</w:t>
      </w:r>
    </w:p>
    <w:p w:rsidR="009A7314" w:rsidRPr="00275B71" w:rsidP="00275B71">
      <w:pPr>
        <w:pStyle w:val="NormalWeb"/>
        <w:bidi w:val="0"/>
        <w:spacing w:before="120" w:after="0" w:line="276" w:lineRule="auto"/>
        <w:jc w:val="both"/>
        <w:rPr>
          <w:rFonts w:ascii="Book Antiqua" w:hAnsi="Book Antiqua" w:cs="Book Antiqua"/>
          <w:bCs/>
          <w:i/>
          <w:sz w:val="22"/>
          <w:szCs w:val="22"/>
        </w:rPr>
      </w:pPr>
      <w:r w:rsidRPr="00275B71">
        <w:rPr>
          <w:rFonts w:ascii="Book Antiqua" w:hAnsi="Book Antiqua" w:cs="Book Antiqua"/>
          <w:bCs/>
          <w:i/>
          <w:sz w:val="22"/>
          <w:szCs w:val="22"/>
        </w:rPr>
        <w:t>Predlože</w:t>
      </w:r>
      <w:r w:rsidRPr="00275B71" w:rsidR="0034756F">
        <w:rPr>
          <w:rFonts w:ascii="Book Antiqua" w:hAnsi="Book Antiqua" w:cs="Book Antiqua"/>
          <w:bCs/>
          <w:i/>
          <w:sz w:val="22"/>
          <w:szCs w:val="22"/>
        </w:rPr>
        <w:t>ný návrh zákona bude mať</w:t>
      </w:r>
      <w:r w:rsidRPr="00275B71">
        <w:rPr>
          <w:rFonts w:ascii="Book Antiqua" w:hAnsi="Book Antiqua" w:cs="Book Antiqua"/>
          <w:bCs/>
          <w:i/>
          <w:sz w:val="22"/>
          <w:szCs w:val="22"/>
        </w:rPr>
        <w:t xml:space="preserve"> pozitívne sociálne vplyvy, osobitne vplyv na </w:t>
      </w:r>
      <w:r w:rsidRPr="00275B71" w:rsidR="006C16FC">
        <w:rPr>
          <w:rFonts w:ascii="Book Antiqua" w:hAnsi="Book Antiqua" w:cs="Book Antiqua"/>
          <w:bCs/>
          <w:i/>
          <w:sz w:val="22"/>
          <w:szCs w:val="22"/>
        </w:rPr>
        <w:t>rovnosť príležitostí a na zamestnanosť</w:t>
      </w:r>
      <w:r w:rsidRPr="00275B71">
        <w:rPr>
          <w:rFonts w:ascii="Book Antiqua" w:hAnsi="Book Antiqua" w:cs="Book Antiqua"/>
          <w:bCs/>
          <w:i/>
          <w:sz w:val="22"/>
          <w:szCs w:val="22"/>
        </w:rPr>
        <w:t xml:space="preserve">. </w:t>
      </w:r>
    </w:p>
    <w:p w:rsidR="009A7314" w:rsidRPr="00275B71" w:rsidP="00275B71">
      <w:pPr>
        <w:pStyle w:val="NormalWeb"/>
        <w:bidi w:val="0"/>
        <w:spacing w:before="120" w:after="0" w:line="276" w:lineRule="auto"/>
        <w:jc w:val="both"/>
        <w:rPr>
          <w:rFonts w:ascii="Book Antiqua" w:hAnsi="Book Antiqua" w:cs="Book Antiqua"/>
          <w:bCs/>
          <w:i/>
          <w:sz w:val="22"/>
          <w:szCs w:val="22"/>
        </w:rPr>
      </w:pPr>
      <w:r w:rsidRPr="00275B71">
        <w:rPr>
          <w:rFonts w:ascii="Book Antiqua" w:hAnsi="Book Antiqua" w:cs="Book Antiqua"/>
          <w:bCs/>
          <w:i/>
          <w:sz w:val="22"/>
          <w:szCs w:val="22"/>
        </w:rPr>
        <w:t xml:space="preserve">Návrh zákona nezakladá žiadne vplyvy na </w:t>
      </w:r>
      <w:r w:rsidRPr="00275B71" w:rsidR="006C16FC">
        <w:rPr>
          <w:rFonts w:ascii="Book Antiqua" w:hAnsi="Book Antiqua" w:cs="Book Antiqua"/>
          <w:bCs/>
          <w:i/>
          <w:sz w:val="22"/>
          <w:szCs w:val="22"/>
        </w:rPr>
        <w:t xml:space="preserve">rozpočet verejnej správy, podnikateľské prostredie, </w:t>
      </w:r>
      <w:r w:rsidRPr="00275B71">
        <w:rPr>
          <w:rFonts w:ascii="Book Antiqua" w:hAnsi="Book Antiqua" w:cs="Book Antiqua"/>
          <w:bCs/>
          <w:i/>
          <w:sz w:val="22"/>
          <w:szCs w:val="22"/>
        </w:rPr>
        <w:t>informatizáciu spoločnosti ani na životné prostredie.</w:t>
      </w:r>
    </w:p>
    <w:p w:rsidR="00B3150D" w:rsidRPr="00275B71" w:rsidP="00275B71">
      <w:pPr>
        <w:pStyle w:val="NormalWeb"/>
        <w:bidi w:val="0"/>
        <w:spacing w:before="120" w:after="0" w:line="276" w:lineRule="auto"/>
        <w:jc w:val="both"/>
        <w:rPr>
          <w:rFonts w:ascii="Book Antiqua" w:hAnsi="Book Antiqua" w:cs="Book Antiqua"/>
          <w:b/>
          <w:bCs/>
          <w:sz w:val="22"/>
          <w:szCs w:val="22"/>
        </w:rPr>
      </w:pPr>
    </w:p>
    <w:p w:rsidR="009A7314" w:rsidRPr="00275B71" w:rsidP="00275B71">
      <w:pPr>
        <w:bidi w:val="0"/>
        <w:spacing w:before="120" w:after="0"/>
        <w:jc w:val="both"/>
        <w:rPr>
          <w:rFonts w:ascii="Book Antiqua" w:hAnsi="Book Antiqua" w:cs="Book Antiqua"/>
          <w:i/>
        </w:rPr>
      </w:pPr>
      <w:r w:rsidRPr="00275B71">
        <w:rPr>
          <w:rFonts w:ascii="Book Antiqua" w:hAnsi="Book Antiqua" w:cs="Book Antiqua"/>
          <w:b/>
          <w:bCs/>
        </w:rPr>
        <w:t>A.4. Alternatívne riešenia</w:t>
      </w:r>
    </w:p>
    <w:p w:rsidR="009A7314" w:rsidRPr="00275B71" w:rsidP="00275B71">
      <w:pPr>
        <w:bidi w:val="0"/>
        <w:spacing w:before="120" w:after="0"/>
        <w:jc w:val="both"/>
        <w:rPr>
          <w:rFonts w:ascii="Book Antiqua" w:hAnsi="Book Antiqua" w:cs="Book Antiqua"/>
          <w:b/>
          <w:bCs/>
        </w:rPr>
      </w:pPr>
      <w:r w:rsidRPr="00275B71">
        <w:rPr>
          <w:rFonts w:ascii="Book Antiqua" w:hAnsi="Book Antiqua" w:cs="Book Antiqua"/>
          <w:i/>
        </w:rPr>
        <w:t>bezpredmetné </w:t>
      </w:r>
    </w:p>
    <w:p w:rsidR="009A7314" w:rsidRPr="00275B71" w:rsidP="00275B71">
      <w:pPr>
        <w:bidi w:val="0"/>
        <w:spacing w:before="120" w:after="0"/>
        <w:jc w:val="both"/>
        <w:rPr>
          <w:rFonts w:ascii="Book Antiqua" w:hAnsi="Book Antiqua" w:cs="Book Antiqua"/>
          <w:b/>
          <w:bCs/>
        </w:rPr>
      </w:pPr>
    </w:p>
    <w:p w:rsidR="009A7314" w:rsidRPr="00275B71" w:rsidP="00275B71">
      <w:pPr>
        <w:pStyle w:val="NormalWeb"/>
        <w:bidi w:val="0"/>
        <w:spacing w:before="120" w:after="0" w:line="276" w:lineRule="auto"/>
        <w:ind w:left="567" w:hanging="567"/>
        <w:jc w:val="both"/>
        <w:rPr>
          <w:rFonts w:ascii="Book Antiqua" w:hAnsi="Book Antiqua" w:cs="Book Antiqua"/>
          <w:i/>
          <w:iCs/>
          <w:sz w:val="22"/>
          <w:szCs w:val="22"/>
        </w:rPr>
      </w:pPr>
      <w:r w:rsidRPr="00275B71">
        <w:rPr>
          <w:rFonts w:ascii="Book Antiqua" w:hAnsi="Book Antiqua" w:cs="Book Antiqua"/>
          <w:b/>
          <w:bCs/>
          <w:sz w:val="22"/>
          <w:szCs w:val="22"/>
        </w:rPr>
        <w:t xml:space="preserve">A.5. </w:t>
        <w:tab/>
        <w:t>Stanovisko gestorov</w:t>
      </w:r>
    </w:p>
    <w:p w:rsidR="009A7314" w:rsidRPr="00275B71" w:rsidP="00275B71">
      <w:pPr>
        <w:pStyle w:val="NormalWeb"/>
        <w:bidi w:val="0"/>
        <w:spacing w:before="120" w:after="0" w:line="276" w:lineRule="auto"/>
        <w:jc w:val="both"/>
        <w:rPr>
          <w:rFonts w:ascii="Book Antiqua" w:hAnsi="Book Antiqua"/>
          <w:sz w:val="22"/>
          <w:szCs w:val="22"/>
        </w:rPr>
      </w:pPr>
      <w:r w:rsidRPr="00275B71">
        <w:rPr>
          <w:rFonts w:ascii="Book Antiqua" w:hAnsi="Book Antiqua" w:cs="Book Antiqua"/>
          <w:i/>
          <w:iCs/>
          <w:sz w:val="22"/>
          <w:szCs w:val="22"/>
        </w:rPr>
        <w:t>Návrh zákona bol zaslaný na vyjadrenie Ministerstvu financií SR a stanovisko tohto ministerstva tvorí súčasť predkladaného materiálu.</w:t>
      </w:r>
    </w:p>
    <w:sectPr>
      <w:footerReference w:type="default" r:id="rId4"/>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0000400000000000000"/>
    <w:charset w:val="01"/>
    <w:family w:val="roman"/>
    <w:pitch w:val="variable"/>
    <w:sig w:usb0="00000000" w:usb1="00000000" w:usb2="00000000" w:usb3="00000000" w:csb0="0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Book Antiqua">
    <w:altName w:val="Palatino"/>
    <w:panose1 w:val="00000000000000000000"/>
    <w:charset w:val="EE"/>
    <w:family w:val="roman"/>
    <w:pitch w:val="variable"/>
    <w:sig w:usb0="00000000" w:usb1="00000000" w:usb2="00000000" w:usb3="00000000" w:csb0="0000009F" w:csb1="00000000"/>
  </w:font>
  <w:font w:name="Segoe UI">
    <w:altName w:val="Athelas Italic"/>
    <w:panose1 w:val="00000000000000000000"/>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1C7">
    <w:pPr>
      <w:pStyle w:val="Footer"/>
      <w:bidi w:val="0"/>
      <w:jc w:val="right"/>
    </w:pPr>
    <w:r>
      <w:fldChar w:fldCharType="begin"/>
    </w:r>
    <w:r>
      <w:instrText xml:space="preserve"> PAGE </w:instrText>
    </w:r>
    <w:r>
      <w:fldChar w:fldCharType="separate"/>
    </w:r>
    <w:r w:rsidR="008566A8">
      <w:rPr>
        <w:noProof/>
      </w:rPr>
      <w:t>1</w:t>
    </w:r>
    <w:r>
      <w:fldChar w:fldCharType="end"/>
    </w:r>
  </w:p>
  <w:p w:rsidR="002611C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ascii="Book Antiqua" w:hAnsi="Book Antiqua" w:cs="Book Antiqua"/>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tl w:val="0"/>
        <w:cs w:val="0"/>
      </w:rPr>
    </w:lvl>
  </w:abstractNum>
  <w:abstractNum w:abstractNumId="2">
    <w:nsid w:val="00000003"/>
    <w:multiLevelType w:val="singleLevel"/>
    <w:tmpl w:val="00000003"/>
    <w:name w:val="WW8Num3"/>
    <w:lvl w:ilvl="0">
      <w:start w:val="1"/>
      <w:numFmt w:val="lowerLetter"/>
      <w:lvlText w:val="%1)"/>
      <w:lvlJc w:val="left"/>
      <w:pPr>
        <w:tabs>
          <w:tab w:val="num" w:pos="0"/>
        </w:tabs>
        <w:ind w:left="1080" w:hanging="360"/>
      </w:pPr>
      <w:rPr>
        <w:rFonts w:ascii="Book Antiqua" w:hAnsi="Book Antiqua" w:cs="Times New Roman"/>
        <w:sz w:val="22"/>
        <w:rtl w:val="0"/>
        <w:cs w:val="0"/>
      </w:rPr>
    </w:lvl>
  </w:abstractNum>
  <w:abstractNum w:abstractNumId="3">
    <w:nsid w:val="09D149CD"/>
    <w:multiLevelType w:val="hybridMultilevel"/>
    <w:tmpl w:val="278A547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D34706A"/>
    <w:multiLevelType w:val="hybridMultilevel"/>
    <w:tmpl w:val="EC5667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4EC8089E"/>
    <w:multiLevelType w:val="hybridMultilevel"/>
    <w:tmpl w:val="FA449382"/>
    <w:lvl w:ilvl="0">
      <w:start w:val="4"/>
      <w:numFmt w:val="decimal"/>
      <w:lvlText w:val="%1."/>
      <w:lvlJc w:val="left"/>
      <w:pPr>
        <w:ind w:left="720" w:hanging="360"/>
      </w:pPr>
      <w:rPr>
        <w:rFonts w:ascii="Book Antiqua" w:hAnsi="Book Antiqua"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904249A"/>
    <w:multiLevelType w:val="hybridMultilevel"/>
    <w:tmpl w:val="C248D2A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8"/>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BB0BF4"/>
    <w:rsid w:val="0006219F"/>
    <w:rsid w:val="00122692"/>
    <w:rsid w:val="00137EE0"/>
    <w:rsid w:val="00145187"/>
    <w:rsid w:val="00196FA5"/>
    <w:rsid w:val="001A7501"/>
    <w:rsid w:val="00224F37"/>
    <w:rsid w:val="002579C6"/>
    <w:rsid w:val="002611C7"/>
    <w:rsid w:val="00275B71"/>
    <w:rsid w:val="002A77DD"/>
    <w:rsid w:val="00302143"/>
    <w:rsid w:val="0034756F"/>
    <w:rsid w:val="00355B2F"/>
    <w:rsid w:val="00362D91"/>
    <w:rsid w:val="00393144"/>
    <w:rsid w:val="003A4B9B"/>
    <w:rsid w:val="003D0C98"/>
    <w:rsid w:val="00401CCE"/>
    <w:rsid w:val="00425757"/>
    <w:rsid w:val="00452642"/>
    <w:rsid w:val="004B4412"/>
    <w:rsid w:val="0056125B"/>
    <w:rsid w:val="005F2718"/>
    <w:rsid w:val="006C16FC"/>
    <w:rsid w:val="006C366C"/>
    <w:rsid w:val="00720A14"/>
    <w:rsid w:val="0073565F"/>
    <w:rsid w:val="0077297B"/>
    <w:rsid w:val="00774BFB"/>
    <w:rsid w:val="007754CF"/>
    <w:rsid w:val="0078256B"/>
    <w:rsid w:val="00800509"/>
    <w:rsid w:val="0083400A"/>
    <w:rsid w:val="00843F85"/>
    <w:rsid w:val="00850FC6"/>
    <w:rsid w:val="008566A8"/>
    <w:rsid w:val="00897E0F"/>
    <w:rsid w:val="008D7E78"/>
    <w:rsid w:val="00931132"/>
    <w:rsid w:val="009577E5"/>
    <w:rsid w:val="00966B0B"/>
    <w:rsid w:val="009776F2"/>
    <w:rsid w:val="009A7314"/>
    <w:rsid w:val="009F51E6"/>
    <w:rsid w:val="00A07287"/>
    <w:rsid w:val="00A44670"/>
    <w:rsid w:val="00A929AF"/>
    <w:rsid w:val="00B3150D"/>
    <w:rsid w:val="00BA3D35"/>
    <w:rsid w:val="00BB0BF4"/>
    <w:rsid w:val="00C02ADD"/>
    <w:rsid w:val="00C123FD"/>
    <w:rsid w:val="00C80DCC"/>
    <w:rsid w:val="00CA038B"/>
    <w:rsid w:val="00CB566F"/>
    <w:rsid w:val="00D132FB"/>
    <w:rsid w:val="00D16B5C"/>
    <w:rsid w:val="00D33283"/>
    <w:rsid w:val="00D54DD6"/>
    <w:rsid w:val="00D557A0"/>
    <w:rsid w:val="00DF4AAE"/>
    <w:rsid w:val="00E13710"/>
    <w:rsid w:val="00E82110"/>
    <w:rsid w:val="00E94B39"/>
    <w:rsid w:val="00EC5BBF"/>
    <w:rsid w:val="00EC76D1"/>
    <w:rsid w:val="00EF27A6"/>
    <w:rsid w:val="00F04C86"/>
    <w:rsid w:val="00FC46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qFormat/>
    <w:pPr>
      <w:keepNext/>
      <w:numPr>
        <w:numId w:val="1"/>
      </w:numPr>
      <w:tabs>
        <w:tab w:val="left"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3">
    <w:name w:val="heading 3"/>
    <w:basedOn w:val="Normal"/>
    <w:next w:val="Normal"/>
    <w:qFormat/>
    <w:pPr>
      <w:keepNext/>
      <w:spacing w:before="240" w:after="60"/>
      <w:jc w:val="left"/>
      <w:outlineLvl w:val="2"/>
    </w:pPr>
    <w:rPr>
      <w:rFonts w:ascii="Cambria" w:hAnsi="Cambria" w:cs="Times New Roman"/>
      <w:b/>
      <w:bCs/>
      <w:sz w:val="26"/>
      <w:szCs w:val="26"/>
    </w:rPr>
  </w:style>
  <w:style w:type="paragraph" w:styleId="Heading5">
    <w:name w:val="heading 5"/>
    <w:basedOn w:val="Normal"/>
    <w:next w:val="Normal"/>
    <w:qFormat/>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cs="Book Antiqua"/>
      <w:sz w:val="22"/>
    </w:rPr>
  </w:style>
  <w:style w:type="character" w:customStyle="1" w:styleId="Predvolenpsmoodseku3">
    <w:name w:val="Predvolené písmo odseku3"/>
  </w:style>
  <w:style w:type="character" w:customStyle="1" w:styleId="Nadpis1Char">
    <w:name w:val="Nadpis 1 Char"/>
    <w:rPr>
      <w:rFonts w:ascii="Cambria" w:hAnsi="Cambria" w:cs="Cambria"/>
      <w:b/>
      <w:kern w:val="1"/>
      <w:sz w:val="32"/>
    </w:rPr>
  </w:style>
  <w:style w:type="character" w:customStyle="1" w:styleId="Nadpis5Char">
    <w:name w:val="Nadpis 5 Char"/>
    <w:rPr>
      <w:rFonts w:ascii="Calibri" w:hAnsi="Calibri" w:cs="Calibri"/>
      <w:b/>
      <w:i/>
      <w:sz w:val="26"/>
      <w:lang w:val="x-none" w:eastAsia="ar-SA" w:bidi="ar-SA"/>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cs="Courier New"/>
    </w:rPr>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qFormat/>
    <w:rPr>
      <w:i/>
    </w:rPr>
  </w:style>
  <w:style w:type="character" w:customStyle="1" w:styleId="apple-converted-space">
    <w:name w:val="apple-converted-space"/>
  </w:style>
  <w:style w:type="character" w:customStyle="1" w:styleId="TextbublinyChar">
    <w:name w:val="Text bubliny Char"/>
    <w:rPr>
      <w:rFonts w:ascii="Tahoma" w:hAnsi="Tahoma" w:cs="Tahoma"/>
      <w:sz w:val="16"/>
    </w:rPr>
  </w:style>
  <w:style w:type="character" w:customStyle="1" w:styleId="s8">
    <w:name w:val="s8"/>
  </w:style>
  <w:style w:type="character" w:customStyle="1" w:styleId="s11">
    <w:name w:val="s11"/>
  </w:style>
  <w:style w:type="character" w:customStyle="1" w:styleId="ZkladntextChar1">
    <w:name w:val="Základný text Char1"/>
    <w:rPr>
      <w:rFonts w:ascii="Calibri" w:hAnsi="Calibri" w:cs="Calibri"/>
      <w:sz w:val="22"/>
      <w:lang w:val="x-none" w:eastAsia="ar-SA" w:bidi="ar-SA"/>
    </w:rPr>
  </w:style>
  <w:style w:type="character" w:customStyle="1" w:styleId="ZarkazkladnhotextuChar1">
    <w:name w:val="Zarážka základného textu Char1"/>
    <w:rPr>
      <w:rFonts w:ascii="Calibri" w:hAnsi="Calibri" w:cs="Calibri"/>
      <w:sz w:val="22"/>
      <w:lang w:val="x-none" w:eastAsia="ar-SA" w:bidi="ar-SA"/>
    </w:rPr>
  </w:style>
  <w:style w:type="character" w:customStyle="1" w:styleId="TextbublinyChar1">
    <w:name w:val="Text bubliny Char1"/>
    <w:rPr>
      <w:rFonts w:ascii="Segoe UI" w:hAnsi="Segoe UI" w:cs="Segoe UI"/>
      <w:sz w:val="18"/>
      <w:lang w:val="x-none" w:eastAsia="ar-SA" w:bidi="ar-SA"/>
    </w:rPr>
  </w:style>
  <w:style w:type="character" w:customStyle="1" w:styleId="HlavikaChar">
    <w:name w:val="Hlavička Char"/>
    <w:rPr>
      <w:rFonts w:ascii="Calibri" w:hAnsi="Calibri" w:cs="Calibri"/>
      <w:sz w:val="22"/>
      <w:lang w:val="x-none" w:eastAsia="ar-SA" w:bidi="ar-SA"/>
    </w:rPr>
  </w:style>
  <w:style w:type="character" w:customStyle="1" w:styleId="PtaChar">
    <w:name w:val="Päta Char"/>
    <w:rPr>
      <w:rFonts w:ascii="Calibri" w:hAnsi="Calibri" w:cs="Calibri"/>
      <w:sz w:val="22"/>
      <w:lang w:val="x-none" w:eastAsia="ar-SA" w:bidi="ar-SA"/>
    </w:rPr>
  </w:style>
  <w:style w:type="character" w:styleId="Hyperlink">
    <w:name w:val="Hyperlink"/>
    <w:rPr>
      <w:color w:val="0000FF"/>
      <w:u w:val="single"/>
    </w:rPr>
  </w:style>
  <w:style w:type="character" w:customStyle="1" w:styleId="Nadpis3Char">
    <w:name w:val="Nadpis 3 Char"/>
    <w:rPr>
      <w:rFonts w:ascii="Cambria" w:hAnsi="Cambria" w:cs="Cambria"/>
      <w:b/>
      <w:sz w:val="26"/>
    </w:rPr>
  </w:style>
  <w:style w:type="character" w:styleId="HTMLVariable">
    <w:name w:val="HTML Variable"/>
    <w:rPr>
      <w:i/>
    </w:rPr>
  </w:style>
  <w:style w:type="character" w:customStyle="1" w:styleId="Znakyprepoznmkupodiarou">
    <w:name w:val="Znaky pre poznámku pod čiarou"/>
    <w:rPr>
      <w:vertAlign w:val="superscript"/>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line="240" w:lineRule="auto"/>
      <w:jc w:val="left"/>
    </w:pPr>
    <w:rPr>
      <w:rFonts w:ascii="Times New Roman" w:hAnsi="Times New Roman" w:cs="Times New Roman"/>
      <w:sz w:val="24"/>
      <w:szCs w:val="24"/>
    </w:rPr>
  </w:style>
  <w:style w:type="paragraph" w:styleId="List">
    <w:name w:val="List"/>
    <w:basedOn w:val="BodyText"/>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pPr>
      <w:spacing w:after="0" w:line="240" w:lineRule="auto"/>
      <w:ind w:firstLine="709"/>
      <w:jc w:val="both"/>
    </w:pPr>
    <w:rPr>
      <w:rFonts w:ascii="Times New Roman" w:hAnsi="Times New Roman" w:cs="Times New Roman"/>
      <w:sz w:val="24"/>
      <w:szCs w:val="20"/>
    </w:rPr>
  </w:style>
  <w:style w:type="paragraph" w:customStyle="1" w:styleId="Odsekzoznamu1">
    <w:name w:val="Odsek zoznamu1"/>
    <w:basedOn w:val="Normal"/>
    <w:pPr>
      <w:ind w:left="720"/>
      <w:jc w:val="left"/>
    </w:pPr>
  </w:style>
  <w:style w:type="paragraph" w:styleId="BalloonText">
    <w:name w:val="Balloon Text"/>
    <w:basedOn w:val="Normal"/>
    <w:pPr>
      <w:spacing w:after="0" w:line="240" w:lineRule="auto"/>
      <w:jc w:val="left"/>
    </w:pPr>
    <w:rPr>
      <w:rFonts w:ascii="Tahoma" w:hAnsi="Tahoma" w:cs="Tahoma"/>
      <w:sz w:val="16"/>
      <w:szCs w:val="16"/>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pPr>
      <w:suppressAutoHyphens w:val="0"/>
      <w:spacing w:before="280" w:after="280" w:line="240" w:lineRule="auto"/>
      <w:jc w:val="left"/>
    </w:pPr>
    <w:rPr>
      <w:rFonts w:ascii="Times New Roman" w:hAnsi="Times New Roman" w:cs="Times New Roman"/>
      <w:sz w:val="24"/>
      <w:szCs w:val="24"/>
    </w:rPr>
  </w:style>
  <w:style w:type="paragraph" w:styleId="Header">
    <w:name w:val="header"/>
    <w:basedOn w:val="Normal"/>
    <w:pPr>
      <w:tabs>
        <w:tab w:val="center" w:pos="4536"/>
        <w:tab w:val="right" w:pos="9072"/>
      </w:tabs>
      <w:spacing w:after="0" w:line="240" w:lineRule="auto"/>
      <w:jc w:val="left"/>
    </w:pPr>
  </w:style>
  <w:style w:type="paragraph" w:styleId="Footer">
    <w:name w:val="footer"/>
    <w:basedOn w:val="Normal"/>
    <w:pPr>
      <w:tabs>
        <w:tab w:val="center" w:pos="4536"/>
        <w:tab w:val="right" w:pos="9072"/>
      </w:tabs>
      <w:spacing w:after="0" w:line="240" w:lineRule="auto"/>
      <w:jc w:val="left"/>
    </w:pPr>
  </w:style>
  <w:style w:type="paragraph" w:customStyle="1" w:styleId="go">
    <w:name w:val="go"/>
    <w:basedOn w:val="Normal"/>
    <w:pPr>
      <w:suppressAutoHyphens w:val="0"/>
      <w:spacing w:before="280" w:after="280" w:line="240" w:lineRule="auto"/>
      <w:jc w:val="left"/>
    </w:pPr>
    <w:rPr>
      <w:rFonts w:ascii="Times New Roman" w:hAnsi="Times New Roman" w:cs="Times New Roman"/>
      <w:sz w:val="24"/>
      <w:szCs w:val="24"/>
    </w:rPr>
  </w:style>
  <w:style w:type="paragraph" w:styleId="FootnoteText">
    <w:name w:val="footnote text"/>
    <w:basedOn w:val="Normal"/>
    <w:link w:val="TextpoznmkypodiarouChar"/>
    <w:uiPriority w:val="99"/>
    <w:pPr>
      <w:jc w:val="left"/>
    </w:pPr>
    <w:rPr>
      <w:rFonts w:cs="Times New Roman"/>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rPr>
  </w:style>
  <w:style w:type="character" w:customStyle="1" w:styleId="TextpoznmkypodiarouChar">
    <w:name w:val="Text poznámky pod čiarou Char"/>
    <w:link w:val="FootnoteText"/>
    <w:uiPriority w:val="99"/>
    <w:locked/>
    <w:rsid w:val="0078256B"/>
    <w:rPr>
      <w:rFonts w:ascii="Calibri" w:hAnsi="Calibri" w:cs="Calibri"/>
      <w:lang w:val="sk-SK" w:eastAsia="ar-SA" w:bidi="ar-SA"/>
    </w:rPr>
  </w:style>
  <w:style w:type="character" w:styleId="FootnoteReference">
    <w:name w:val="footnote reference"/>
    <w:uiPriority w:val="99"/>
    <w:semiHidden/>
    <w:unhideWhenUsed/>
    <w:rsid w:val="0078256B"/>
    <w:rPr>
      <w:vertAlign w:val="superscript"/>
    </w:rPr>
  </w:style>
  <w:style w:type="character" w:styleId="FollowedHyperlink">
    <w:name w:val="FollowedHyperlink"/>
    <w:uiPriority w:val="99"/>
    <w:semiHidden/>
    <w:unhideWhenUsed/>
    <w:rsid w:val="00720A14"/>
    <w:rPr>
      <w:color w:val="800080"/>
      <w:u w:val="single"/>
    </w:rPr>
  </w:style>
  <w:style w:type="paragraph" w:customStyle="1" w:styleId="Vchodzie">
    <w:name w:val="Vchodzie"/>
    <w:rsid w:val="00D557A0"/>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 w:type="character" w:styleId="Strong">
    <w:name w:val="Strong"/>
    <w:uiPriority w:val="22"/>
    <w:qFormat/>
    <w:rsid w:val="00F04C86"/>
    <w:rPr>
      <w:rFonts w:ascii="Times New Roman" w:hAnsi="Times New Roman" w:cs="Times New Roman"/>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1863</Words>
  <Characters>10622</Characters>
  <Application>Microsoft Office Word</Application>
  <DocSecurity>0</DocSecurity>
  <Lines>0</Lines>
  <Paragraphs>0</Paragraphs>
  <ScaleCrop>false</ScaleCrop>
  <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Gálisová, Natália</cp:lastModifiedBy>
  <cp:revision>2</cp:revision>
  <cp:lastPrinted>2015-02-05T10:07:00Z</cp:lastPrinted>
  <dcterms:created xsi:type="dcterms:W3CDTF">2017-08-18T13:16:00Z</dcterms:created>
  <dcterms:modified xsi:type="dcterms:W3CDTF">2017-08-18T13:16:00Z</dcterms:modified>
</cp:coreProperties>
</file>