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1E66" w:rsidRPr="004E1E66" w:rsidP="004E1E66">
      <w:pPr>
        <w:widowControl/>
        <w:autoSpaceDE/>
        <w:autoSpaceDN/>
        <w:bidi w:val="0"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:rsidR="004E1E66" w:rsidRPr="004E1E66" w:rsidP="004E1E66">
      <w:pPr>
        <w:widowControl/>
        <w:numPr>
          <w:numId w:val="1"/>
        </w:numPr>
        <w:autoSpaceDE/>
        <w:autoSpaceDN/>
        <w:bidi w:val="0"/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:rsidR="004E1E66" w:rsidRPr="004E1E66" w:rsidP="004E1E66">
      <w:pPr>
        <w:widowControl/>
        <w:autoSpaceDE/>
        <w:autoSpaceDN/>
        <w:bidi w:val="0"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Times New Roman" w:hAnsi="Times New Roman"/>
          <w:noProof/>
          <w:lang w:eastAsia="sk-SK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5" type="#_x0000_t32" style="width:455pt;height:0;margin-top:2.75pt;margin-left:-0.35pt;mso-wrap-distance-bottom:0pt;mso-wrap-distance-top:0pt;position:absolute;visibility:visible;z-index:251658240" filled="f" stroked="t">
            <v:path arrowok="t"/>
            <o:lock v:ext="edit" aspectratio="f" shapetype="t"/>
          </v:shape>
        </w:pict>
      </w:r>
    </w:p>
    <w:p w:rsidR="00755E04" w:rsidRPr="00755E04" w:rsidP="00755E0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Poslanci za stranu Kotleba – Ľudová strana Naše Slovensko Marian Kotleba,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Rastislav Schlosár</w:t>
      </w:r>
      <w:r w:rsidR="00854118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, </w:t>
      </w:r>
      <w:r w:rsidRPr="00854118" w:rsidR="00854118">
        <w:rPr>
          <w:rFonts w:ascii="Book Antiqua" w:hAnsi="Book Antiqua" w:cs="Book Antiqua"/>
          <w:kern w:val="0"/>
          <w:sz w:val="22"/>
          <w:szCs w:val="22"/>
          <w:lang w:bidi="ar-SA"/>
        </w:rPr>
        <w:t>Milan Uhrík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a Martin Beluský predkladajú do Národnej rady Slovenskej republiky návrh zákona, ktorým sa mení a dopĺňa zákon č. 343/2015 Z. z. o verejnom obstarávaní a o zmene a doplnení niektorých zákonov v znení neskorších predpisov. </w:t>
      </w:r>
    </w:p>
    <w:p w:rsidR="00755E04" w:rsidRPr="00755E04" w:rsidP="00755E0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Cieľom novely zákona je podporiť výrobu a spotrebu do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mácich produktov. V súčasnosti 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sa zákon o verejnom obstarávaní drží striktne podmienky nediskriminácie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na základe oblasti alebo miesta pôvodu alebo výroby produktu. Túto podmienku však považujeme za kontraproduktívnu. Považujeme za legitímne, aby mali verejní obstarávatelia možnosť žiadať v súťaži dodanie výrobkov slovenského alebo regionálneho pôvodu. Umožnenie aplikácie takejto podmienky vo verejných obstarávaniach bude mať za následok zvýšenie spotreby a tým aj výroby slovenských výrobkov, čo sa v konečnom dôsledky prejaví pozitívne aj na zamestnanosti a celkovom výkone ekonomiky.</w:t>
      </w:r>
    </w:p>
    <w:p w:rsidR="00755E04" w:rsidRPr="00755E04" w:rsidP="00755E0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Slovensko zaznamenáva dlhodobo negatívne trendy najmä v oblasti výroby potravinárskych a poľnohospodárskych produktov. Najvýraznejšie poklesy boli zaznamenané v počtoch hospodárskych zvierat. Za posledných 40 rokov klesol celkový počet hovädzieho dobytku o viac ako 70 % a celkový počet ošípaných o takmer 80 %. Negatívne trendy sú aj vo vývoji celkového počtu oviec, moriek, kačíc, husí a ďalších zvierat. Tento negatívny vývoj je spôsobený najmä zvýšením dovozu výrobkov z týchto zvierat ako aj nekontrolovaným globálnym prostredím, ktoré ničí našich domácich producentov.</w:t>
      </w:r>
    </w:p>
    <w:p w:rsidR="00755E04" w:rsidRPr="00755E04" w:rsidP="00755E04">
      <w:pPr>
        <w:widowControl/>
        <w:autoSpaceDE/>
        <w:autoSpaceDN/>
        <w:bidi w:val="0"/>
        <w:spacing w:line="276" w:lineRule="auto"/>
        <w:jc w:val="center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>
        <w:rPr>
          <w:rFonts w:ascii="Calibri" w:hAnsi="Calibri"/>
          <w:noProof/>
          <w:kern w:val="0"/>
          <w:sz w:val="22"/>
          <w:szCs w:val="22"/>
          <w:rtl w:val="0"/>
          <w:lang w:eastAsia="sk-SK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2" o:spid="_x0000_i1026" type="#_x0000_t75" style="width:389.8pt;height:272.7pt;visibility:visible" filled="f" stroked="f">
            <v:imagedata r:id="rId4" o:title=""/>
            <o:lock v:ext="edit" aspectratio="f"/>
          </v:shape>
        </w:pict>
      </w:r>
    </w:p>
    <w:p w:rsidR="00755E04" w:rsidP="00755E04">
      <w:pPr>
        <w:widowControl/>
        <w:autoSpaceDE/>
        <w:autoSpaceDN/>
        <w:bidi w:val="0"/>
        <w:spacing w:line="276" w:lineRule="auto"/>
        <w:textAlignment w:val="auto"/>
        <w:rPr>
          <w:rFonts w:ascii="Calibri" w:hAnsi="Calibri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ab/>
        <w:t xml:space="preserve">    </w:t>
      </w:r>
      <w:r w:rsidRPr="00755E04">
        <w:rPr>
          <w:rFonts w:ascii="Book Antiqua" w:hAnsi="Book Antiqua" w:cs="Book Antiqua"/>
          <w:b/>
          <w:kern w:val="0"/>
          <w:sz w:val="22"/>
          <w:szCs w:val="22"/>
          <w:lang w:bidi="ar-SA"/>
        </w:rPr>
        <w:t>Zdroj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: spracované podľ</w:t>
      </w:r>
      <w:r w:rsidRPr="00755E04">
        <w:rPr>
          <w:rFonts w:ascii="Book Antiqua" w:hAnsi="Book Antiqua" w:cs="Book Antiqua"/>
          <w:color w:val="000000" w:themeColor="tx1" w:themeShade="FF"/>
          <w:kern w:val="0"/>
          <w:sz w:val="22"/>
          <w:szCs w:val="22"/>
          <w:lang w:bidi="ar-SA"/>
        </w:rPr>
        <w:t xml:space="preserve">a </w:t>
      </w:r>
      <w:hyperlink r:id="rId5" w:history="1">
        <w:r w:rsidRPr="00755E04">
          <w:rPr>
            <w:rFonts w:ascii="Book Antiqua" w:hAnsi="Book Antiqua" w:cs="Book Antiqua"/>
            <w:color w:val="000000" w:themeColor="tx1" w:themeShade="FF"/>
            <w:kern w:val="0"/>
            <w:sz w:val="22"/>
            <w:szCs w:val="22"/>
            <w:u w:val="single"/>
            <w:lang w:bidi="ar-SA"/>
          </w:rPr>
          <w:t>www.statistics.sk</w:t>
        </w:r>
      </w:hyperlink>
    </w:p>
    <w:p w:rsidR="00755E04" w:rsidRPr="00755E04" w:rsidP="00755E04">
      <w:pPr>
        <w:widowControl/>
        <w:autoSpaceDE/>
        <w:autoSpaceDN/>
        <w:bidi w:val="0"/>
        <w:spacing w:line="276" w:lineRule="auto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ab/>
        <w:t>Na Slovensku taktiež dlhodobo zaznamenávame pokles salda (rozdiel medzi vývozom a dovozom) základných potravín a tovarov. Od vstupu do Európskej únie v roku 2004 rastie dovoz oveľa výraznejším tempom ako tomu bolo pred vstupom do EÚ. Tento trend demonštruje nasledovný graf:</w:t>
      </w:r>
    </w:p>
    <w:p w:rsidR="00755E04" w:rsidRPr="00755E04" w:rsidP="00755E04">
      <w:pPr>
        <w:widowControl/>
        <w:autoSpaceDE/>
        <w:autoSpaceDN/>
        <w:bidi w:val="0"/>
        <w:spacing w:line="276" w:lineRule="auto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755E04" w:rsidRPr="00755E04" w:rsidP="00755E04">
      <w:pPr>
        <w:widowControl/>
        <w:autoSpaceDE/>
        <w:autoSpaceDN/>
        <w:bidi w:val="0"/>
        <w:spacing w:line="276" w:lineRule="auto"/>
        <w:jc w:val="center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>
        <w:rPr>
          <w:rFonts w:ascii="Calibri" w:hAnsi="Calibri"/>
          <w:noProof/>
          <w:kern w:val="0"/>
          <w:sz w:val="22"/>
          <w:szCs w:val="22"/>
          <w:rtl w:val="0"/>
          <w:lang w:eastAsia="sk-SK" w:bidi="ar-SA"/>
        </w:rPr>
        <w:pict>
          <v:shape id="Graf 1" o:spid="_x0000_i1027" type="#_x0000_t75" style="width:437.8pt;height:471.9pt;visibility:visible" filled="f" stroked="f">
            <v:imagedata r:id="rId6" o:title=""/>
            <o:lock v:ext="edit" aspectratio="f"/>
          </v:shape>
        </w:pict>
      </w:r>
    </w:p>
    <w:p w:rsidR="00755E04" w:rsidRPr="00755E04" w:rsidP="00755E04">
      <w:pPr>
        <w:widowControl/>
        <w:autoSpaceDE/>
        <w:autoSpaceDN/>
        <w:bidi w:val="0"/>
        <w:spacing w:after="200" w:line="276" w:lineRule="auto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ab/>
      </w:r>
      <w:r w:rsidRPr="00755E04">
        <w:rPr>
          <w:rFonts w:ascii="Book Antiqua" w:hAnsi="Book Antiqua" w:cs="Book Antiqua"/>
          <w:b/>
          <w:kern w:val="0"/>
          <w:sz w:val="22"/>
          <w:szCs w:val="22"/>
          <w:lang w:bidi="ar-SA"/>
        </w:rPr>
        <w:t>Zdroj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: spracované podľa</w:t>
      </w:r>
      <w:r w:rsidRPr="00755E04">
        <w:rPr>
          <w:rFonts w:ascii="Book Antiqua" w:hAnsi="Book Antiqua" w:cs="Book Antiqua"/>
          <w:color w:val="000000" w:themeColor="tx1" w:themeShade="FF"/>
          <w:kern w:val="0"/>
          <w:sz w:val="22"/>
          <w:szCs w:val="22"/>
          <w:lang w:bidi="ar-SA"/>
        </w:rPr>
        <w:t xml:space="preserve"> </w:t>
      </w:r>
      <w:hyperlink r:id="rId5" w:history="1">
        <w:r w:rsidRPr="00755E04">
          <w:rPr>
            <w:rFonts w:ascii="Book Antiqua" w:hAnsi="Book Antiqua" w:cs="Book Antiqua"/>
            <w:color w:val="000000" w:themeColor="tx1" w:themeShade="FF"/>
            <w:kern w:val="0"/>
            <w:sz w:val="22"/>
            <w:szCs w:val="22"/>
            <w:u w:val="single"/>
            <w:lang w:bidi="ar-SA"/>
          </w:rPr>
          <w:t>www.statistics.sk</w:t>
        </w:r>
      </w:hyperlink>
    </w:p>
    <w:p w:rsidR="00755E04" w:rsidRPr="00755E04" w:rsidP="00755E0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Slovenské potraviny sa strácajú v záplave zahraničnej konkurencie. Potvrdzuje to pasívne saldo, ktoré sa prepadá čoraz viac do mínusu. Ročne teda dovezieme oveľa viac potravín ako ich dokážeme vyviezť. Základné potraviny a výrobky, ktoré sme v minulosti viac vyvážali ako dovážali (napr.: živé zvieratá, mlieko, vajcia, med, jedlé výrobky živočíšneho pôvodu, zelenina, semená, plody, slama) dnes dovážame v neporovnateľne väčších objemoch. Občania SR jedia často ovocie a zeleninu dovážanú z tisíc kilometrov vzdialených lokalít. Zahraničné mäso a výrobky živočíšneho pôvodu majú zase často pochybný pôvod a kvalitu. Tento negatívny vývoj je výsledkom systematickej ignorácie domácich výrobcov a producentov, ktorým sa zo strany štátu nedostáva ani zďaleka takej podpory, akej sa dostáva zahraničným investorom a firmám.</w:t>
      </w:r>
    </w:p>
    <w:p w:rsidR="00755E04" w:rsidRPr="00755E04" w:rsidP="00755E0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Práve v tomto období, </w:t>
      </w:r>
      <w:r w:rsidRPr="00755E04">
        <w:rPr>
          <w:rFonts w:ascii="Book Antiqua" w:hAnsi="Book Antiqua" w:cs="Book Antiqua"/>
          <w:color w:val="000000"/>
          <w:kern w:val="0"/>
          <w:sz w:val="22"/>
          <w:szCs w:val="22"/>
          <w:lang w:bidi="ar-SA"/>
        </w:rPr>
        <w:t>kedy vývoz do zahraničia výrazne klesá</w:t>
      </w:r>
      <w:r w:rsidRPr="00755E04">
        <w:rPr>
          <w:rFonts w:ascii="Book Antiqua" w:hAnsi="Book Antiqua" w:cs="Book Antiqua"/>
          <w:color w:val="FF0000"/>
          <w:kern w:val="0"/>
          <w:sz w:val="22"/>
          <w:szCs w:val="22"/>
          <w:lang w:bidi="ar-SA"/>
        </w:rPr>
        <w:t xml:space="preserve"> 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by mal štát hľadať možnosti ako podporiť domácich výrobcov aspoň na lokálnom trhu. Slovenská republika má plné právo a zároveň povinnosť podporovať prioritne domácich producentov, </w:t>
      </w:r>
      <w:r w:rsidR="00403429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nie vychádzať, často úplne nekriticky, v ústrety zahraničným výrobcom alebo dovozcom. Slovenské vlády by sa nemali pýšiť tým, koľkých zahraničných investorov na Slovensko dotiahli. Mali by sa pýšiť v prvom rade tým, že vytvorili priaznivé ekonomické prostredie pre rast a následnú medzinárodnú expanziu slovenských firiem. A práve to si kladie za cieľ aj táto novela zákona.</w:t>
      </w:r>
    </w:p>
    <w:p w:rsidR="00755E04" w:rsidRPr="00755E04" w:rsidP="00755E0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V nami navrhovanej novele zákona aplikácia podmienky slovenského pôvodu nie je povinná. Verejný obstarávateľ má v prípade potreby možnosť túto podmienku neuplatniť a umožniť tak účasť aj zahraničným spoločnostiam, najmä ak nejde o bežne dostupné tovary a služby alebo ak by uplatnenie podmienky slovenského pôvodu viedlo k markantnému obmedzeniu konkurenčného prostredia a malo výrazne negatívny vplyv na rast predpokladanej hodnoty zákazky. V prípade, ak nebude dopredu jasný dopad aplikácie podmienky slovenského pôvodu na výslednú cenu zákazky, tak verejný obstarávateľ má vždy možnosť urobiť najskôr predbežný prieskum trhu medzi domácimi a zahraničnými výrobcami.</w:t>
      </w:r>
    </w:p>
    <w:p w:rsidR="00755E04" w:rsidRPr="00755E04" w:rsidP="00755E0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Pozitívny dopad uplatnenia podmienky slovenského pôvodu očakávame najmä </w:t>
        <w:br/>
        <w:t xml:space="preserve">pri dodávke potravín a potravinárskych výrobkov. Ak tieto súťaže budú vyhrávať prioritne domáce regionálne firmy, povedie to aspoň čiastočne k postupnému obnoveniu potravinovej a poľnohospodárskej výroby na Slovensku. </w:t>
      </w:r>
    </w:p>
    <w:p w:rsidR="00755E04" w:rsidRPr="00755E04" w:rsidP="00755E0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Ďalšou možnosťou pre aplikáciu tejto podmienky je oblasť stavebných prác. Existuje veľké množstvo zákaziek, napríklad výstavba verejnoprospešných diel, ktoré by mohli zrealizovať domáci a regionálni remeselníci a malovýrobcovia, ale kvôli silnému medzinárodnému konkurenčnému prostrediu sa často do takýchto súťaží ani neprihlásia a nakoniec sa z nich často stanú len subkontraktori pre nadnárodné spoločnosti. </w:t>
      </w:r>
    </w:p>
    <w:p w:rsidR="00755E04" w:rsidRPr="00755E04" w:rsidP="00755E0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Povolenie podmienky a požiadavky na slovenský pôvod pri vybraných výrobkoch a službách bude mať pozitívny vplyv na zamestnanosť a hospodársky rast slovenského hospodárstva. Spustí sa tým multiplikačný efekt, ktorý umožní slovenským firmám expandovať, zvyšovať tržby, ale aj mzdy pre zamestnancov.</w:t>
      </w:r>
    </w:p>
    <w:p w:rsidR="00755E04" w:rsidRPr="00755E04" w:rsidP="00755E0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Návrh zákona bude mať tiež pozitívny vplyv na rozpočet verejnej správy a podnikateľské prostredie na Slovensku. Rovnako bude mať pozitívne sociálne vplyvy, vplyvy na hospodárenie obyvateľstva a zamestnanosť.</w:t>
      </w:r>
    </w:p>
    <w:p w:rsidR="00755E04" w:rsidP="00755E0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F7206F" w:rsidRPr="00755E04" w:rsidP="00755E0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9F6924" w:rsidRPr="009F6924" w:rsidP="009F6924">
      <w:pPr>
        <w:widowControl/>
        <w:numPr>
          <w:numId w:val="1"/>
        </w:numPr>
        <w:autoSpaceDE/>
        <w:autoSpaceDN/>
        <w:bidi w:val="0"/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Osobitná časť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Times New Roman" w:hAnsi="Times New Roman"/>
          <w:noProof/>
          <w:lang w:eastAsia="sk-SK" w:bidi="ar-SA"/>
        </w:rPr>
        <w:pict>
          <v:shape id="Rovná spojovacia šípka 1" o:spid="_x0000_s1028" type="#_x0000_t32" style="width:455pt;height:0;margin-top:2.75pt;margin-left:-0.35pt;mso-wrap-distance-bottom:0pt;mso-wrap-distance-top:0pt;position:absolute;visibility:visible;z-index:251659264" filled="f" stroked="t">
            <v:path arrowok="t"/>
            <o:lock v:ext="edit" aspectratio="f" shapetype="t"/>
          </v:shape>
        </w:pic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</w:p>
    <w:p w:rsidR="00AC1E33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Do verejného obstarávania sa zavádza nový základný pojem: „slovenský vý</w:t>
      </w:r>
      <w:r w:rsidR="0001147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robok“, ktorý pri potravinách a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poľnohospodárskych produktoch odkazuje na definície, </w:t>
        <w:br/>
        <w:t xml:space="preserve">ktoré sú uvedené vo </w:t>
      </w:r>
      <w:r w:rsidRP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vy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hláške</w:t>
      </w:r>
      <w:r w:rsidRP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Ministerstva pôdohospodárstva a rozvoja vidieka Slovenskej republiky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č. </w:t>
      </w:r>
      <w:r w:rsidRP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163/2014 Z. z. o podmienkach použ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ívania dobrovoľného označovania 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poľnohospodárskych produktov </w:t>
      </w:r>
      <w:r w:rsidRP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 potravín na účely informovania spotrebiteľa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</w:t>
        <w:br/>
        <w:t>Pri ostatných výrobkoch je definícia slovenského výrobku analogická s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definíci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ou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slovensk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ej potraviny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A6220D" w:rsidRPr="00A6220D" w:rsidP="00A6220D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A6220D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2</w:t>
      </w:r>
    </w:p>
    <w:p w:rsidR="00A6220D" w:rsidRPr="00A6220D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</w:r>
      <w:r w:rsidRPr="00A6220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Do verejného obstarávania sa zavádza nový základný pojem: „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konečný vlastník</w:t>
      </w:r>
      <w:r w:rsidRPr="00A6220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“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ktorým sa rozumie </w:t>
      </w:r>
      <w:r w:rsidRPr="00A6220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vlastník fyzická osoba alebo vlastník právnická osoba, ktorá nie je vlastnená žiadnou fyzickou alebo právnickou osobou</w:t>
      </w:r>
      <w:r w:rsidR="0001147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01147F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3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D2694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Princíp </w:t>
      </w:r>
      <w:r w:rsidRPr="00AC1E33"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nediskriminácie hospodárskych subjektov</w:t>
      </w:r>
      <w:r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nebude musieť v</w:t>
      </w:r>
      <w:r w:rsidRPr="00AC1E33"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erejný obstarávateľ a</w:t>
      </w:r>
      <w:r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</w:t>
      </w:r>
      <w:r w:rsidRPr="00AC1E33"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obstarávateľ</w:t>
      </w:r>
      <w:r w:rsidR="0001147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dodržať v </w:t>
      </w:r>
      <w:r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prípadoch ustanovených zákonom. Ide napríklad o uprednostnenie uchádzačov s pôvodom na území Slovenskej republiky.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01147F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4</w:t>
      </w:r>
    </w:p>
    <w:p w:rsidR="009F6924" w:rsidRPr="009F6924" w:rsidP="00AC1E33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Zavádza sa nová podmienka účasti – pôvod uchádzača alebo záujemcu na území Slovenskej republiky, ktorú verejný </w:t>
      </w:r>
      <w:r w:rsidRPr="00AC1E33"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obstarávateľ a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AC1E33"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obstarávateľ</w:t>
      </w:r>
      <w:r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môžu, ale nemusia vyžadovať. 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Táto podmienka je definovaná tak, že </w:t>
      </w:r>
      <w:r w:rsidRPr="00A3277D" w:rsid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uchádzač alebo záujemca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je</w:t>
      </w:r>
      <w:r w:rsidRPr="00A3277D" w:rsid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občanom Slovenskej republiky alebo právnickou osobou, ktorej konečnými vlastníkmi</w:t>
        <w:br/>
        <w:t xml:space="preserve">sú výlučne alebo prevažne občania Slovenskej republiky alebo právnické osoby so sídlom </w:t>
        <w:br/>
        <w:t>na území Slovenskej republiky.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01147F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5</w:t>
      </w:r>
    </w:p>
    <w:p w:rsidR="00D3056C" w:rsidP="00D3056C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Verejný obstarávateľ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bude </w:t>
      </w:r>
      <w:r w:rsidRPr="00AC1E33"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 oznámení o vyhlásení verejného obstarávania</w:t>
      </w:r>
      <w:r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 xml:space="preserve">uvádzať </w:t>
      </w:r>
      <w:r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aj podmienku </w:t>
      </w:r>
      <w:r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pôvodu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uchádzača alebo záujemcu</w:t>
      </w:r>
      <w:r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na území Slovenskej republiky,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ak ju uplatňuje.</w:t>
      </w:r>
    </w:p>
    <w:p w:rsidR="009F6924" w:rsidRPr="00D3056C" w:rsidP="00D3056C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6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Podmienky účasti, ktoré môže určiť obstarávateľ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sa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budú môcť</w:t>
      </w:r>
      <w:r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týkať aj </w:t>
      </w:r>
      <w:r w:rsidRPr="001E6479"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pôvodu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1E6479"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území Slovenskej republiky</w:t>
      </w:r>
      <w:r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D87946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7</w:t>
      </w:r>
    </w:p>
    <w:p w:rsidR="001E6479" w:rsidRPr="001E6479" w:rsidP="001E6479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Verejný obstarávateľ a obstarávateľ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budú môcť</w:t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 súťažných podkladoch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alebo v koncesnej dokumentácii vyžadovať, aby navrhovaný subdodávateľ spĺňal podmienky účasti týkajúce sa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aj </w:t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pôvodu na území Slovenskej republiky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9F6924" w:rsidRPr="009F6924" w:rsidP="001E6479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8</w:t>
      </w:r>
    </w:p>
    <w:p w:rsidR="001E6479" w:rsidP="001E6479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Verejný obstarávateľ a obstarávateľ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budú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vypr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acovávať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opis predmetu zákazky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 súťažných podkladoch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ak ide o obstaranie tovaru, aj tak, že uvedú či </w:t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požaduj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ú</w:t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</w:t>
      </w:r>
      <w:r w:rsidR="00EF25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aby bol tovar alebo jeho časť slovenským výrobkom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3C4853" w:rsidRPr="003C4853" w:rsidP="003C4853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3C4853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9</w:t>
      </w:r>
    </w:p>
    <w:p w:rsidR="003C4853" w:rsidRPr="003C4853" w:rsidP="003C4853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Verejný obstarávateľ a obstarávateľ budú vypracovávať opis predmetu zákazky v súťažných podkladoch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ak ide o </w:t>
      </w:r>
      <w:r w:rsidRP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obstaranie poľnohospodárskeho produktu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alebo potraviny, aj tak, že uvedú či požadujú, aby bol poľnohospodársky produkt </w:t>
        <w:br/>
        <w:t xml:space="preserve">alebo potravina alebo ich časť slovenským výrobkom vyrobeným v konkrétnom okrese </w:t>
        <w:br/>
        <w:t>alebo kraji Slovenskej republiky.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10</w:t>
      </w:r>
    </w:p>
    <w:p w:rsidR="009F6924" w:rsidRPr="009F6924" w:rsidP="00E10995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Technické požiadavky sa budú môcť odvolávať</w:t>
      </w:r>
      <w:r w:rsidR="00E1099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pri tovaroch</w:t>
      </w:r>
      <w:r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na 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Slovenskú republiku</w:t>
      </w:r>
      <w:r w:rsidR="00E1099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 pri poľnohospodárskych produktoch a potravinách na Slovenskú republiku, </w:t>
        <w:br/>
        <w:t xml:space="preserve">kraj 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alebo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okres v Slovenskej republike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ako na</w:t>
      </w:r>
      <w:r w:rsidR="00EF25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oblasť alebo miesto pôvodu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alebo výroby</w:t>
      </w:r>
      <w:r w:rsidR="00EF25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="00EF25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čo doteraz nebolo možné.</w:t>
      </w:r>
      <w:r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1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1</w:t>
      </w:r>
    </w:p>
    <w:p w:rsidR="009F6924" w:rsidRPr="009F6924" w:rsidP="00AA3D59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 rámci kritérií na vyhodnotenie ponúk na základe „najlepšieho pomeru ceny a kvality“ (§ 44 ods. 3 písm. a) bude možné ponuky hodnotiť aj na základe</w:t>
      </w:r>
      <w:r w:rsidR="00AA3D5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pôvodu </w:t>
      </w:r>
      <w:r w:rsidRPr="001E6479"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uchádzača alebo záujemc</w:t>
      </w:r>
      <w:r w:rsidR="00AA3D5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na území Slovenskej republiky, </w:t>
      </w:r>
      <w:r w:rsidRPr="001E6479"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ak ide o obstaranie tovaru 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 xml:space="preserve">aj </w:t>
      </w:r>
      <w:r w:rsidR="00AA3D5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základe skutočnosti</w:t>
      </w:r>
      <w:r w:rsidRPr="001E6479"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či ide o slovenský výrobok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 ak ide o obstaranie </w:t>
      </w:r>
      <w:r w:rsidRPr="00E84888"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poľnohospodárskeho produktu alebo potraviny 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aj na základe skutočnosti</w:t>
      </w:r>
      <w:r w:rsidRPr="00E84888"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či ide o slovenský výrobok vyrobený v konkrétnom okrese alebo kraji Slovenskej republiky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2</w:t>
      </w:r>
    </w:p>
    <w:p w:rsidR="003506A2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</w:r>
      <w:r w:rsidRPr="003506A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Verejný obstarávateľ alebo obstarávateľ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budú môcť vyhradiť právo účasti </w:t>
      </w:r>
      <w:r w:rsidR="00EF25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na verejnom obstarávaní pri podlimitných zákazkách </w:t>
      </w:r>
      <w:r w:rsidRPr="003506A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len pre uchádzačov alebo záujemcov s pôvodom na území Slovenskej republiky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013ABE" w:rsidRPr="00013ABE" w:rsidP="00013ABE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013ABE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3</w:t>
      </w:r>
    </w:p>
    <w:p w:rsidR="00013ABE" w:rsidRPr="003506A2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  <w:t xml:space="preserve">Vyššie uvedené zmeny sa budú aplikovať na verejné obstarávania začaté </w:t>
        <w:br/>
        <w:t>po 31. decembri 2017.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II</w:t>
      </w:r>
    </w:p>
    <w:p w:rsidR="009F6924" w:rsidRPr="00E84888" w:rsidP="00E84888">
      <w:pPr>
        <w:autoSpaceDN/>
        <w:bidi w:val="0"/>
        <w:ind w:firstLine="708"/>
        <w:jc w:val="both"/>
        <w:textAlignment w:val="auto"/>
        <w:rPr>
          <w:rFonts w:ascii="Book Antiqua" w:hAnsi="Book Antiqua" w:cs="Book Antiqua"/>
          <w:color w:val="000000"/>
          <w:kern w:val="1"/>
          <w:sz w:val="22"/>
          <w:szCs w:val="22"/>
        </w:rPr>
      </w:pPr>
      <w:r w:rsidRPr="009F6924">
        <w:rPr>
          <w:rFonts w:ascii="Book Antiqua" w:hAnsi="Book Antiqua" w:cs="Arial"/>
          <w:color w:val="000000"/>
          <w:kern w:val="1"/>
          <w:sz w:val="22"/>
          <w:szCs w:val="22"/>
        </w:rPr>
        <w:t xml:space="preserve">Navrhuje sa účinnosť zákona </w:t>
      </w:r>
      <w:r w:rsidR="00013ABE">
        <w:rPr>
          <w:rFonts w:ascii="Book Antiqua" w:hAnsi="Book Antiqua" w:cs="Arial"/>
          <w:color w:val="000000"/>
          <w:kern w:val="1"/>
          <w:sz w:val="22"/>
          <w:szCs w:val="22"/>
        </w:rPr>
        <w:t xml:space="preserve">dňa </w:t>
      </w:r>
      <w:r w:rsidR="00013ABE">
        <w:rPr>
          <w:rFonts w:ascii="Book Antiqua" w:hAnsi="Book Antiqua" w:cs="Liberation Serif"/>
          <w:color w:val="000000"/>
          <w:kern w:val="1"/>
          <w:sz w:val="22"/>
        </w:rPr>
        <w:t>1. janu</w:t>
      </w:r>
      <w:r w:rsidR="00E84888">
        <w:rPr>
          <w:rFonts w:ascii="Book Antiqua" w:hAnsi="Book Antiqua" w:cs="Liberation Serif"/>
          <w:color w:val="000000"/>
          <w:kern w:val="1"/>
          <w:sz w:val="22"/>
        </w:rPr>
        <w:t>ára 2018.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0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angal">
    <w:altName w:val="Courier New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Wingdings, Symbol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Symbol, 'Times New Roman'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A8D"/>
    <w:multiLevelType w:val="hybridMultilevel"/>
    <w:tmpl w:val="7F3809D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B653D"/>
    <w:rsid w:val="0001147F"/>
    <w:rsid w:val="00013ABE"/>
    <w:rsid w:val="000470E8"/>
    <w:rsid w:val="00075798"/>
    <w:rsid w:val="000E26FA"/>
    <w:rsid w:val="001C442D"/>
    <w:rsid w:val="001E6479"/>
    <w:rsid w:val="002163D3"/>
    <w:rsid w:val="00297050"/>
    <w:rsid w:val="002E3CB8"/>
    <w:rsid w:val="003506A2"/>
    <w:rsid w:val="003C4853"/>
    <w:rsid w:val="003F2C29"/>
    <w:rsid w:val="00401CEF"/>
    <w:rsid w:val="00403429"/>
    <w:rsid w:val="00445805"/>
    <w:rsid w:val="00470E08"/>
    <w:rsid w:val="004C7C57"/>
    <w:rsid w:val="004E1E66"/>
    <w:rsid w:val="005469A9"/>
    <w:rsid w:val="006329D9"/>
    <w:rsid w:val="006C15F7"/>
    <w:rsid w:val="007374A8"/>
    <w:rsid w:val="00755E04"/>
    <w:rsid w:val="00784B25"/>
    <w:rsid w:val="007B25B8"/>
    <w:rsid w:val="007E1102"/>
    <w:rsid w:val="00854118"/>
    <w:rsid w:val="00880065"/>
    <w:rsid w:val="008D50B9"/>
    <w:rsid w:val="009532D4"/>
    <w:rsid w:val="009C1FB6"/>
    <w:rsid w:val="009F6924"/>
    <w:rsid w:val="00A3277D"/>
    <w:rsid w:val="00A6220D"/>
    <w:rsid w:val="00AA3D59"/>
    <w:rsid w:val="00AC1E33"/>
    <w:rsid w:val="00AC4D1E"/>
    <w:rsid w:val="00AE6541"/>
    <w:rsid w:val="00B52ABA"/>
    <w:rsid w:val="00B553D2"/>
    <w:rsid w:val="00C07276"/>
    <w:rsid w:val="00C176E4"/>
    <w:rsid w:val="00C63173"/>
    <w:rsid w:val="00C63DA0"/>
    <w:rsid w:val="00CA3BF2"/>
    <w:rsid w:val="00CB653D"/>
    <w:rsid w:val="00CF1C12"/>
    <w:rsid w:val="00CF3A95"/>
    <w:rsid w:val="00D2694F"/>
    <w:rsid w:val="00D3056C"/>
    <w:rsid w:val="00D458E1"/>
    <w:rsid w:val="00D46245"/>
    <w:rsid w:val="00D87946"/>
    <w:rsid w:val="00DB39CF"/>
    <w:rsid w:val="00E10995"/>
    <w:rsid w:val="00E13DF0"/>
    <w:rsid w:val="00E81AD7"/>
    <w:rsid w:val="00E84888"/>
    <w:rsid w:val="00ED6347"/>
    <w:rsid w:val="00EE702A"/>
    <w:rsid w:val="00EE74AB"/>
    <w:rsid w:val="00EF2548"/>
    <w:rsid w:val="00F55A58"/>
    <w:rsid w:val="00F70A0C"/>
    <w:rsid w:val="00F7206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List 4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sk-SK" w:bidi="hi-IN"/>
    </w:rPr>
  </w:style>
  <w:style w:type="paragraph" w:styleId="Title">
    <w:name w:val="Title"/>
    <w:basedOn w:val="Standard"/>
    <w:next w:val="Textbody"/>
    <w:link w:val="NzovChar"/>
    <w:uiPriority w:val="99"/>
    <w:qFormat/>
    <w:pPr>
      <w:keepNext/>
      <w:spacing w:before="240" w:after="120"/>
      <w:jc w:val="left"/>
    </w:pPr>
    <w:rPr>
      <w:rFonts w:ascii="Arial" w:hAnsi="Arial" w:cs="Microsoft YaHei"/>
      <w:sz w:val="28"/>
      <w:lang w:eastAsia="zh-CN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rtl w:val="0"/>
      <w:cs w:val="0"/>
      <w:lang w:val="x-none" w:eastAsia="zh-CN" w:bidi="hi-IN"/>
    </w:rPr>
  </w:style>
  <w:style w:type="paragraph" w:customStyle="1" w:styleId="Textbody">
    <w:name w:val="Text body"/>
    <w:basedOn w:val="Standard"/>
    <w:uiPriority w:val="99"/>
    <w:pPr>
      <w:spacing w:after="120"/>
      <w:jc w:val="left"/>
    </w:pPr>
    <w:rPr>
      <w:lang w:eastAsia="zh-CN"/>
    </w:rPr>
  </w:style>
  <w:style w:type="paragraph" w:styleId="List">
    <w:name w:val="List"/>
    <w:basedOn w:val="Textbody"/>
    <w:uiPriority w:val="99"/>
    <w:pPr>
      <w:jc w:val="left"/>
    </w:pPr>
  </w:style>
  <w:style w:type="paragraph" w:styleId="Caption">
    <w:name w:val="caption"/>
    <w:basedOn w:val="Standard"/>
    <w:uiPriority w:val="99"/>
    <w:qFormat/>
    <w:pPr>
      <w:spacing w:before="120" w:after="120"/>
      <w:jc w:val="left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pPr>
      <w:jc w:val="left"/>
    </w:pPr>
    <w:rPr>
      <w:lang w:eastAsia="zh-C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ascii="Times New Roman" w:hAnsi="Times New Roman" w:cs="Times New Roman"/>
    </w:rPr>
  </w:style>
  <w:style w:type="character" w:customStyle="1" w:styleId="RTFNum52">
    <w:name w:val="RTF_Num 5 2"/>
    <w:uiPriority w:val="99"/>
    <w:rPr>
      <w:rFonts w:ascii="Courier New" w:hAnsi="Courier New" w:cs="Courier New"/>
    </w:rPr>
  </w:style>
  <w:style w:type="character" w:customStyle="1" w:styleId="RTFNum53">
    <w:name w:val="RTF_Num 5 3"/>
    <w:uiPriority w:val="99"/>
    <w:rPr>
      <w:rFonts w:ascii="Wingdings, Symbol" w:hAnsi="Wingdings, Symbol" w:cs="Wingdings, Symbol"/>
    </w:rPr>
  </w:style>
  <w:style w:type="character" w:customStyle="1" w:styleId="RTFNum54">
    <w:name w:val="RTF_Num 5 4"/>
    <w:uiPriority w:val="99"/>
    <w:rPr>
      <w:rFonts w:ascii="Symbol, 'Times New Roman'" w:hAnsi="Symbol, 'Times New Roman'" w:cs="Symbol, 'Times New Roman'"/>
    </w:rPr>
  </w:style>
  <w:style w:type="character" w:customStyle="1" w:styleId="RTFNum55">
    <w:name w:val="RTF_Num 5 5"/>
    <w:uiPriority w:val="99"/>
    <w:rPr>
      <w:rFonts w:ascii="Courier New" w:hAnsi="Courier New" w:cs="Courier New"/>
    </w:rPr>
  </w:style>
  <w:style w:type="character" w:customStyle="1" w:styleId="RTFNum56">
    <w:name w:val="RTF_Num 5 6"/>
    <w:uiPriority w:val="99"/>
    <w:rPr>
      <w:rFonts w:ascii="Wingdings, Symbol" w:hAnsi="Wingdings, Symbol" w:cs="Wingdings, Symbol"/>
    </w:rPr>
  </w:style>
  <w:style w:type="character" w:customStyle="1" w:styleId="RTFNum57">
    <w:name w:val="RTF_Num 5 7"/>
    <w:uiPriority w:val="99"/>
    <w:rPr>
      <w:rFonts w:ascii="Symbol, 'Times New Roman'" w:hAnsi="Symbol, 'Times New Roman'" w:cs="Symbol, 'Times New Roman'"/>
    </w:rPr>
  </w:style>
  <w:style w:type="character" w:customStyle="1" w:styleId="RTFNum58">
    <w:name w:val="RTF_Num 5 8"/>
    <w:uiPriority w:val="99"/>
    <w:rPr>
      <w:rFonts w:ascii="Courier New" w:hAnsi="Courier New" w:cs="Courier New"/>
    </w:rPr>
  </w:style>
  <w:style w:type="character" w:customStyle="1" w:styleId="RTFNum59">
    <w:name w:val="RTF_Num 5 9"/>
    <w:uiPriority w:val="99"/>
    <w:rPr>
      <w:rFonts w:ascii="Wingdings, Symbol" w:hAnsi="Wingdings, Symbol" w:cs="Wingdings, Symbol"/>
    </w:rPr>
  </w:style>
  <w:style w:type="paragraph" w:customStyle="1" w:styleId="Default">
    <w:name w:val="Default"/>
    <w:uiPriority w:val="99"/>
    <w:rsid w:val="009F6924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character" w:styleId="Hyperlink">
    <w:name w:val="Hyperlink"/>
    <w:basedOn w:val="DefaultParagraphFont"/>
    <w:uiPriority w:val="99"/>
    <w:locked/>
    <w:rsid w:val="001E6479"/>
    <w:rPr>
      <w:rFonts w:cs="Times New Roman"/>
      <w:color w:val="0000FF" w:themeColor="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locked/>
    <w:rsid w:val="00013ABE"/>
    <w:pPr>
      <w:jc w:val="left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13ABE"/>
    <w:rPr>
      <w:rFonts w:ascii="Segoe UI" w:hAnsi="Segoe UI" w:cs="Mangal"/>
      <w:kern w:val="3"/>
      <w:sz w:val="16"/>
      <w:szCs w:val="16"/>
      <w:rtl w:val="0"/>
      <w:cs w:val="0"/>
      <w:lang w:val="x-none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www.statistics.sk" TargetMode="External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188</TotalTime>
  <Pages>5</Pages>
  <Words>1347</Words>
  <Characters>7683</Characters>
  <Application>Microsoft Office Word</Application>
  <DocSecurity>0</DocSecurity>
  <Lines>0</Lines>
  <Paragraphs>0</Paragraphs>
  <ScaleCrop>false</ScaleCrop>
  <Company/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cibula</dc:creator>
  <cp:lastModifiedBy>rastislav.schlosar</cp:lastModifiedBy>
  <cp:revision>24</cp:revision>
  <cp:lastPrinted>2017-08-18T07:32:00Z</cp:lastPrinted>
  <dcterms:created xsi:type="dcterms:W3CDTF">2017-04-20T21:13:00Z</dcterms:created>
  <dcterms:modified xsi:type="dcterms:W3CDTF">2017-08-18T08:45:00Z</dcterms:modified>
</cp:coreProperties>
</file>