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B0847" w:rsidRPr="00FB3DF8" w:rsidP="000A62BA">
      <w:pPr>
        <w:pStyle w:val="NormalWeb"/>
        <w:bidi w:val="0"/>
        <w:spacing w:before="120" w:beforeAutospacing="0" w:after="0" w:afterAutospacing="0" w:line="276" w:lineRule="auto"/>
        <w:jc w:val="center"/>
        <w:rPr>
          <w:rFonts w:ascii="Book Antiqua" w:hAnsi="Book Antiqua"/>
          <w:sz w:val="22"/>
          <w:szCs w:val="22"/>
        </w:rPr>
      </w:pPr>
      <w:r w:rsidRPr="00FB3DF8">
        <w:rPr>
          <w:rFonts w:ascii="Book Antiqua" w:hAnsi="Book Antiqua"/>
          <w:b/>
          <w:bCs/>
          <w:caps/>
          <w:spacing w:val="30"/>
          <w:sz w:val="22"/>
          <w:szCs w:val="22"/>
        </w:rPr>
        <w:t>Dôvodová správa</w:t>
      </w:r>
    </w:p>
    <w:p w:rsidR="00EB0847" w:rsidRPr="00FB3DF8" w:rsidP="000A62BA">
      <w:pPr>
        <w:pStyle w:val="Heading1"/>
        <w:bidi w:val="0"/>
        <w:spacing w:before="120" w:line="276" w:lineRule="auto"/>
        <w:jc w:val="both"/>
        <w:rPr>
          <w:rFonts w:ascii="Book Antiqua" w:hAnsi="Book Antiqua"/>
          <w:sz w:val="22"/>
          <w:szCs w:val="22"/>
        </w:rPr>
      </w:pPr>
      <w:r w:rsidRPr="00FB3DF8">
        <w:rPr>
          <w:rFonts w:ascii="Book Antiqua" w:hAnsi="Book Antiqua"/>
          <w:sz w:val="22"/>
          <w:szCs w:val="22"/>
        </w:rPr>
        <w:t xml:space="preserve">A. Všeobecná </w:t>
      </w:r>
      <w:r w:rsidRPr="00FB3DF8">
        <w:rPr>
          <w:rFonts w:ascii="Book Antiqua" w:hAnsi="Book Antiqua"/>
          <w:sz w:val="22"/>
          <w:szCs w:val="22"/>
          <w:lang w:val="x-none" w:eastAsia="x-none"/>
        </w:rPr>
        <w:t>časť</w:t>
      </w:r>
    </w:p>
    <w:p w:rsidR="00EB0847" w:rsidRPr="00FB3DF8" w:rsidP="000A62BA">
      <w:pPr>
        <w:bidi w:val="0"/>
        <w:spacing w:before="120" w:line="276" w:lineRule="auto"/>
        <w:ind w:firstLine="708"/>
        <w:jc w:val="both"/>
        <w:rPr>
          <w:rFonts w:ascii="Book Antiqua" w:hAnsi="Book Antiqua"/>
          <w:sz w:val="22"/>
          <w:szCs w:val="22"/>
        </w:rPr>
      </w:pPr>
      <w:r w:rsidRPr="00FB3DF8">
        <w:rPr>
          <w:rFonts w:ascii="Book Antiqua" w:hAnsi="Book Antiqua"/>
          <w:sz w:val="22"/>
          <w:szCs w:val="22"/>
        </w:rPr>
        <w:t xml:space="preserve">Návrh zákona, ktorým sa </w:t>
      </w:r>
      <w:r w:rsidRPr="00FB3DF8" w:rsidR="007F4581">
        <w:rPr>
          <w:rFonts w:ascii="Book Antiqua" w:hAnsi="Book Antiqua"/>
          <w:sz w:val="22"/>
          <w:szCs w:val="22"/>
        </w:rPr>
        <w:t xml:space="preserve">mení a </w:t>
      </w:r>
      <w:r w:rsidRPr="00FB3DF8">
        <w:rPr>
          <w:rFonts w:ascii="Book Antiqua" w:hAnsi="Book Antiqua"/>
          <w:sz w:val="22"/>
          <w:szCs w:val="22"/>
        </w:rPr>
        <w:t xml:space="preserve">dopĺňa </w:t>
      </w:r>
      <w:r w:rsidRPr="00FB3DF8">
        <w:rPr>
          <w:rFonts w:ascii="Book Antiqua" w:hAnsi="Book Antiqua"/>
          <w:bCs/>
          <w:iCs/>
          <w:sz w:val="22"/>
          <w:szCs w:val="22"/>
          <w:lang w:eastAsia="cs-CZ"/>
        </w:rPr>
        <w:t>zákon č</w:t>
      </w:r>
      <w:r w:rsidRPr="00FB3DF8" w:rsidR="00040342">
        <w:rPr>
          <w:rFonts w:ascii="Book Antiqua" w:hAnsi="Book Antiqua"/>
          <w:bCs/>
          <w:iCs/>
          <w:sz w:val="22"/>
          <w:szCs w:val="22"/>
          <w:lang w:eastAsia="cs-CZ"/>
        </w:rPr>
        <w:t xml:space="preserve">. </w:t>
      </w:r>
      <w:r w:rsidRPr="00FB3DF8" w:rsidR="00542707">
        <w:rPr>
          <w:rFonts w:ascii="Book Antiqua" w:hAnsi="Book Antiqua"/>
          <w:bCs/>
          <w:iCs/>
          <w:sz w:val="22"/>
          <w:szCs w:val="22"/>
          <w:lang w:eastAsia="cs-CZ"/>
        </w:rPr>
        <w:t>571/2009</w:t>
      </w:r>
      <w:r w:rsidRPr="00FB3DF8">
        <w:rPr>
          <w:rFonts w:ascii="Book Antiqua" w:hAnsi="Book Antiqua"/>
          <w:bCs/>
          <w:iCs/>
          <w:sz w:val="22"/>
          <w:szCs w:val="22"/>
          <w:lang w:eastAsia="cs-CZ"/>
        </w:rPr>
        <w:t xml:space="preserve"> Z. z. </w:t>
      </w:r>
      <w:r w:rsidRPr="00FB3DF8" w:rsidR="00040342">
        <w:rPr>
          <w:rFonts w:ascii="Book Antiqua" w:hAnsi="Book Antiqua"/>
          <w:bCs/>
          <w:iCs/>
          <w:sz w:val="22"/>
          <w:szCs w:val="22"/>
          <w:lang w:eastAsia="cs-CZ"/>
        </w:rPr>
        <w:t>o</w:t>
      </w:r>
      <w:r w:rsidRPr="00FB3DF8" w:rsidR="00542707">
        <w:rPr>
          <w:rFonts w:ascii="Book Antiqua" w:hAnsi="Book Antiqua"/>
          <w:bCs/>
          <w:iCs/>
          <w:sz w:val="22"/>
          <w:szCs w:val="22"/>
          <w:lang w:eastAsia="cs-CZ"/>
        </w:rPr>
        <w:t> rodičovskom príspevku a o zmene a doplnení niektorých zákonov</w:t>
      </w:r>
      <w:r w:rsidRPr="00FB3DF8" w:rsidR="00206350">
        <w:rPr>
          <w:rFonts w:ascii="Book Antiqua" w:hAnsi="Book Antiqua"/>
          <w:sz w:val="22"/>
          <w:szCs w:val="22"/>
        </w:rPr>
        <w:t xml:space="preserve"> v znení neskorších predpisov </w:t>
      </w:r>
      <w:r w:rsidRPr="00FB3DF8">
        <w:rPr>
          <w:rFonts w:ascii="Book Antiqua" w:hAnsi="Book Antiqua"/>
          <w:sz w:val="22"/>
          <w:szCs w:val="22"/>
        </w:rPr>
        <w:t xml:space="preserve">(ďalej len „návrh zákona“) predkladá skupina </w:t>
      </w:r>
      <w:r w:rsidRPr="00FB3DF8">
        <w:rPr>
          <w:rFonts w:ascii="Book Antiqua" w:hAnsi="Book Antiqua" w:cs="Book Antiqua"/>
          <w:sz w:val="22"/>
          <w:szCs w:val="22"/>
        </w:rPr>
        <w:t>poslancov Národnej rady Slovenskej republiky za hnutie OBY</w:t>
      </w:r>
      <w:r w:rsidRPr="00FB3DF8">
        <w:rPr>
          <w:rFonts w:ascii="Book Antiqua" w:hAnsi="Book Antiqua"/>
          <w:sz w:val="22"/>
          <w:szCs w:val="22"/>
        </w:rPr>
        <w:t>Č</w:t>
      </w:r>
      <w:r w:rsidRPr="00FB3DF8">
        <w:rPr>
          <w:rFonts w:ascii="Book Antiqua" w:hAnsi="Book Antiqua" w:cs="Book Antiqua"/>
          <w:sz w:val="22"/>
          <w:szCs w:val="22"/>
        </w:rPr>
        <w:t xml:space="preserve">AJNÍ </w:t>
      </w:r>
      <w:r w:rsidRPr="00FB3DF8">
        <w:rPr>
          <w:rFonts w:ascii="Book Antiqua" w:hAnsi="Book Antiqua"/>
          <w:sz w:val="22"/>
          <w:szCs w:val="22"/>
        </w:rPr>
        <w:t>Ľ</w:t>
      </w:r>
      <w:r w:rsidRPr="00FB3DF8">
        <w:rPr>
          <w:rFonts w:ascii="Book Antiqua" w:hAnsi="Book Antiqua" w:cs="Book Antiqua"/>
          <w:sz w:val="22"/>
          <w:szCs w:val="22"/>
        </w:rPr>
        <w:t>UDIA a nezávislé osobnosti (O</w:t>
      </w:r>
      <w:r w:rsidRPr="00FB3DF8">
        <w:rPr>
          <w:rFonts w:ascii="Book Antiqua" w:hAnsi="Book Antiqua"/>
          <w:sz w:val="22"/>
          <w:szCs w:val="22"/>
        </w:rPr>
        <w:t>Ľ</w:t>
      </w:r>
      <w:r w:rsidR="00B67E06">
        <w:rPr>
          <w:rFonts w:ascii="Book Antiqua" w:hAnsi="Book Antiqua" w:cs="Book Antiqua"/>
          <w:sz w:val="22"/>
          <w:szCs w:val="22"/>
        </w:rPr>
        <w:t>ANO</w:t>
      </w:r>
      <w:r w:rsidRPr="00FB3DF8">
        <w:rPr>
          <w:rFonts w:ascii="Book Antiqua" w:hAnsi="Book Antiqua" w:cs="Book Antiqua"/>
          <w:sz w:val="22"/>
          <w:szCs w:val="22"/>
        </w:rPr>
        <w:t>)</w:t>
      </w:r>
      <w:r w:rsidRPr="00FB3DF8">
        <w:rPr>
          <w:rFonts w:ascii="Book Antiqua" w:hAnsi="Book Antiqua"/>
          <w:sz w:val="22"/>
          <w:szCs w:val="22"/>
        </w:rPr>
        <w:t>.</w:t>
      </w:r>
    </w:p>
    <w:p w:rsidR="00EF1260" w:rsidRPr="00FB3DF8" w:rsidP="00080DEE">
      <w:pPr>
        <w:bidi w:val="0"/>
        <w:spacing w:before="120" w:after="120" w:line="276" w:lineRule="auto"/>
        <w:ind w:firstLine="709"/>
        <w:jc w:val="both"/>
        <w:rPr>
          <w:rFonts w:ascii="Book Antiqua" w:hAnsi="Book Antiqua"/>
          <w:sz w:val="22"/>
          <w:szCs w:val="22"/>
        </w:rPr>
      </w:pPr>
      <w:r w:rsidRPr="00FB3DF8" w:rsidR="000A62BA">
        <w:rPr>
          <w:rFonts w:ascii="Book Antiqua" w:hAnsi="Book Antiqua"/>
          <w:b/>
          <w:sz w:val="22"/>
          <w:szCs w:val="22"/>
        </w:rPr>
        <w:t>N</w:t>
      </w:r>
      <w:r w:rsidRPr="00FB3DF8">
        <w:rPr>
          <w:rFonts w:ascii="Book Antiqua" w:hAnsi="Book Antiqua"/>
          <w:b/>
          <w:sz w:val="22"/>
          <w:szCs w:val="22"/>
        </w:rPr>
        <w:t>ávrh zákona je ďalším z legislatívnych návrhov prorodinnej politiky zameraný na odstraňovanie ekonomických bariér k</w:t>
      </w:r>
      <w:r w:rsidRPr="00FB3DF8" w:rsidR="000A62BA">
        <w:rPr>
          <w:rFonts w:ascii="Book Antiqua" w:hAnsi="Book Antiqua"/>
          <w:b/>
          <w:sz w:val="22"/>
          <w:szCs w:val="22"/>
        </w:rPr>
        <w:t xml:space="preserve"> </w:t>
      </w:r>
      <w:r w:rsidRPr="00FB3DF8">
        <w:rPr>
          <w:rFonts w:ascii="Book Antiqua" w:hAnsi="Book Antiqua"/>
          <w:b/>
          <w:sz w:val="22"/>
          <w:szCs w:val="22"/>
        </w:rPr>
        <w:t>rodičovstvu</w:t>
      </w:r>
      <w:r w:rsidRPr="00FB3DF8" w:rsidR="000A62BA">
        <w:rPr>
          <w:rFonts w:ascii="Book Antiqua" w:hAnsi="Book Antiqua"/>
          <w:b/>
          <w:sz w:val="22"/>
          <w:szCs w:val="22"/>
        </w:rPr>
        <w:t xml:space="preserve"> a </w:t>
      </w:r>
      <w:r w:rsidRPr="00FB3DF8">
        <w:rPr>
          <w:rFonts w:ascii="Book Antiqua" w:hAnsi="Book Antiqua"/>
          <w:b/>
          <w:sz w:val="22"/>
          <w:szCs w:val="22"/>
        </w:rPr>
        <w:t>ovplyvň</w:t>
      </w:r>
      <w:r w:rsidRPr="00FB3DF8" w:rsidR="000A62BA">
        <w:rPr>
          <w:rFonts w:ascii="Book Antiqua" w:hAnsi="Book Antiqua"/>
          <w:b/>
          <w:sz w:val="22"/>
          <w:szCs w:val="22"/>
        </w:rPr>
        <w:t>ovanie</w:t>
      </w:r>
      <w:r w:rsidRPr="00FB3DF8">
        <w:rPr>
          <w:rFonts w:ascii="Book Antiqua" w:hAnsi="Book Antiqua"/>
          <w:b/>
          <w:sz w:val="22"/>
          <w:szCs w:val="22"/>
        </w:rPr>
        <w:t xml:space="preserve"> reprodukčného správania obyvateľstva.</w:t>
      </w:r>
      <w:r w:rsidRPr="00FB3DF8">
        <w:rPr>
          <w:rFonts w:ascii="Book Antiqua" w:hAnsi="Book Antiqua"/>
          <w:sz w:val="22"/>
          <w:szCs w:val="22"/>
        </w:rPr>
        <w:t xml:space="preserve"> </w:t>
      </w:r>
      <w:r w:rsidRPr="00FB3DF8">
        <w:rPr>
          <w:rFonts w:ascii="Book Antiqua" w:hAnsi="Book Antiqua" w:cs="Calibri"/>
          <w:sz w:val="22"/>
          <w:szCs w:val="22"/>
        </w:rPr>
        <w:t>O</w:t>
      </w:r>
      <w:r w:rsidRPr="00FB3DF8" w:rsidR="00437D3C">
        <w:rPr>
          <w:rFonts w:ascii="Book Antiqua" w:hAnsi="Book Antiqua"/>
          <w:sz w:val="22"/>
          <w:szCs w:val="22"/>
        </w:rPr>
        <w:t>d roku 1990 sa postupne začala meniť demografia Slovenskej republiky, radikálne sa zmenila štruktúra rodín, pribudli kohabitačné formy rodinných vzťahov, zvýšil sa počet osôb bez trvalého partnera, pribudli bezdetné páry. Ekonomické výhody bezdetnosti potlačili prirodzenú túžbu mladých ľ</w:t>
      </w:r>
      <w:r w:rsidR="00D72DE3">
        <w:rPr>
          <w:rFonts w:ascii="Book Antiqua" w:hAnsi="Book Antiqua"/>
          <w:sz w:val="22"/>
          <w:szCs w:val="22"/>
        </w:rPr>
        <w:t xml:space="preserve">udí zanechať po sebe potomstvo. </w:t>
      </w:r>
      <w:r w:rsidRPr="00D72DE3" w:rsidR="00080DEE">
        <w:rPr>
          <w:rFonts w:ascii="Book Antiqua" w:hAnsi="Book Antiqua" w:cs="Arial"/>
          <w:bCs/>
          <w:color w:val="222222"/>
          <w:sz w:val="22"/>
          <w:szCs w:val="22"/>
          <w:shd w:val="clear" w:color="auto" w:fill="FFFFFF"/>
        </w:rPr>
        <w:t>Zmiernenie úbytku obyvateľstva musí patriť medzi strategické spoločenské ciele. Z prognóz vyplýva, že štát nemôže rezignovať, aj keď je riešenie demografickej krízy dlhodobý a zložitý proces.</w:t>
      </w:r>
    </w:p>
    <w:p w:rsidR="00A50BFD" w:rsidRPr="00FB3DF8" w:rsidP="00080DEE">
      <w:pPr>
        <w:bidi w:val="0"/>
        <w:spacing w:before="120" w:after="120" w:line="276" w:lineRule="auto"/>
        <w:ind w:firstLine="709"/>
        <w:jc w:val="both"/>
        <w:rPr>
          <w:rFonts w:ascii="Book Antiqua" w:hAnsi="Book Antiqua" w:cs="Calibri"/>
          <w:sz w:val="22"/>
          <w:szCs w:val="22"/>
        </w:rPr>
      </w:pPr>
      <w:r w:rsidRPr="00FB3DF8">
        <w:rPr>
          <w:rFonts w:ascii="Book Antiqua" w:hAnsi="Book Antiqua"/>
          <w:sz w:val="22"/>
          <w:szCs w:val="22"/>
        </w:rPr>
        <w:t>Pri riešení problému nízkej</w:t>
      </w:r>
      <w:r w:rsidRPr="00FB3DF8" w:rsidR="000A62BA">
        <w:rPr>
          <w:rFonts w:ascii="Book Antiqua" w:hAnsi="Book Antiqua"/>
          <w:sz w:val="22"/>
          <w:szCs w:val="22"/>
        </w:rPr>
        <w:t xml:space="preserve"> </w:t>
      </w:r>
      <w:r w:rsidR="00080DEE">
        <w:rPr>
          <w:rFonts w:ascii="Book Antiqua" w:hAnsi="Book Antiqua"/>
          <w:sz w:val="22"/>
          <w:szCs w:val="22"/>
        </w:rPr>
        <w:t>pôrodnosti</w:t>
      </w:r>
      <w:r w:rsidRPr="00FB3DF8" w:rsidR="000A62BA">
        <w:rPr>
          <w:rFonts w:ascii="Book Antiqua" w:hAnsi="Book Antiqua"/>
          <w:sz w:val="22"/>
          <w:szCs w:val="22"/>
        </w:rPr>
        <w:t xml:space="preserve"> sa vychádza zo skutočnosti</w:t>
      </w:r>
      <w:r w:rsidRPr="00FB3DF8">
        <w:rPr>
          <w:rFonts w:ascii="Book Antiqua" w:hAnsi="Book Antiqua"/>
          <w:sz w:val="22"/>
          <w:szCs w:val="22"/>
        </w:rPr>
        <w:t>, že reprodukčné správanie jednotlivcov má dosah na celú spolo</w:t>
      </w:r>
      <w:r w:rsidRPr="00FB3DF8" w:rsidR="00361525">
        <w:rPr>
          <w:rFonts w:ascii="Book Antiqua" w:hAnsi="Book Antiqua"/>
          <w:sz w:val="22"/>
          <w:szCs w:val="22"/>
        </w:rPr>
        <w:t>č</w:t>
      </w:r>
      <w:r w:rsidRPr="00FB3DF8">
        <w:rPr>
          <w:rFonts w:ascii="Book Antiqua" w:hAnsi="Book Antiqua"/>
          <w:sz w:val="22"/>
          <w:szCs w:val="22"/>
        </w:rPr>
        <w:t>nosť a preto je namieste, aby štát intervenoval do súkromia jednotlivcov a rodín v miere, v akej je reprodukčné sprá</w:t>
      </w:r>
      <w:r w:rsidRPr="00FB3DF8" w:rsidR="004B6701">
        <w:rPr>
          <w:rFonts w:ascii="Book Antiqua" w:hAnsi="Book Antiqua"/>
          <w:sz w:val="22"/>
          <w:szCs w:val="22"/>
        </w:rPr>
        <w:t>vanie</w:t>
      </w:r>
      <w:r w:rsidRPr="00FB3DF8">
        <w:rPr>
          <w:rFonts w:ascii="Book Antiqua" w:hAnsi="Book Antiqua"/>
          <w:sz w:val="22"/>
          <w:szCs w:val="22"/>
        </w:rPr>
        <w:t xml:space="preserve"> záujmom spoločenským. </w:t>
      </w:r>
      <w:r w:rsidRPr="00FB3DF8" w:rsidR="000A62BA">
        <w:rPr>
          <w:rFonts w:ascii="Book Antiqua" w:hAnsi="Book Antiqua"/>
          <w:sz w:val="22"/>
          <w:szCs w:val="22"/>
        </w:rPr>
        <w:t xml:space="preserve">Je zrejmé, že intervenčné rozhodnutia majú aj neprehliadnuteľný ekonomický rozmer, </w:t>
      </w:r>
      <w:r w:rsidRPr="00FB3DF8" w:rsidR="000A62BA">
        <w:rPr>
          <w:rFonts w:ascii="Book Antiqua" w:hAnsi="Book Antiqua"/>
          <w:b/>
          <w:sz w:val="22"/>
          <w:szCs w:val="22"/>
        </w:rPr>
        <w:t xml:space="preserve">základným </w:t>
      </w:r>
      <w:r w:rsidRPr="00FB3DF8" w:rsidR="00916919">
        <w:rPr>
          <w:rFonts w:ascii="Book Antiqua" w:hAnsi="Book Antiqua"/>
          <w:b/>
          <w:sz w:val="22"/>
          <w:szCs w:val="22"/>
        </w:rPr>
        <w:t xml:space="preserve">zámerom je </w:t>
      </w:r>
      <w:r w:rsidRPr="00FB3DF8" w:rsidR="000A62BA">
        <w:rPr>
          <w:rFonts w:ascii="Book Antiqua" w:hAnsi="Book Antiqua"/>
          <w:b/>
          <w:sz w:val="22"/>
          <w:szCs w:val="22"/>
        </w:rPr>
        <w:t xml:space="preserve">však </w:t>
      </w:r>
      <w:r w:rsidRPr="00FB3DF8" w:rsidR="00916919">
        <w:rPr>
          <w:rFonts w:ascii="Book Antiqua" w:hAnsi="Book Antiqua"/>
          <w:b/>
          <w:sz w:val="22"/>
          <w:szCs w:val="22"/>
        </w:rPr>
        <w:t xml:space="preserve">dosiahnuť, aby sa znížila výhodnosť bezdetnosti a aby príjem rodiny pracujúcich rodičov po narodení dieťaťa neklesal, naopak, aby v prvom roku života dieťaťa bol vyšší ako pred pôrodom. </w:t>
      </w:r>
    </w:p>
    <w:p w:rsidR="000A62BA" w:rsidRPr="00FB3DF8" w:rsidP="000A62BA">
      <w:pPr>
        <w:pStyle w:val="NormalWeb"/>
        <w:bidi w:val="0"/>
        <w:spacing w:before="120" w:beforeAutospacing="0" w:after="0" w:afterAutospacing="0" w:line="276" w:lineRule="auto"/>
        <w:ind w:firstLine="708"/>
        <w:jc w:val="both"/>
        <w:rPr>
          <w:rFonts w:ascii="Book Antiqua" w:hAnsi="Book Antiqua"/>
          <w:sz w:val="22"/>
          <w:szCs w:val="22"/>
        </w:rPr>
      </w:pPr>
      <w:r w:rsidRPr="00FB3DF8">
        <w:rPr>
          <w:rFonts w:ascii="Book Antiqua" w:hAnsi="Book Antiqua"/>
          <w:sz w:val="22"/>
          <w:szCs w:val="22"/>
          <w:lang w:eastAsia="en-US"/>
        </w:rPr>
        <w:t xml:space="preserve">V zmysle </w:t>
      </w:r>
      <w:r w:rsidRPr="00FB3DF8" w:rsidR="00B200AF">
        <w:rPr>
          <w:rFonts w:ascii="Book Antiqua" w:hAnsi="Book Antiqua"/>
          <w:sz w:val="22"/>
          <w:szCs w:val="22"/>
          <w:lang w:eastAsia="en-US"/>
        </w:rPr>
        <w:t xml:space="preserve">platného právneho stavu </w:t>
      </w:r>
      <w:r w:rsidRPr="00FB3DF8">
        <w:rPr>
          <w:rFonts w:ascii="Book Antiqua" w:hAnsi="Book Antiqua"/>
          <w:sz w:val="22"/>
          <w:szCs w:val="22"/>
          <w:lang w:eastAsia="en-US"/>
        </w:rPr>
        <w:t xml:space="preserve">nadväzuje </w:t>
      </w:r>
      <w:r w:rsidRPr="00FB3DF8" w:rsidR="00B200AF">
        <w:rPr>
          <w:rFonts w:ascii="Book Antiqua" w:hAnsi="Book Antiqua"/>
          <w:sz w:val="22"/>
          <w:szCs w:val="22"/>
          <w:lang w:eastAsia="en-US"/>
        </w:rPr>
        <w:t>poskytovanie rodičovského príspevku  opráv</w:t>
      </w:r>
      <w:r w:rsidRPr="00FB3DF8">
        <w:rPr>
          <w:rFonts w:ascii="Book Antiqua" w:hAnsi="Book Antiqua"/>
          <w:sz w:val="22"/>
          <w:szCs w:val="22"/>
          <w:lang w:eastAsia="en-US"/>
        </w:rPr>
        <w:t xml:space="preserve">nenej osobe spravidla </w:t>
      </w:r>
      <w:r w:rsidRPr="00FB3DF8" w:rsidR="00B200AF">
        <w:rPr>
          <w:rFonts w:ascii="Book Antiqua" w:hAnsi="Book Antiqua"/>
          <w:sz w:val="22"/>
          <w:szCs w:val="22"/>
          <w:lang w:eastAsia="en-US"/>
        </w:rPr>
        <w:t xml:space="preserve">na skončenie poskytovania materského, ale môže sa poskytnúť aj súbežne popri materskom v prípade, ak suma rodičovského príspevku je vyššia ako suma materského. </w:t>
      </w:r>
      <w:r w:rsidRPr="00FB3DF8" w:rsidR="00247D4C">
        <w:rPr>
          <w:rFonts w:ascii="Book Antiqua" w:hAnsi="Book Antiqua"/>
          <w:sz w:val="22"/>
          <w:szCs w:val="22"/>
        </w:rPr>
        <w:t>Napríklad ak poistenkyňa má nárok na materské v sume 150 eur, bude jej podľa platného právneho stavu patriť rodičovský príspevok 63,20 eur, čiže celkovo ju štát podporí 213,20 eur. Jej príjem počas materskej dovolenky je rovnaký ako príjem nepoistenej ženy (tá síce nemá nárok na materské, ale má nárok na plný rodičovský príspevok vo výške 213,20 eur) a vynára sa otázka, na čo sa poistila, keď sa poistné plnenie devalvuje neposkytovaním rodičovského príspevku. Je paradoxom, že osoby, ktoré sú zárobkovo činné a daňami prispievajú na štátnu rodinnú politiku, sú z benefitov tejto politiky čiastočne vylúč</w:t>
      </w:r>
      <w:r w:rsidRPr="00FB3DF8">
        <w:rPr>
          <w:rFonts w:ascii="Book Antiqua" w:hAnsi="Book Antiqua"/>
          <w:sz w:val="22"/>
          <w:szCs w:val="22"/>
        </w:rPr>
        <w:t xml:space="preserve">ené. </w:t>
      </w:r>
    </w:p>
    <w:p w:rsidR="008640D4" w:rsidRPr="00FB3DF8" w:rsidP="000A62BA">
      <w:pPr>
        <w:pStyle w:val="NormalWeb"/>
        <w:bidi w:val="0"/>
        <w:spacing w:before="120" w:beforeAutospacing="0" w:after="0" w:afterAutospacing="0" w:line="276" w:lineRule="auto"/>
        <w:ind w:firstLine="708"/>
        <w:jc w:val="both"/>
        <w:rPr>
          <w:rFonts w:ascii="Book Antiqua" w:hAnsi="Book Antiqua"/>
          <w:sz w:val="22"/>
          <w:szCs w:val="22"/>
        </w:rPr>
      </w:pPr>
      <w:r w:rsidRPr="00FB3DF8" w:rsidR="00095C1B">
        <w:rPr>
          <w:rFonts w:ascii="Book Antiqua" w:hAnsi="Book Antiqua"/>
          <w:b/>
          <w:sz w:val="22"/>
          <w:szCs w:val="22"/>
        </w:rPr>
        <w:t xml:space="preserve">Cieľom návrhu zákona je </w:t>
      </w:r>
      <w:r w:rsidRPr="00FB3DF8" w:rsidR="000A62BA">
        <w:rPr>
          <w:rFonts w:ascii="Book Antiqua" w:hAnsi="Book Antiqua"/>
          <w:b/>
          <w:sz w:val="22"/>
          <w:szCs w:val="22"/>
        </w:rPr>
        <w:t xml:space="preserve">preto </w:t>
      </w:r>
      <w:r w:rsidRPr="00FB3DF8" w:rsidR="00B200AF">
        <w:rPr>
          <w:rFonts w:ascii="Book Antiqua" w:hAnsi="Book Antiqua"/>
          <w:b/>
          <w:sz w:val="22"/>
          <w:szCs w:val="22"/>
        </w:rPr>
        <w:t>ustanoviť</w:t>
      </w:r>
      <w:r w:rsidRPr="00FB3DF8" w:rsidR="00095C1B">
        <w:rPr>
          <w:rFonts w:ascii="Book Antiqua" w:hAnsi="Book Antiqua"/>
          <w:b/>
          <w:sz w:val="22"/>
          <w:szCs w:val="22"/>
        </w:rPr>
        <w:t xml:space="preserve"> </w:t>
      </w:r>
      <w:r w:rsidRPr="00FB3DF8" w:rsidR="000A62BA">
        <w:rPr>
          <w:rFonts w:ascii="Book Antiqua" w:hAnsi="Book Antiqua"/>
          <w:b/>
          <w:sz w:val="22"/>
          <w:szCs w:val="22"/>
        </w:rPr>
        <w:t xml:space="preserve">súbežné </w:t>
      </w:r>
      <w:r w:rsidRPr="00FB3DF8" w:rsidR="00095C1B">
        <w:rPr>
          <w:rFonts w:ascii="Book Antiqua" w:hAnsi="Book Antiqua"/>
          <w:b/>
          <w:sz w:val="22"/>
          <w:szCs w:val="22"/>
        </w:rPr>
        <w:t>poskytovania rodičovského príspevku počas</w:t>
      </w:r>
      <w:r w:rsidRPr="00FB3DF8" w:rsidR="000A62BA">
        <w:rPr>
          <w:rFonts w:ascii="Book Antiqua" w:hAnsi="Book Antiqua"/>
          <w:b/>
          <w:sz w:val="22"/>
          <w:szCs w:val="22"/>
        </w:rPr>
        <w:t xml:space="preserve"> obdobia výplaty</w:t>
      </w:r>
      <w:r w:rsidRPr="00FB3DF8" w:rsidR="00F670C5">
        <w:rPr>
          <w:rFonts w:ascii="Book Antiqua" w:hAnsi="Book Antiqua"/>
          <w:b/>
          <w:sz w:val="22"/>
          <w:szCs w:val="22"/>
        </w:rPr>
        <w:t xml:space="preserve"> materského</w:t>
      </w:r>
      <w:r w:rsidRPr="00FB3DF8" w:rsidR="00247D4C">
        <w:rPr>
          <w:rFonts w:ascii="Book Antiqua" w:hAnsi="Book Antiqua"/>
          <w:b/>
          <w:sz w:val="22"/>
          <w:szCs w:val="22"/>
        </w:rPr>
        <w:t>; p</w:t>
      </w:r>
      <w:r w:rsidRPr="00FB3DF8" w:rsidR="00F670C5">
        <w:rPr>
          <w:rFonts w:ascii="Book Antiqua" w:hAnsi="Book Antiqua"/>
          <w:b/>
          <w:sz w:val="22"/>
          <w:szCs w:val="22"/>
        </w:rPr>
        <w:t>redpokladá sa štvorročné</w:t>
      </w:r>
      <w:r w:rsidRPr="00FB3DF8" w:rsidR="00095C1B">
        <w:rPr>
          <w:rFonts w:ascii="Book Antiqua" w:hAnsi="Book Antiqua"/>
          <w:b/>
          <w:sz w:val="22"/>
          <w:szCs w:val="22"/>
        </w:rPr>
        <w:t xml:space="preserve"> prechodové obdobie, počas ktorého sa upravia priority štátnej rodinnej politiky tak, aby v roku 2022 mala po pôrode každá žena s nárokom na materské paralelne nárok na 100% rodičovského príspevku na to isté dieťa. </w:t>
      </w:r>
    </w:p>
    <w:p w:rsidR="000A62BA" w:rsidRPr="00FB3DF8" w:rsidP="000A62BA">
      <w:pPr>
        <w:pStyle w:val="NormalWeb"/>
        <w:bidi w:val="0"/>
        <w:spacing w:before="120" w:beforeAutospacing="0" w:after="0" w:afterAutospacing="0" w:line="276" w:lineRule="auto"/>
        <w:ind w:firstLine="708"/>
        <w:jc w:val="both"/>
        <w:rPr>
          <w:rFonts w:ascii="Book Antiqua" w:hAnsi="Book Antiqua"/>
          <w:sz w:val="22"/>
          <w:szCs w:val="22"/>
        </w:rPr>
      </w:pPr>
      <w:r w:rsidRPr="00FB3DF8" w:rsidR="00634C4C">
        <w:rPr>
          <w:rFonts w:ascii="Book Antiqua" w:hAnsi="Book Antiqua"/>
          <w:sz w:val="22"/>
          <w:szCs w:val="22"/>
        </w:rPr>
        <w:t xml:space="preserve">Návrh </w:t>
      </w:r>
      <w:r w:rsidRPr="00FB3DF8" w:rsidR="00501B26">
        <w:rPr>
          <w:rFonts w:ascii="Book Antiqua" w:hAnsi="Book Antiqua"/>
          <w:sz w:val="22"/>
          <w:szCs w:val="22"/>
        </w:rPr>
        <w:t xml:space="preserve">zákona </w:t>
      </w:r>
      <w:r w:rsidRPr="00FB3DF8" w:rsidR="00EB0847">
        <w:rPr>
          <w:rFonts w:ascii="Book Antiqua" w:hAnsi="Book Antiqua"/>
          <w:sz w:val="22"/>
          <w:szCs w:val="22"/>
        </w:rPr>
        <w:t xml:space="preserve">má </w:t>
      </w:r>
      <w:r w:rsidRPr="00FB3DF8" w:rsidR="00311E24">
        <w:rPr>
          <w:rFonts w:ascii="Book Antiqua" w:hAnsi="Book Antiqua"/>
          <w:sz w:val="22"/>
          <w:szCs w:val="22"/>
        </w:rPr>
        <w:t xml:space="preserve">negatívny </w:t>
      </w:r>
      <w:r w:rsidRPr="00FB3DF8" w:rsidR="00EB0847">
        <w:rPr>
          <w:rFonts w:ascii="Book Antiqua" w:hAnsi="Book Antiqua"/>
          <w:sz w:val="22"/>
          <w:szCs w:val="22"/>
        </w:rPr>
        <w:t xml:space="preserve">vplyv na rozpočet verejnej správy, </w:t>
      </w:r>
      <w:r w:rsidRPr="00FB3DF8" w:rsidR="0051021D">
        <w:rPr>
          <w:rFonts w:ascii="Book Antiqua" w:hAnsi="Book Antiqua"/>
          <w:sz w:val="22"/>
          <w:szCs w:val="22"/>
        </w:rPr>
        <w:t>ale vyvoláva pozitívne sociálne vplyvy. Návrh zákona</w:t>
      </w:r>
      <w:r w:rsidRPr="00FB3DF8" w:rsidR="00634C4C">
        <w:rPr>
          <w:rFonts w:ascii="Book Antiqua" w:hAnsi="Book Antiqua"/>
          <w:sz w:val="22"/>
          <w:szCs w:val="22"/>
        </w:rPr>
        <w:t xml:space="preserve"> nemá</w:t>
      </w:r>
      <w:r w:rsidRPr="00FB3DF8" w:rsidR="00EB0847">
        <w:rPr>
          <w:rFonts w:ascii="Book Antiqua" w:hAnsi="Book Antiqua"/>
          <w:sz w:val="22"/>
          <w:szCs w:val="22"/>
        </w:rPr>
        <w:t xml:space="preserve"> vplyv na podnikateľ</w:t>
      </w:r>
      <w:r w:rsidRPr="00FB3DF8" w:rsidR="0051021D">
        <w:rPr>
          <w:rFonts w:ascii="Book Antiqua" w:hAnsi="Book Antiqua"/>
          <w:sz w:val="22"/>
          <w:szCs w:val="22"/>
        </w:rPr>
        <w:t xml:space="preserve">ské prostredie, </w:t>
      </w:r>
      <w:r w:rsidRPr="00FB3DF8" w:rsidR="00CA26AC">
        <w:rPr>
          <w:rFonts w:ascii="Book Antiqua" w:hAnsi="Book Antiqua"/>
          <w:sz w:val="22"/>
          <w:szCs w:val="22"/>
        </w:rPr>
        <w:t>na ž</w:t>
      </w:r>
      <w:r w:rsidRPr="00FB3DF8" w:rsidR="00501B26">
        <w:rPr>
          <w:rFonts w:ascii="Book Antiqua" w:hAnsi="Book Antiqua"/>
          <w:sz w:val="22"/>
          <w:szCs w:val="22"/>
        </w:rPr>
        <w:t>ivotné prostredie, ani vplyv na informatizáciu spoločnosti.</w:t>
      </w:r>
      <w:r w:rsidRPr="00FB3DF8">
        <w:rPr>
          <w:rFonts w:ascii="Book Antiqua" w:hAnsi="Book Antiqua"/>
          <w:sz w:val="22"/>
          <w:szCs w:val="22"/>
        </w:rPr>
        <w:t xml:space="preserve"> </w:t>
      </w:r>
    </w:p>
    <w:p w:rsidR="00EB0847" w:rsidRPr="00FB3DF8" w:rsidP="000A62BA">
      <w:pPr>
        <w:pStyle w:val="NormalWeb"/>
        <w:bidi w:val="0"/>
        <w:spacing w:before="120" w:beforeAutospacing="0" w:after="0" w:afterAutospacing="0" w:line="276" w:lineRule="auto"/>
        <w:ind w:firstLine="708"/>
        <w:jc w:val="both"/>
        <w:rPr>
          <w:rFonts w:ascii="Book Antiqua" w:hAnsi="Book Antiqua"/>
          <w:sz w:val="22"/>
          <w:szCs w:val="22"/>
        </w:rPr>
      </w:pPr>
      <w:r w:rsidRPr="00FB3DF8">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 s právom Európskej únie.</w:t>
      </w:r>
    </w:p>
    <w:p w:rsidR="00EB0847" w:rsidRPr="00FB3DF8" w:rsidP="000A62BA">
      <w:pPr>
        <w:bidi w:val="0"/>
        <w:spacing w:before="120" w:line="276" w:lineRule="auto"/>
        <w:jc w:val="both"/>
        <w:rPr>
          <w:rFonts w:ascii="Book Antiqua" w:hAnsi="Book Antiqua"/>
          <w:b/>
          <w:sz w:val="22"/>
          <w:szCs w:val="22"/>
        </w:rPr>
      </w:pPr>
      <w:r w:rsidRPr="00FB3DF8" w:rsidR="00403CED">
        <w:rPr>
          <w:rFonts w:ascii="Book Antiqua" w:hAnsi="Book Antiqua"/>
          <w:b/>
          <w:sz w:val="22"/>
          <w:szCs w:val="22"/>
        </w:rPr>
        <w:br w:type="page"/>
      </w:r>
      <w:r w:rsidRPr="00FB3DF8">
        <w:rPr>
          <w:rFonts w:ascii="Book Antiqua" w:hAnsi="Book Antiqua"/>
          <w:b/>
          <w:sz w:val="22"/>
          <w:szCs w:val="22"/>
        </w:rPr>
        <w:t>B. Osobit</w:t>
      </w:r>
      <w:r w:rsidRPr="00FB3DF8" w:rsidR="0051021D">
        <w:rPr>
          <w:rFonts w:ascii="Book Antiqua" w:hAnsi="Book Antiqua"/>
          <w:b/>
          <w:sz w:val="22"/>
          <w:szCs w:val="22"/>
        </w:rPr>
        <w:t>ná</w:t>
      </w:r>
      <w:r w:rsidRPr="00FB3DF8">
        <w:rPr>
          <w:rFonts w:ascii="Book Antiqua" w:hAnsi="Book Antiqua"/>
          <w:b/>
          <w:sz w:val="22"/>
          <w:szCs w:val="22"/>
        </w:rPr>
        <w:t xml:space="preserve"> časť</w:t>
      </w:r>
    </w:p>
    <w:p w:rsidR="00EB0847" w:rsidRPr="00FB3DF8" w:rsidP="000A62BA">
      <w:pPr>
        <w:bidi w:val="0"/>
        <w:spacing w:before="120" w:line="276" w:lineRule="auto"/>
        <w:jc w:val="both"/>
        <w:rPr>
          <w:rFonts w:ascii="Book Antiqua" w:hAnsi="Book Antiqua"/>
          <w:b/>
          <w:sz w:val="22"/>
          <w:szCs w:val="22"/>
        </w:rPr>
      </w:pPr>
    </w:p>
    <w:p w:rsidR="00757E57" w:rsidRPr="00FB3DF8" w:rsidP="000A62BA">
      <w:pPr>
        <w:bidi w:val="0"/>
        <w:spacing w:before="120" w:line="276" w:lineRule="auto"/>
        <w:jc w:val="both"/>
        <w:rPr>
          <w:rFonts w:ascii="Book Antiqua" w:hAnsi="Book Antiqua"/>
          <w:b/>
          <w:sz w:val="22"/>
          <w:szCs w:val="22"/>
        </w:rPr>
      </w:pPr>
      <w:r w:rsidRPr="00FB3DF8" w:rsidR="00254542">
        <w:rPr>
          <w:rFonts w:ascii="Book Antiqua" w:hAnsi="Book Antiqua"/>
          <w:b/>
          <w:sz w:val="22"/>
          <w:szCs w:val="22"/>
        </w:rPr>
        <w:t>K Čl. I</w:t>
      </w:r>
    </w:p>
    <w:p w:rsidR="00CC63DE" w:rsidRPr="00FB3DF8" w:rsidP="000A62BA">
      <w:pPr>
        <w:bidi w:val="0"/>
        <w:spacing w:before="120" w:line="276" w:lineRule="auto"/>
        <w:jc w:val="both"/>
        <w:rPr>
          <w:rFonts w:ascii="Book Antiqua" w:hAnsi="Book Antiqua"/>
          <w:sz w:val="22"/>
          <w:szCs w:val="22"/>
          <w:u w:val="single"/>
        </w:rPr>
      </w:pPr>
      <w:r w:rsidRPr="00FB3DF8" w:rsidR="00BB3264">
        <w:rPr>
          <w:rFonts w:ascii="Book Antiqua" w:hAnsi="Book Antiqua"/>
          <w:sz w:val="22"/>
          <w:szCs w:val="22"/>
          <w:u w:val="single"/>
        </w:rPr>
        <w:t>K bodu 1</w:t>
      </w:r>
    </w:p>
    <w:p w:rsidR="000106E1" w:rsidRPr="00FB3DF8" w:rsidP="000A62BA">
      <w:pPr>
        <w:bidi w:val="0"/>
        <w:spacing w:before="120" w:line="276" w:lineRule="auto"/>
        <w:ind w:firstLine="708"/>
        <w:jc w:val="both"/>
        <w:rPr>
          <w:rFonts w:ascii="Book Antiqua" w:hAnsi="Book Antiqua"/>
          <w:sz w:val="22"/>
          <w:szCs w:val="22"/>
        </w:rPr>
      </w:pPr>
      <w:r w:rsidRPr="00FB3DF8" w:rsidR="0051021D">
        <w:rPr>
          <w:rFonts w:ascii="Book Antiqua" w:hAnsi="Book Antiqua"/>
          <w:sz w:val="22"/>
          <w:szCs w:val="22"/>
        </w:rPr>
        <w:t xml:space="preserve">V § 3 ods. 8 </w:t>
      </w:r>
      <w:r w:rsidRPr="00FB3DF8" w:rsidR="00087053">
        <w:rPr>
          <w:rFonts w:ascii="Book Antiqua" w:hAnsi="Book Antiqua"/>
          <w:sz w:val="22"/>
          <w:szCs w:val="22"/>
        </w:rPr>
        <w:t xml:space="preserve">zákona č. 571/2009 Z. z.  o rodičovskom príspevku a o zmene a doplnení niektorých zákonov v znení neskorších predpisov (ďalej len „zákon“) </w:t>
      </w:r>
      <w:r w:rsidRPr="00FB3DF8" w:rsidR="0051021D">
        <w:rPr>
          <w:rFonts w:ascii="Book Antiqua" w:hAnsi="Book Antiqua"/>
          <w:sz w:val="22"/>
          <w:szCs w:val="22"/>
        </w:rPr>
        <w:t xml:space="preserve">dochádza k zmene podmienok nároku na rodičovský príspevok. </w:t>
      </w:r>
      <w:r w:rsidRPr="00FB3DF8">
        <w:rPr>
          <w:rFonts w:ascii="Book Antiqua" w:hAnsi="Book Antiqua"/>
          <w:sz w:val="22"/>
          <w:szCs w:val="22"/>
        </w:rPr>
        <w:t>Podľa navrhovanej právnej úpravy vznikne nárok na rodičovský príspevok aj vtedy, ak oprávnená osoba má nárok na materské alebo má nárok na obdobnú dávku ako materské v členskom štáte</w:t>
      </w:r>
      <w:r w:rsidRPr="00FB3DF8" w:rsidR="00E00DB4">
        <w:rPr>
          <w:rFonts w:ascii="Book Antiqua" w:hAnsi="Book Antiqua"/>
          <w:sz w:val="22"/>
          <w:szCs w:val="22"/>
        </w:rPr>
        <w:t xml:space="preserve"> </w:t>
      </w:r>
      <w:r w:rsidRPr="00FB3DF8">
        <w:rPr>
          <w:rFonts w:ascii="Book Antiqua" w:hAnsi="Book Antiqua"/>
          <w:sz w:val="22"/>
          <w:szCs w:val="22"/>
        </w:rPr>
        <w:t>a </w:t>
      </w:r>
      <w:r w:rsidRPr="00FB3DF8" w:rsidR="0051021D">
        <w:rPr>
          <w:rFonts w:ascii="Book Antiqua" w:hAnsi="Book Antiqua"/>
          <w:sz w:val="22"/>
          <w:szCs w:val="22"/>
        </w:rPr>
        <w:t>suma materského alebo obdobnej dávky ako materské v členskom štáte je vyššia a</w:t>
      </w:r>
      <w:r w:rsidRPr="00FB3DF8">
        <w:rPr>
          <w:rFonts w:ascii="Book Antiqua" w:hAnsi="Book Antiqua"/>
          <w:sz w:val="22"/>
          <w:szCs w:val="22"/>
        </w:rPr>
        <w:t xml:space="preserve">ko suma rodičovského príspevku. Nárok na rodičovský príspevok vznikne aj vtedy, ak v štáte, ktorý nie je členským štátom, sa jednej z oprávnených osôb vypláca obdobná dávka ako materské. </w:t>
      </w:r>
    </w:p>
    <w:p w:rsidR="009C7E76" w:rsidRPr="00FB3DF8" w:rsidP="000A62BA">
      <w:pPr>
        <w:bidi w:val="0"/>
        <w:spacing w:before="120" w:line="276" w:lineRule="auto"/>
        <w:ind w:firstLine="708"/>
        <w:jc w:val="both"/>
        <w:rPr>
          <w:rFonts w:ascii="Book Antiqua" w:hAnsi="Book Antiqua"/>
          <w:sz w:val="22"/>
          <w:szCs w:val="22"/>
        </w:rPr>
      </w:pPr>
      <w:r w:rsidRPr="00FB3DF8" w:rsidR="006A6641">
        <w:rPr>
          <w:rFonts w:ascii="Book Antiqua" w:hAnsi="Book Antiqua"/>
          <w:sz w:val="22"/>
          <w:szCs w:val="22"/>
        </w:rPr>
        <w:t>Oproti pôvodnej právnej úprave n</w:t>
      </w:r>
      <w:r w:rsidRPr="00FB3DF8" w:rsidR="000106E1">
        <w:rPr>
          <w:rFonts w:ascii="Book Antiqua" w:hAnsi="Book Antiqua"/>
          <w:sz w:val="22"/>
          <w:szCs w:val="22"/>
        </w:rPr>
        <w:t xml:space="preserve">ávrh zákona pomenúva </w:t>
      </w:r>
      <w:r w:rsidRPr="00FB3DF8" w:rsidR="006A6641">
        <w:rPr>
          <w:rFonts w:ascii="Book Antiqua" w:hAnsi="Book Antiqua"/>
          <w:sz w:val="22"/>
          <w:szCs w:val="22"/>
        </w:rPr>
        <w:t xml:space="preserve">len jeden dôvod, keď nárok na rodičovský príspevok nevznikne ani jednej oprávnenej osobe, a to </w:t>
      </w:r>
      <w:r w:rsidRPr="00FB3DF8" w:rsidR="00087053">
        <w:rPr>
          <w:rFonts w:ascii="Book Antiqua" w:hAnsi="Book Antiqua"/>
          <w:sz w:val="22"/>
          <w:szCs w:val="22"/>
        </w:rPr>
        <w:t>v prípade</w:t>
      </w:r>
      <w:r w:rsidRPr="00FB3DF8" w:rsidR="006A6641">
        <w:rPr>
          <w:rFonts w:ascii="Book Antiqua" w:hAnsi="Book Antiqua"/>
          <w:sz w:val="22"/>
          <w:szCs w:val="22"/>
        </w:rPr>
        <w:t>, ak štát, ktorý nie je členským štátom, vypláca jednej z nich obdobnú dávku ako rodič</w:t>
      </w:r>
      <w:r w:rsidRPr="00FB3DF8" w:rsidR="000A62BA">
        <w:rPr>
          <w:rFonts w:ascii="Book Antiqua" w:hAnsi="Book Antiqua"/>
          <w:sz w:val="22"/>
          <w:szCs w:val="22"/>
        </w:rPr>
        <w:t>ovský príspevok.</w:t>
      </w:r>
    </w:p>
    <w:p w:rsidR="00D72C79" w:rsidRPr="00FB3DF8" w:rsidP="000A62BA">
      <w:pPr>
        <w:bidi w:val="0"/>
        <w:spacing w:before="120" w:line="276" w:lineRule="auto"/>
        <w:jc w:val="both"/>
        <w:rPr>
          <w:rFonts w:ascii="Book Antiqua" w:hAnsi="Book Antiqua"/>
          <w:sz w:val="22"/>
          <w:szCs w:val="22"/>
          <w:u w:val="single"/>
        </w:rPr>
      </w:pPr>
      <w:r w:rsidRPr="00FB3DF8">
        <w:rPr>
          <w:rFonts w:ascii="Book Antiqua" w:hAnsi="Book Antiqua"/>
          <w:sz w:val="22"/>
          <w:szCs w:val="22"/>
          <w:u w:val="single"/>
        </w:rPr>
        <w:t>K bodu 2</w:t>
      </w:r>
    </w:p>
    <w:p w:rsidR="00822F90" w:rsidRPr="00FB3DF8" w:rsidP="000A62BA">
      <w:pPr>
        <w:bidi w:val="0"/>
        <w:spacing w:before="120" w:line="276" w:lineRule="auto"/>
        <w:ind w:firstLine="708"/>
        <w:jc w:val="both"/>
        <w:rPr>
          <w:rFonts w:ascii="Book Antiqua" w:hAnsi="Book Antiqua"/>
          <w:sz w:val="22"/>
          <w:szCs w:val="22"/>
        </w:rPr>
      </w:pPr>
      <w:r w:rsidRPr="00FB3DF8" w:rsidR="005F785D">
        <w:rPr>
          <w:rFonts w:ascii="Book Antiqua" w:hAnsi="Book Antiqua"/>
          <w:sz w:val="22"/>
          <w:szCs w:val="22"/>
        </w:rPr>
        <w:t xml:space="preserve">Hlavným prínosom </w:t>
      </w:r>
      <w:r w:rsidRPr="00FB3DF8" w:rsidR="000A62BA">
        <w:rPr>
          <w:rFonts w:ascii="Book Antiqua" w:hAnsi="Book Antiqua"/>
          <w:sz w:val="22"/>
          <w:szCs w:val="22"/>
        </w:rPr>
        <w:t xml:space="preserve">návrhu zákona je </w:t>
      </w:r>
      <w:r w:rsidRPr="00FB3DF8" w:rsidR="005F785D">
        <w:rPr>
          <w:rFonts w:ascii="Book Antiqua" w:hAnsi="Book Antiqua"/>
          <w:b/>
          <w:sz w:val="22"/>
          <w:szCs w:val="22"/>
        </w:rPr>
        <w:t>zavedenie súbehu poberania materskej</w:t>
      </w:r>
      <w:r w:rsidRPr="00FB3DF8" w:rsidR="005F785D">
        <w:rPr>
          <w:rFonts w:ascii="Book Antiqua" w:hAnsi="Book Antiqua"/>
          <w:sz w:val="22"/>
          <w:szCs w:val="22"/>
        </w:rPr>
        <w:t xml:space="preserve"> aleb</w:t>
      </w:r>
      <w:r w:rsidRPr="00FB3DF8" w:rsidR="000A62BA">
        <w:rPr>
          <w:rFonts w:ascii="Book Antiqua" w:hAnsi="Book Antiqua"/>
          <w:sz w:val="22"/>
          <w:szCs w:val="22"/>
        </w:rPr>
        <w:t>o obdobnej dávky ako materské v cudzine</w:t>
      </w:r>
      <w:r w:rsidRPr="00FB3DF8" w:rsidR="005F785D">
        <w:rPr>
          <w:rFonts w:ascii="Book Antiqua" w:hAnsi="Book Antiqua"/>
          <w:sz w:val="22"/>
          <w:szCs w:val="22"/>
        </w:rPr>
        <w:t xml:space="preserve"> v sume vyššej ako </w:t>
      </w:r>
      <w:r w:rsidRPr="00FB3DF8">
        <w:rPr>
          <w:rFonts w:ascii="Book Antiqua" w:hAnsi="Book Antiqua"/>
          <w:sz w:val="22"/>
          <w:szCs w:val="22"/>
        </w:rPr>
        <w:t xml:space="preserve">je suma </w:t>
      </w:r>
      <w:r w:rsidRPr="00FB3DF8" w:rsidR="00F670C5">
        <w:rPr>
          <w:rFonts w:ascii="Book Antiqua" w:hAnsi="Book Antiqua"/>
          <w:sz w:val="22"/>
          <w:szCs w:val="22"/>
        </w:rPr>
        <w:t>rodičovského príspev</w:t>
      </w:r>
      <w:r w:rsidRPr="00FB3DF8" w:rsidR="005F785D">
        <w:rPr>
          <w:rFonts w:ascii="Book Antiqua" w:hAnsi="Book Antiqua"/>
          <w:sz w:val="22"/>
          <w:szCs w:val="22"/>
        </w:rPr>
        <w:t>k</w:t>
      </w:r>
      <w:r w:rsidRPr="00FB3DF8" w:rsidR="00F670C5">
        <w:rPr>
          <w:rFonts w:ascii="Book Antiqua" w:hAnsi="Book Antiqua"/>
          <w:sz w:val="22"/>
          <w:szCs w:val="22"/>
        </w:rPr>
        <w:t>u</w:t>
      </w:r>
      <w:r w:rsidRPr="00FB3DF8" w:rsidR="005F785D">
        <w:rPr>
          <w:rFonts w:ascii="Book Antiqua" w:hAnsi="Book Antiqua"/>
          <w:sz w:val="22"/>
          <w:szCs w:val="22"/>
        </w:rPr>
        <w:t xml:space="preserve">, </w:t>
      </w:r>
      <w:r w:rsidRPr="00FB3DF8" w:rsidR="005F785D">
        <w:rPr>
          <w:rFonts w:ascii="Book Antiqua" w:hAnsi="Book Antiqua"/>
          <w:b/>
          <w:sz w:val="22"/>
          <w:szCs w:val="22"/>
        </w:rPr>
        <w:t>a rodičovského príspevku</w:t>
      </w:r>
      <w:r w:rsidRPr="00FB3DF8" w:rsidR="00A808F6">
        <w:rPr>
          <w:rFonts w:ascii="Book Antiqua" w:hAnsi="Book Antiqua"/>
          <w:sz w:val="22"/>
          <w:szCs w:val="22"/>
        </w:rPr>
        <w:t xml:space="preserve">. </w:t>
      </w:r>
      <w:r w:rsidRPr="00FB3DF8">
        <w:rPr>
          <w:rFonts w:ascii="Book Antiqua" w:hAnsi="Book Antiqua"/>
          <w:sz w:val="22"/>
          <w:szCs w:val="22"/>
        </w:rPr>
        <w:t>V rokoch 2018 až 2022 sa počíta s prechodným obdobím, počas ktorého bude percentuálne naras</w:t>
      </w:r>
      <w:r w:rsidRPr="00FB3DF8" w:rsidR="00106418">
        <w:rPr>
          <w:rFonts w:ascii="Book Antiqua" w:hAnsi="Book Antiqua"/>
          <w:sz w:val="22"/>
          <w:szCs w:val="22"/>
        </w:rPr>
        <w:t xml:space="preserve">tať suma rodičovského príspevku, na ktorú bude mať oprávnená osoba nárok </w:t>
      </w:r>
      <w:r w:rsidRPr="00FB3DF8">
        <w:rPr>
          <w:rFonts w:ascii="Book Antiqua" w:hAnsi="Book Antiqua"/>
          <w:sz w:val="22"/>
          <w:szCs w:val="22"/>
        </w:rPr>
        <w:t>počas poberania materskej alebo obdobnej dávky ako materskej</w:t>
      </w:r>
      <w:r w:rsidRPr="00FB3DF8" w:rsidR="00795285">
        <w:rPr>
          <w:rFonts w:ascii="Book Antiqua" w:hAnsi="Book Antiqua"/>
          <w:sz w:val="22"/>
          <w:szCs w:val="22"/>
        </w:rPr>
        <w:t xml:space="preserve"> v cudzine</w:t>
      </w:r>
      <w:r w:rsidRPr="00FB3DF8">
        <w:rPr>
          <w:rFonts w:ascii="Book Antiqua" w:hAnsi="Book Antiqua"/>
          <w:sz w:val="22"/>
          <w:szCs w:val="22"/>
        </w:rPr>
        <w:t>. Navrhuje sa, aby</w:t>
      </w:r>
      <w:r w:rsidRPr="00FB3DF8" w:rsidR="00106418">
        <w:rPr>
          <w:rFonts w:ascii="Book Antiqua" w:hAnsi="Book Antiqua"/>
          <w:sz w:val="22"/>
          <w:szCs w:val="22"/>
        </w:rPr>
        <w:t xml:space="preserve"> </w:t>
      </w:r>
      <w:r w:rsidRPr="00FB3DF8">
        <w:rPr>
          <w:rFonts w:ascii="Book Antiqua" w:hAnsi="Book Antiqua"/>
          <w:sz w:val="22"/>
          <w:szCs w:val="22"/>
        </w:rPr>
        <w:t>v prvom roku účinnosti tohto návrhu zákona</w:t>
      </w:r>
      <w:r w:rsidRPr="00FB3DF8" w:rsidR="00106418">
        <w:rPr>
          <w:rFonts w:ascii="Book Antiqua" w:hAnsi="Book Antiqua"/>
          <w:sz w:val="22"/>
          <w:szCs w:val="22"/>
        </w:rPr>
        <w:t xml:space="preserve"> bol rodičovský príspevok počas poberania materskej alebo obdo</w:t>
      </w:r>
      <w:r w:rsidRPr="00FB3DF8" w:rsidR="00795285">
        <w:rPr>
          <w:rFonts w:ascii="Book Antiqua" w:hAnsi="Book Antiqua"/>
          <w:sz w:val="22"/>
          <w:szCs w:val="22"/>
        </w:rPr>
        <w:t>bnej dávky ako materskej v cudzine</w:t>
      </w:r>
      <w:r w:rsidRPr="00FB3DF8" w:rsidR="00106418">
        <w:rPr>
          <w:rFonts w:ascii="Book Antiqua" w:hAnsi="Book Antiqua"/>
          <w:sz w:val="22"/>
          <w:szCs w:val="22"/>
        </w:rPr>
        <w:t xml:space="preserve"> vo výške 2</w:t>
      </w:r>
      <w:r w:rsidRPr="00FB3DF8" w:rsidR="00F670C5">
        <w:rPr>
          <w:rFonts w:ascii="Book Antiqua" w:hAnsi="Book Antiqua"/>
          <w:sz w:val="22"/>
          <w:szCs w:val="22"/>
        </w:rPr>
        <w:t xml:space="preserve">0% sumy rodičovského príspevku a každým ďalším rokom sa zvyšoval </w:t>
      </w:r>
      <w:r w:rsidRPr="00FB3DF8" w:rsidR="00361525">
        <w:rPr>
          <w:rFonts w:ascii="Book Antiqua" w:hAnsi="Book Antiqua"/>
          <w:sz w:val="22"/>
          <w:szCs w:val="22"/>
        </w:rPr>
        <w:t xml:space="preserve">vždy </w:t>
      </w:r>
      <w:r w:rsidRPr="00FB3DF8" w:rsidR="00F670C5">
        <w:rPr>
          <w:rFonts w:ascii="Book Antiqua" w:hAnsi="Book Antiqua"/>
          <w:sz w:val="22"/>
          <w:szCs w:val="22"/>
        </w:rPr>
        <w:t>o 20%, až v roku 2022 dostane oprávnená osoba 100% rodičovského príspevku počas poberania materskej alebo obdobnej dávky ako materské</w:t>
      </w:r>
      <w:r w:rsidRPr="00FB3DF8" w:rsidR="00795285">
        <w:rPr>
          <w:rFonts w:ascii="Book Antiqua" w:hAnsi="Book Antiqua"/>
          <w:sz w:val="22"/>
          <w:szCs w:val="22"/>
        </w:rPr>
        <w:t xml:space="preserve"> v cudzine</w:t>
      </w:r>
      <w:r w:rsidRPr="00FB3DF8" w:rsidR="00F670C5">
        <w:rPr>
          <w:rFonts w:ascii="Book Antiqua" w:hAnsi="Book Antiqua"/>
          <w:sz w:val="22"/>
          <w:szCs w:val="22"/>
        </w:rPr>
        <w:t>.</w:t>
      </w:r>
    </w:p>
    <w:p w:rsidR="00087053" w:rsidRPr="00FB3DF8" w:rsidP="00795285">
      <w:pPr>
        <w:bidi w:val="0"/>
        <w:spacing w:before="120" w:line="276" w:lineRule="auto"/>
        <w:ind w:firstLine="708"/>
        <w:jc w:val="both"/>
        <w:rPr>
          <w:rFonts w:ascii="Book Antiqua" w:hAnsi="Book Antiqua"/>
          <w:sz w:val="22"/>
          <w:szCs w:val="22"/>
        </w:rPr>
      </w:pPr>
      <w:r w:rsidRPr="00FB3DF8" w:rsidR="009C7E76">
        <w:rPr>
          <w:rFonts w:ascii="Book Antiqua" w:hAnsi="Book Antiqua"/>
          <w:sz w:val="22"/>
          <w:szCs w:val="22"/>
        </w:rPr>
        <w:t xml:space="preserve">Nezanedbateľným pozitívom tejto právnej úpravy je fakt, že sa </w:t>
      </w:r>
      <w:r w:rsidRPr="00FB3DF8" w:rsidR="00BE3F66">
        <w:rPr>
          <w:rFonts w:ascii="Book Antiqua" w:hAnsi="Book Antiqua"/>
          <w:sz w:val="22"/>
          <w:szCs w:val="22"/>
        </w:rPr>
        <w:t xml:space="preserve">kvázi </w:t>
      </w:r>
      <w:r w:rsidRPr="00FB3DF8" w:rsidR="009C7E76">
        <w:rPr>
          <w:rFonts w:ascii="Book Antiqua" w:hAnsi="Book Antiqua"/>
          <w:sz w:val="22"/>
          <w:szCs w:val="22"/>
        </w:rPr>
        <w:t xml:space="preserve">„odmeňujú“ tie oprávnené osoby, ktoré si pred narodením dieťaťa platili nemocenské poistenie aspoň 270 dní za posledné dva roky pred pôrodom, čiže </w:t>
      </w:r>
      <w:r w:rsidRPr="00FB3DF8" w:rsidR="00361525">
        <w:rPr>
          <w:rFonts w:ascii="Book Antiqua" w:hAnsi="Book Antiqua"/>
          <w:sz w:val="22"/>
          <w:szCs w:val="22"/>
        </w:rPr>
        <w:t>majú</w:t>
      </w:r>
      <w:r w:rsidRPr="00FB3DF8" w:rsidR="009C7E76">
        <w:rPr>
          <w:rFonts w:ascii="Book Antiqua" w:hAnsi="Book Antiqua"/>
          <w:sz w:val="22"/>
          <w:szCs w:val="22"/>
        </w:rPr>
        <w:t xml:space="preserve"> nárok na materské, ale súčasne im nezanikne nárok na rodičovský príspevok. </w:t>
      </w:r>
      <w:r w:rsidRPr="00FB3DF8" w:rsidR="00BA520B">
        <w:rPr>
          <w:rFonts w:ascii="Book Antiqua" w:hAnsi="Book Antiqua"/>
          <w:sz w:val="22"/>
          <w:szCs w:val="22"/>
        </w:rPr>
        <w:t>Vychádza sa z princípu, že rodičovský príspevok ako štátnu sociálnu dávku by mala poberať kaž</w:t>
      </w:r>
      <w:r w:rsidRPr="00FB3DF8" w:rsidR="00247D4C">
        <w:rPr>
          <w:rFonts w:ascii="Book Antiqua" w:hAnsi="Book Antiqua"/>
          <w:sz w:val="22"/>
          <w:szCs w:val="22"/>
        </w:rPr>
        <w:t>dá oprávnená osoba bez ohľadu na to, či je</w:t>
      </w:r>
      <w:r w:rsidRPr="00FB3DF8" w:rsidR="00795285">
        <w:rPr>
          <w:rFonts w:ascii="Book Antiqua" w:hAnsi="Book Antiqua"/>
          <w:sz w:val="22"/>
          <w:szCs w:val="22"/>
        </w:rPr>
        <w:t>j vznikol aj nárok na materské.</w:t>
      </w:r>
    </w:p>
    <w:p w:rsidR="00F57F61" w:rsidRPr="00FB3DF8" w:rsidP="000A62BA">
      <w:pPr>
        <w:bidi w:val="0"/>
        <w:spacing w:before="120" w:line="276" w:lineRule="auto"/>
        <w:jc w:val="both"/>
        <w:rPr>
          <w:rFonts w:ascii="Book Antiqua" w:hAnsi="Book Antiqua"/>
          <w:sz w:val="22"/>
          <w:szCs w:val="22"/>
          <w:u w:val="single"/>
        </w:rPr>
      </w:pPr>
      <w:r w:rsidRPr="00FB3DF8" w:rsidR="00162277">
        <w:rPr>
          <w:rFonts w:ascii="Book Antiqua" w:hAnsi="Book Antiqua"/>
          <w:sz w:val="22"/>
          <w:szCs w:val="22"/>
          <w:u w:val="single"/>
        </w:rPr>
        <w:t>K bodu 3</w:t>
      </w:r>
    </w:p>
    <w:p w:rsidR="00BE3F66" w:rsidRPr="00FB3DF8" w:rsidP="000A62BA">
      <w:pPr>
        <w:bidi w:val="0"/>
        <w:spacing w:before="120" w:line="276" w:lineRule="auto"/>
        <w:ind w:firstLine="708"/>
        <w:jc w:val="both"/>
        <w:rPr>
          <w:rFonts w:ascii="Book Antiqua" w:hAnsi="Book Antiqua"/>
          <w:sz w:val="22"/>
          <w:szCs w:val="22"/>
        </w:rPr>
      </w:pPr>
      <w:r w:rsidRPr="00FB3DF8">
        <w:rPr>
          <w:rFonts w:ascii="Book Antiqua" w:hAnsi="Book Antiqua"/>
          <w:sz w:val="22"/>
          <w:szCs w:val="22"/>
        </w:rPr>
        <w:t xml:space="preserve">V tomto ustanovení sa na rozdiel od </w:t>
      </w:r>
      <w:r w:rsidRPr="00FB3DF8" w:rsidR="00795285">
        <w:rPr>
          <w:rFonts w:ascii="Book Antiqua" w:hAnsi="Book Antiqua"/>
          <w:sz w:val="22"/>
          <w:szCs w:val="22"/>
        </w:rPr>
        <w:t xml:space="preserve">Čl. I </w:t>
      </w:r>
      <w:r w:rsidRPr="00FB3DF8">
        <w:rPr>
          <w:rFonts w:ascii="Book Antiqua" w:hAnsi="Book Antiqua"/>
          <w:sz w:val="22"/>
          <w:szCs w:val="22"/>
        </w:rPr>
        <w:t>bodu 2 návrhu zákona upravuje situácia, keď oprávnenej osobe síce vznikne nárok na materské alebo obdobnú dávku ako materská v </w:t>
      </w:r>
      <w:r w:rsidRPr="00FB3DF8" w:rsidR="00795285">
        <w:rPr>
          <w:rFonts w:ascii="Book Antiqua" w:hAnsi="Book Antiqua"/>
          <w:sz w:val="22"/>
          <w:szCs w:val="22"/>
        </w:rPr>
        <w:t>cudzine</w:t>
      </w:r>
      <w:r w:rsidRPr="00FB3DF8" w:rsidR="00E00DB4">
        <w:rPr>
          <w:rFonts w:ascii="Book Antiqua" w:hAnsi="Book Antiqua"/>
          <w:sz w:val="22"/>
          <w:szCs w:val="22"/>
        </w:rPr>
        <w:t xml:space="preserve">, </w:t>
      </w:r>
      <w:r w:rsidRPr="00FB3DF8">
        <w:rPr>
          <w:rFonts w:ascii="Book Antiqua" w:hAnsi="Book Antiqua"/>
          <w:sz w:val="22"/>
          <w:szCs w:val="22"/>
        </w:rPr>
        <w:t xml:space="preserve">ale výška materskej </w:t>
      </w:r>
      <w:r w:rsidRPr="00FB3DF8" w:rsidR="00E00DB4">
        <w:rPr>
          <w:rFonts w:ascii="Book Antiqua" w:hAnsi="Book Antiqua"/>
          <w:sz w:val="22"/>
          <w:szCs w:val="22"/>
        </w:rPr>
        <w:t xml:space="preserve">či </w:t>
      </w:r>
      <w:r w:rsidRPr="00FB3DF8">
        <w:rPr>
          <w:rFonts w:ascii="Book Antiqua" w:hAnsi="Book Antiqua"/>
          <w:sz w:val="22"/>
          <w:szCs w:val="22"/>
        </w:rPr>
        <w:t xml:space="preserve">obdobnej dávky ako materské </w:t>
      </w:r>
      <w:r w:rsidRPr="00FB3DF8" w:rsidR="00795285">
        <w:rPr>
          <w:rFonts w:ascii="Book Antiqua" w:hAnsi="Book Antiqua"/>
          <w:sz w:val="22"/>
          <w:szCs w:val="22"/>
        </w:rPr>
        <w:t xml:space="preserve">v cudzine </w:t>
      </w:r>
      <w:r w:rsidRPr="00FB3DF8">
        <w:rPr>
          <w:rFonts w:ascii="Book Antiqua" w:hAnsi="Book Antiqua"/>
          <w:sz w:val="22"/>
          <w:szCs w:val="22"/>
        </w:rPr>
        <w:t xml:space="preserve">je nižšia ako suma rodičovského príspevku. </w:t>
      </w:r>
      <w:r w:rsidRPr="00FB3DF8" w:rsidR="00E00DB4">
        <w:rPr>
          <w:rFonts w:ascii="Book Antiqua" w:hAnsi="Book Antiqua"/>
          <w:sz w:val="22"/>
          <w:szCs w:val="22"/>
        </w:rPr>
        <w:t>Podľa navrhovanej právnej úpravy</w:t>
      </w:r>
      <w:r w:rsidRPr="00FB3DF8" w:rsidR="00174CAE">
        <w:rPr>
          <w:rFonts w:ascii="Book Antiqua" w:hAnsi="Book Antiqua"/>
          <w:sz w:val="22"/>
          <w:szCs w:val="22"/>
        </w:rPr>
        <w:t xml:space="preserve"> sa v období rokov 2018 až 2012 takejto osobe poskytuje rodičovský príspevok v sume rozdielu medzi </w:t>
      </w:r>
      <w:r w:rsidRPr="00FB3DF8" w:rsidR="00795285">
        <w:rPr>
          <w:rFonts w:ascii="Book Antiqua" w:hAnsi="Book Antiqua"/>
          <w:sz w:val="22"/>
          <w:szCs w:val="22"/>
        </w:rPr>
        <w:t xml:space="preserve">sumou </w:t>
      </w:r>
      <w:r w:rsidRPr="00FB3DF8" w:rsidR="00174CAE">
        <w:rPr>
          <w:rFonts w:ascii="Book Antiqua" w:hAnsi="Book Antiqua"/>
          <w:sz w:val="22"/>
          <w:szCs w:val="22"/>
        </w:rPr>
        <w:t>rodič</w:t>
      </w:r>
      <w:r w:rsidRPr="00FB3DF8" w:rsidR="00795285">
        <w:rPr>
          <w:rFonts w:ascii="Book Antiqua" w:hAnsi="Book Antiqua"/>
          <w:sz w:val="22"/>
          <w:szCs w:val="22"/>
        </w:rPr>
        <w:t>ovského príspevku</w:t>
      </w:r>
      <w:r w:rsidRPr="00FB3DF8" w:rsidR="00174CAE">
        <w:rPr>
          <w:rFonts w:ascii="Book Antiqua" w:hAnsi="Book Antiqua"/>
          <w:sz w:val="22"/>
          <w:szCs w:val="22"/>
        </w:rPr>
        <w:t xml:space="preserve"> a</w:t>
      </w:r>
    </w:p>
    <w:p w:rsidR="00174CAE" w:rsidRPr="00FB3DF8" w:rsidP="000A62BA">
      <w:pPr>
        <w:pStyle w:val="ListParagraph"/>
        <w:numPr>
          <w:numId w:val="22"/>
        </w:numPr>
        <w:bidi w:val="0"/>
        <w:spacing w:before="120" w:line="276" w:lineRule="auto"/>
        <w:jc w:val="both"/>
        <w:rPr>
          <w:rFonts w:ascii="Book Antiqua" w:hAnsi="Book Antiqua"/>
          <w:sz w:val="22"/>
          <w:szCs w:val="22"/>
        </w:rPr>
      </w:pPr>
      <w:r w:rsidRPr="00FB3DF8">
        <w:rPr>
          <w:rFonts w:ascii="Book Antiqua" w:hAnsi="Book Antiqua" w:cs="Arial"/>
          <w:sz w:val="22"/>
          <w:szCs w:val="22"/>
        </w:rPr>
        <w:t xml:space="preserve">v roku 2018 </w:t>
      </w:r>
      <w:r w:rsidRPr="00FB3DF8" w:rsidR="00795285">
        <w:rPr>
          <w:rFonts w:ascii="Book Antiqua" w:hAnsi="Book Antiqua" w:cs="Arial"/>
          <w:sz w:val="22"/>
          <w:szCs w:val="22"/>
        </w:rPr>
        <w:t xml:space="preserve">sumou </w:t>
      </w:r>
      <w:r w:rsidRPr="00FB3DF8">
        <w:rPr>
          <w:rFonts w:ascii="Book Antiqua" w:hAnsi="Book Antiqua"/>
          <w:sz w:val="22"/>
          <w:szCs w:val="22"/>
        </w:rPr>
        <w:t>80%</w:t>
      </w:r>
      <w:r w:rsidRPr="00FB3DF8">
        <w:rPr>
          <w:rFonts w:ascii="Book Antiqua" w:hAnsi="Book Antiqua" w:cs="Arial"/>
          <w:sz w:val="22"/>
          <w:szCs w:val="22"/>
        </w:rPr>
        <w:t xml:space="preserve"> zo sumy materského</w:t>
      </w:r>
      <w:r w:rsidRPr="00FB3DF8" w:rsidR="00B21B9A">
        <w:rPr>
          <w:rFonts w:ascii="Book Antiqua" w:hAnsi="Book Antiqua" w:cs="Arial"/>
          <w:sz w:val="22"/>
          <w:szCs w:val="22"/>
        </w:rPr>
        <w:t>,</w:t>
      </w:r>
    </w:p>
    <w:p w:rsidR="00174CAE" w:rsidRPr="00FB3DF8" w:rsidP="000A62BA">
      <w:pPr>
        <w:pStyle w:val="ListParagraph"/>
        <w:numPr>
          <w:numId w:val="22"/>
        </w:numPr>
        <w:bidi w:val="0"/>
        <w:spacing w:before="120" w:line="276" w:lineRule="auto"/>
        <w:jc w:val="both"/>
        <w:rPr>
          <w:rFonts w:ascii="Book Antiqua" w:hAnsi="Book Antiqua"/>
          <w:sz w:val="22"/>
          <w:szCs w:val="22"/>
        </w:rPr>
      </w:pPr>
      <w:r w:rsidRPr="00FB3DF8">
        <w:rPr>
          <w:rFonts w:ascii="Book Antiqua" w:hAnsi="Book Antiqua" w:cs="Arial"/>
          <w:sz w:val="22"/>
          <w:szCs w:val="22"/>
        </w:rPr>
        <w:t xml:space="preserve">v roku 2019 </w:t>
      </w:r>
      <w:r w:rsidRPr="00FB3DF8" w:rsidR="00795285">
        <w:rPr>
          <w:rFonts w:ascii="Book Antiqua" w:hAnsi="Book Antiqua" w:cs="Arial"/>
          <w:sz w:val="22"/>
          <w:szCs w:val="22"/>
        </w:rPr>
        <w:t xml:space="preserve">sumou </w:t>
      </w:r>
      <w:r w:rsidRPr="00FB3DF8">
        <w:rPr>
          <w:rFonts w:ascii="Book Antiqua" w:hAnsi="Book Antiqua"/>
          <w:sz w:val="22"/>
          <w:szCs w:val="22"/>
        </w:rPr>
        <w:t>60%</w:t>
      </w:r>
      <w:r w:rsidRPr="00FB3DF8">
        <w:rPr>
          <w:rFonts w:ascii="Book Antiqua" w:hAnsi="Book Antiqua" w:cs="Arial"/>
          <w:sz w:val="22"/>
          <w:szCs w:val="22"/>
        </w:rPr>
        <w:t xml:space="preserve"> zo sumy </w:t>
      </w:r>
      <w:r w:rsidRPr="00FB3DF8" w:rsidR="00247D4C">
        <w:rPr>
          <w:rFonts w:ascii="Book Antiqua" w:hAnsi="Book Antiqua" w:cs="Arial"/>
          <w:sz w:val="22"/>
          <w:szCs w:val="22"/>
        </w:rPr>
        <w:t>materského</w:t>
      </w:r>
      <w:r w:rsidRPr="00FB3DF8">
        <w:rPr>
          <w:rFonts w:ascii="Book Antiqua" w:hAnsi="Book Antiqua" w:cs="Arial"/>
          <w:sz w:val="22"/>
          <w:szCs w:val="22"/>
        </w:rPr>
        <w:t>,</w:t>
      </w:r>
    </w:p>
    <w:p w:rsidR="00795285" w:rsidRPr="00FB3DF8" w:rsidP="00795285">
      <w:pPr>
        <w:pStyle w:val="ListParagraph"/>
        <w:numPr>
          <w:numId w:val="22"/>
        </w:numPr>
        <w:bidi w:val="0"/>
        <w:spacing w:before="120" w:line="276" w:lineRule="auto"/>
        <w:jc w:val="both"/>
        <w:rPr>
          <w:rFonts w:ascii="Book Antiqua" w:hAnsi="Book Antiqua"/>
          <w:sz w:val="22"/>
          <w:szCs w:val="22"/>
        </w:rPr>
      </w:pPr>
      <w:r w:rsidRPr="00FB3DF8" w:rsidR="00174CAE">
        <w:rPr>
          <w:rFonts w:ascii="Book Antiqua" w:hAnsi="Book Antiqua" w:cs="Arial"/>
          <w:sz w:val="22"/>
          <w:szCs w:val="22"/>
        </w:rPr>
        <w:t xml:space="preserve">v roku 2020 </w:t>
      </w:r>
      <w:r w:rsidRPr="00FB3DF8">
        <w:rPr>
          <w:rFonts w:ascii="Book Antiqua" w:hAnsi="Book Antiqua" w:cs="Arial"/>
          <w:sz w:val="22"/>
          <w:szCs w:val="22"/>
        </w:rPr>
        <w:t xml:space="preserve">sumou </w:t>
      </w:r>
      <w:r w:rsidRPr="00FB3DF8" w:rsidR="00174CAE">
        <w:rPr>
          <w:rFonts w:ascii="Book Antiqua" w:hAnsi="Book Antiqua"/>
          <w:sz w:val="22"/>
          <w:szCs w:val="22"/>
        </w:rPr>
        <w:t>40%</w:t>
      </w:r>
      <w:r w:rsidRPr="00FB3DF8" w:rsidR="00174CAE">
        <w:rPr>
          <w:rFonts w:ascii="Book Antiqua" w:hAnsi="Book Antiqua" w:cs="Arial"/>
          <w:sz w:val="22"/>
          <w:szCs w:val="22"/>
        </w:rPr>
        <w:t xml:space="preserve"> zo sumy </w:t>
      </w:r>
      <w:r w:rsidRPr="00FB3DF8" w:rsidR="00247D4C">
        <w:rPr>
          <w:rFonts w:ascii="Book Antiqua" w:hAnsi="Book Antiqua" w:cs="Arial"/>
          <w:sz w:val="22"/>
          <w:szCs w:val="22"/>
        </w:rPr>
        <w:t>materského</w:t>
      </w:r>
      <w:r w:rsidRPr="00FB3DF8" w:rsidR="00174CAE">
        <w:rPr>
          <w:rFonts w:ascii="Book Antiqua" w:hAnsi="Book Antiqua"/>
          <w:sz w:val="22"/>
          <w:szCs w:val="22"/>
        </w:rPr>
        <w:t>,</w:t>
      </w:r>
    </w:p>
    <w:p w:rsidR="00795285" w:rsidRPr="00FB3DF8" w:rsidP="00795285">
      <w:pPr>
        <w:pStyle w:val="ListParagraph"/>
        <w:numPr>
          <w:numId w:val="22"/>
        </w:numPr>
        <w:bidi w:val="0"/>
        <w:spacing w:before="120" w:line="276" w:lineRule="auto"/>
        <w:jc w:val="both"/>
        <w:rPr>
          <w:rFonts w:ascii="Book Antiqua" w:hAnsi="Book Antiqua"/>
          <w:sz w:val="22"/>
          <w:szCs w:val="22"/>
        </w:rPr>
      </w:pPr>
      <w:r w:rsidRPr="00FB3DF8" w:rsidR="00174CAE">
        <w:rPr>
          <w:rFonts w:ascii="Book Antiqua" w:hAnsi="Book Antiqua"/>
          <w:sz w:val="22"/>
          <w:szCs w:val="22"/>
        </w:rPr>
        <w:t xml:space="preserve">v roku 2021 </w:t>
      </w:r>
      <w:r w:rsidRPr="00FB3DF8">
        <w:rPr>
          <w:rFonts w:ascii="Book Antiqua" w:hAnsi="Book Antiqua"/>
          <w:sz w:val="22"/>
          <w:szCs w:val="22"/>
        </w:rPr>
        <w:t xml:space="preserve">sumou </w:t>
      </w:r>
      <w:r w:rsidRPr="00FB3DF8" w:rsidR="00174CAE">
        <w:rPr>
          <w:rFonts w:ascii="Book Antiqua" w:hAnsi="Book Antiqua"/>
          <w:sz w:val="22"/>
          <w:szCs w:val="22"/>
        </w:rPr>
        <w:t xml:space="preserve">20% zo sumy </w:t>
      </w:r>
      <w:r w:rsidRPr="00FB3DF8" w:rsidR="00247D4C">
        <w:rPr>
          <w:rFonts w:ascii="Book Antiqua" w:hAnsi="Book Antiqua" w:cs="Arial"/>
          <w:sz w:val="22"/>
          <w:szCs w:val="22"/>
        </w:rPr>
        <w:t>materského</w:t>
      </w:r>
      <w:r w:rsidRPr="00FB3DF8" w:rsidR="00174CAE">
        <w:rPr>
          <w:rFonts w:ascii="Book Antiqua" w:hAnsi="Book Antiqua"/>
          <w:sz w:val="22"/>
          <w:szCs w:val="22"/>
        </w:rPr>
        <w:t>.</w:t>
      </w:r>
      <w:r w:rsidRPr="00FB3DF8">
        <w:rPr>
          <w:rFonts w:ascii="Book Antiqua" w:hAnsi="Book Antiqua"/>
          <w:sz w:val="22"/>
          <w:szCs w:val="22"/>
        </w:rPr>
        <w:t xml:space="preserve"> vznikol aj nárok na materské.</w:t>
      </w:r>
    </w:p>
    <w:p w:rsidR="00B200AF" w:rsidRPr="00FB3DF8" w:rsidP="00795285">
      <w:pPr>
        <w:bidi w:val="0"/>
        <w:spacing w:before="120" w:line="276" w:lineRule="auto"/>
        <w:ind w:firstLine="708"/>
        <w:jc w:val="both"/>
        <w:rPr>
          <w:rFonts w:ascii="Book Antiqua" w:hAnsi="Book Antiqua"/>
          <w:sz w:val="22"/>
          <w:szCs w:val="22"/>
          <w:u w:val="single"/>
        </w:rPr>
      </w:pPr>
      <w:r w:rsidRPr="00FB3DF8">
        <w:rPr>
          <w:rFonts w:ascii="Book Antiqua" w:hAnsi="Book Antiqua"/>
          <w:sz w:val="22"/>
          <w:szCs w:val="22"/>
        </w:rPr>
        <w:t xml:space="preserve">Od roku 2022 </w:t>
      </w:r>
      <w:r w:rsidRPr="00FB3DF8" w:rsidR="00795285">
        <w:rPr>
          <w:rFonts w:ascii="Book Antiqua" w:hAnsi="Book Antiqua"/>
          <w:sz w:val="22"/>
          <w:szCs w:val="22"/>
        </w:rPr>
        <w:t xml:space="preserve">by </w:t>
      </w:r>
      <w:r w:rsidRPr="00FB3DF8">
        <w:rPr>
          <w:rFonts w:ascii="Book Antiqua" w:hAnsi="Book Antiqua"/>
          <w:sz w:val="22"/>
          <w:szCs w:val="22"/>
        </w:rPr>
        <w:t xml:space="preserve">sa rodičovský príspevok </w:t>
      </w:r>
      <w:r w:rsidRPr="00FB3DF8" w:rsidR="00795285">
        <w:rPr>
          <w:rFonts w:ascii="Book Antiqua" w:hAnsi="Book Antiqua"/>
          <w:sz w:val="22"/>
          <w:szCs w:val="22"/>
        </w:rPr>
        <w:t>mal poskytovať</w:t>
      </w:r>
      <w:r w:rsidRPr="00FB3DF8">
        <w:rPr>
          <w:rFonts w:ascii="Book Antiqua" w:hAnsi="Book Antiqua"/>
          <w:sz w:val="22"/>
          <w:szCs w:val="22"/>
        </w:rPr>
        <w:t xml:space="preserve"> nekrátený.</w:t>
      </w:r>
    </w:p>
    <w:p w:rsidR="00795285" w:rsidRPr="00FB3DF8" w:rsidP="000A62BA">
      <w:pPr>
        <w:bidi w:val="0"/>
        <w:spacing w:before="120" w:line="276" w:lineRule="auto"/>
        <w:jc w:val="both"/>
        <w:rPr>
          <w:rFonts w:ascii="Book Antiqua" w:hAnsi="Book Antiqua"/>
          <w:sz w:val="22"/>
          <w:szCs w:val="22"/>
          <w:u w:val="single"/>
        </w:rPr>
      </w:pPr>
      <w:r w:rsidRPr="00FB3DF8">
        <w:rPr>
          <w:rFonts w:ascii="Book Antiqua" w:hAnsi="Book Antiqua"/>
          <w:sz w:val="22"/>
          <w:szCs w:val="22"/>
          <w:u w:val="single"/>
        </w:rPr>
        <w:t>K bodu 4</w:t>
      </w:r>
    </w:p>
    <w:p w:rsidR="00795285" w:rsidRPr="00FB3DF8" w:rsidP="000A62BA">
      <w:pPr>
        <w:bidi w:val="0"/>
        <w:spacing w:before="120" w:line="276" w:lineRule="auto"/>
        <w:jc w:val="both"/>
        <w:rPr>
          <w:rFonts w:ascii="Book Antiqua" w:hAnsi="Book Antiqua"/>
          <w:sz w:val="22"/>
          <w:szCs w:val="22"/>
        </w:rPr>
      </w:pPr>
      <w:r w:rsidRPr="00FB3DF8">
        <w:rPr>
          <w:rFonts w:ascii="Book Antiqua" w:hAnsi="Book Antiqua"/>
          <w:sz w:val="22"/>
          <w:szCs w:val="22"/>
        </w:rPr>
        <w:tab/>
        <w:t xml:space="preserve">Ide o legislatívne spresnenie, ktoré súvisí s právomocami Národnej banky Slovenska stanovovať referenčné výmenné kurzy vo vzťahu k tým zahraničným menám, vo vzťahu ku ktorým ich nestanovuje Európska centrálna banka. Doterajší odkaz v zákone nie je zavedený najpresnejšie a navyše sa odvoláva len na Čl. 12 ods. 12.1 </w:t>
      </w:r>
      <w:r w:rsidRPr="00FB3DF8">
        <w:rPr>
          <w:rFonts w:ascii="Book Antiqua" w:hAnsi="Book Antiqua" w:cs="Segoe UI"/>
          <w:sz w:val="22"/>
          <w:szCs w:val="22"/>
          <w:shd w:val="clear" w:color="auto" w:fill="FFFFFF"/>
        </w:rPr>
        <w:t>Protokolu o Štatúte Európskeho systému centrálnych bánk a Európskej centrálnej banky, ktorý zakotvuje právomoci Európskej centrálnej banky pri stanovovaní referen</w:t>
      </w:r>
      <w:r w:rsidRPr="00FB3DF8">
        <w:rPr>
          <w:rFonts w:ascii="Book Antiqua" w:hAnsi="Book Antiqua"/>
          <w:sz w:val="22"/>
          <w:szCs w:val="22"/>
          <w:shd w:val="clear" w:color="auto" w:fill="FFFFFF"/>
        </w:rPr>
        <w:t>č</w:t>
      </w:r>
      <w:r w:rsidRPr="00FB3DF8">
        <w:rPr>
          <w:rFonts w:ascii="Book Antiqua" w:hAnsi="Book Antiqua" w:cs="Segoe UI"/>
          <w:sz w:val="22"/>
          <w:szCs w:val="22"/>
          <w:shd w:val="clear" w:color="auto" w:fill="FFFFFF"/>
        </w:rPr>
        <w:t xml:space="preserve">ných výmenných kurzov </w:t>
      </w:r>
      <w:r w:rsidRPr="00FB3DF8">
        <w:rPr>
          <w:rFonts w:ascii="Book Antiqua" w:hAnsi="Book Antiqua"/>
          <w:sz w:val="22"/>
          <w:szCs w:val="22"/>
          <w:shd w:val="clear" w:color="auto" w:fill="FFFFFF"/>
        </w:rPr>
        <w:t>ň</w:t>
      </w:r>
      <w:r w:rsidRPr="00FB3DF8">
        <w:rPr>
          <w:rFonts w:ascii="Book Antiqua" w:hAnsi="Book Antiqua" w:cs="Segoe UI"/>
          <w:sz w:val="22"/>
          <w:szCs w:val="22"/>
          <w:shd w:val="clear" w:color="auto" w:fill="FFFFFF"/>
        </w:rPr>
        <w:t>ou vybraných mien v rámci regulácie menovej politiky. Právomoci Národnej banky Slovenska vo vz</w:t>
      </w:r>
      <w:r w:rsidRPr="00FB3DF8">
        <w:rPr>
          <w:rFonts w:ascii="Book Antiqua" w:hAnsi="Book Antiqua"/>
          <w:sz w:val="22"/>
          <w:szCs w:val="22"/>
          <w:shd w:val="clear" w:color="auto" w:fill="FFFFFF"/>
        </w:rPr>
        <w:t>ť</w:t>
      </w:r>
      <w:r w:rsidRPr="00FB3DF8">
        <w:rPr>
          <w:rFonts w:ascii="Book Antiqua" w:hAnsi="Book Antiqua" w:cs="Segoe UI"/>
          <w:sz w:val="22"/>
          <w:szCs w:val="22"/>
          <w:shd w:val="clear" w:color="auto" w:fill="FFFFFF"/>
        </w:rPr>
        <w:t>ahu k stanovovaniu referen</w:t>
      </w:r>
      <w:r w:rsidRPr="00FB3DF8">
        <w:rPr>
          <w:rFonts w:ascii="Book Antiqua" w:hAnsi="Book Antiqua"/>
          <w:sz w:val="22"/>
          <w:szCs w:val="22"/>
          <w:shd w:val="clear" w:color="auto" w:fill="FFFFFF"/>
        </w:rPr>
        <w:t>č</w:t>
      </w:r>
      <w:r w:rsidRPr="00FB3DF8">
        <w:rPr>
          <w:rFonts w:ascii="Book Antiqua" w:hAnsi="Book Antiqua" w:cs="Segoe UI"/>
          <w:sz w:val="22"/>
          <w:szCs w:val="22"/>
          <w:shd w:val="clear" w:color="auto" w:fill="FFFFFF"/>
        </w:rPr>
        <w:t xml:space="preserve">ných výmenných kurzov </w:t>
      </w:r>
      <w:r w:rsidRPr="00FB3DF8" w:rsidR="002E02FD">
        <w:rPr>
          <w:rFonts w:ascii="Book Antiqua" w:hAnsi="Book Antiqua" w:cs="Segoe UI"/>
          <w:sz w:val="22"/>
          <w:szCs w:val="22"/>
          <w:shd w:val="clear" w:color="auto" w:fill="FFFFFF"/>
        </w:rPr>
        <w:t>ostatných zahrani</w:t>
      </w:r>
      <w:r w:rsidRPr="00FB3DF8" w:rsidR="002E02FD">
        <w:rPr>
          <w:rFonts w:ascii="Book Antiqua" w:hAnsi="Book Antiqua"/>
          <w:sz w:val="22"/>
          <w:szCs w:val="22"/>
          <w:shd w:val="clear" w:color="auto" w:fill="FFFFFF"/>
        </w:rPr>
        <w:t>č</w:t>
      </w:r>
      <w:r w:rsidRPr="00FB3DF8" w:rsidR="002E02FD">
        <w:rPr>
          <w:rFonts w:ascii="Book Antiqua" w:hAnsi="Book Antiqua" w:cs="Segoe UI"/>
          <w:sz w:val="22"/>
          <w:szCs w:val="22"/>
          <w:shd w:val="clear" w:color="auto" w:fill="FFFFFF"/>
        </w:rPr>
        <w:t xml:space="preserve">ných mien sú však zakotvené v § 28 ods. 2 a </w:t>
      </w:r>
      <w:hyperlink r:id="rId4" w:anchor="paragraf-49" w:tooltip="Odkaz na predpis alebo ustanovenie" w:history="1">
        <w:r w:rsidRPr="00FB3DF8" w:rsidR="002E02FD">
          <w:rPr>
            <w:rStyle w:val="Hyperlink"/>
            <w:rFonts w:ascii="Book Antiqua" w:hAnsi="Book Antiqua" w:cs="Segoe UI"/>
            <w:iCs/>
            <w:color w:val="auto"/>
            <w:sz w:val="22"/>
            <w:szCs w:val="22"/>
            <w:u w:val="none"/>
            <w:shd w:val="clear" w:color="auto" w:fill="FFFFFF"/>
          </w:rPr>
          <w:t>§ 49a</w:t>
        </w:r>
      </w:hyperlink>
      <w:r w:rsidRPr="00FB3DF8" w:rsidR="002E02FD">
        <w:rPr>
          <w:rFonts w:ascii="Book Antiqua" w:hAnsi="Book Antiqua" w:cs="Segoe UI"/>
          <w:sz w:val="22"/>
          <w:szCs w:val="22"/>
          <w:shd w:val="clear" w:color="auto" w:fill="FFFFFF"/>
        </w:rPr>
        <w:t xml:space="preserve">b ods. 6 zákona Národnej rady Slovenskej republiky </w:t>
      </w:r>
      <w:r w:rsidRPr="00FB3DF8" w:rsidR="002E02FD">
        <w:rPr>
          <w:rFonts w:ascii="Book Antiqua" w:hAnsi="Book Antiqua"/>
          <w:sz w:val="22"/>
          <w:szCs w:val="22"/>
          <w:shd w:val="clear" w:color="auto" w:fill="FFFFFF"/>
        </w:rPr>
        <w:t>č</w:t>
      </w:r>
      <w:r w:rsidRPr="00FB3DF8" w:rsidR="002E02FD">
        <w:rPr>
          <w:rFonts w:ascii="Book Antiqua" w:hAnsi="Book Antiqua" w:cs="Segoe UI"/>
          <w:sz w:val="22"/>
          <w:szCs w:val="22"/>
          <w:shd w:val="clear" w:color="auto" w:fill="FFFFFF"/>
        </w:rPr>
        <w:t>. </w:t>
      </w:r>
      <w:hyperlink r:id="rId4" w:tooltip="Odkaz na predpis alebo ustanovenie" w:history="1">
        <w:r w:rsidRPr="00FB3DF8" w:rsidR="002E02FD">
          <w:rPr>
            <w:rStyle w:val="Hyperlink"/>
            <w:rFonts w:ascii="Book Antiqua" w:hAnsi="Book Antiqua" w:cs="Segoe UI"/>
            <w:iCs/>
            <w:color w:val="auto"/>
            <w:sz w:val="22"/>
            <w:szCs w:val="22"/>
            <w:u w:val="none"/>
            <w:shd w:val="clear" w:color="auto" w:fill="FFFFFF"/>
          </w:rPr>
          <w:t>566/1992 Zb.</w:t>
        </w:r>
      </w:hyperlink>
      <w:r w:rsidRPr="00FB3DF8" w:rsidR="002E02FD">
        <w:rPr>
          <w:rFonts w:ascii="Book Antiqua" w:hAnsi="Book Antiqua" w:cs="Segoe UI"/>
          <w:sz w:val="22"/>
          <w:szCs w:val="22"/>
          <w:shd w:val="clear" w:color="auto" w:fill="FFFFFF"/>
        </w:rPr>
        <w:t xml:space="preserve"> v znení zákona </w:t>
      </w:r>
      <w:r w:rsidRPr="00FB3DF8" w:rsidR="002E02FD">
        <w:rPr>
          <w:rFonts w:ascii="Book Antiqua" w:hAnsi="Book Antiqua"/>
          <w:sz w:val="22"/>
          <w:szCs w:val="22"/>
          <w:shd w:val="clear" w:color="auto" w:fill="FFFFFF"/>
        </w:rPr>
        <w:t>č</w:t>
      </w:r>
      <w:r w:rsidRPr="00FB3DF8" w:rsidR="002E02FD">
        <w:rPr>
          <w:rFonts w:ascii="Book Antiqua" w:hAnsi="Book Antiqua" w:cs="Segoe UI"/>
          <w:sz w:val="22"/>
          <w:szCs w:val="22"/>
          <w:shd w:val="clear" w:color="auto" w:fill="FFFFFF"/>
        </w:rPr>
        <w:t>. </w:t>
      </w:r>
      <w:hyperlink r:id="rId5" w:tooltip="Odkaz na predpis alebo ustanovenie" w:history="1">
        <w:r w:rsidRPr="00FB3DF8" w:rsidR="002E02FD">
          <w:rPr>
            <w:rStyle w:val="Hyperlink"/>
            <w:rFonts w:ascii="Book Antiqua" w:hAnsi="Book Antiqua" w:cs="Segoe UI"/>
            <w:iCs/>
            <w:color w:val="auto"/>
            <w:sz w:val="22"/>
            <w:szCs w:val="22"/>
            <w:u w:val="none"/>
            <w:shd w:val="clear" w:color="auto" w:fill="FFFFFF"/>
          </w:rPr>
          <w:t>659/2007 Z. z.</w:t>
        </w:r>
      </w:hyperlink>
      <w:r w:rsidRPr="00FB3DF8" w:rsidR="00DC3425">
        <w:rPr>
          <w:rFonts w:ascii="Book Antiqua" w:hAnsi="Book Antiqua"/>
          <w:sz w:val="22"/>
          <w:szCs w:val="22"/>
        </w:rPr>
        <w:t xml:space="preserve"> Spresnenie týkajúce sa referenčných výmenných kurzov je dôležité aj z hľadiska Čl. I bodov 2 a 3 tohto návrhu zákona pri prepočtoch súm obdobných dávok ako materské v iných ako členských štátoch.</w:t>
      </w:r>
    </w:p>
    <w:p w:rsidR="00F1515A" w:rsidRPr="00FB3DF8" w:rsidP="000A62BA">
      <w:pPr>
        <w:bidi w:val="0"/>
        <w:spacing w:before="120" w:line="276" w:lineRule="auto"/>
        <w:jc w:val="both"/>
        <w:rPr>
          <w:rFonts w:ascii="Book Antiqua" w:hAnsi="Book Antiqua"/>
          <w:sz w:val="22"/>
          <w:szCs w:val="22"/>
          <w:u w:val="single"/>
        </w:rPr>
      </w:pPr>
      <w:r w:rsidRPr="00FB3DF8" w:rsidR="00B200AF">
        <w:rPr>
          <w:rFonts w:ascii="Book Antiqua" w:hAnsi="Book Antiqua"/>
          <w:sz w:val="22"/>
          <w:szCs w:val="22"/>
          <w:u w:val="single"/>
        </w:rPr>
        <w:t>K bodu</w:t>
      </w:r>
      <w:r w:rsidRPr="00FB3DF8" w:rsidR="00795285">
        <w:rPr>
          <w:rFonts w:ascii="Book Antiqua" w:hAnsi="Book Antiqua"/>
          <w:sz w:val="22"/>
          <w:szCs w:val="22"/>
          <w:u w:val="single"/>
        </w:rPr>
        <w:t xml:space="preserve"> 5</w:t>
      </w:r>
      <w:r w:rsidRPr="00FB3DF8">
        <w:rPr>
          <w:rFonts w:ascii="Book Antiqua" w:hAnsi="Book Antiqua"/>
          <w:sz w:val="22"/>
          <w:szCs w:val="22"/>
          <w:u w:val="single"/>
        </w:rPr>
        <w:t xml:space="preserve"> </w:t>
      </w:r>
    </w:p>
    <w:p w:rsidR="00F1515A" w:rsidRPr="00FB3DF8" w:rsidP="000A62BA">
      <w:pPr>
        <w:widowControl w:val="0"/>
        <w:bidi w:val="0"/>
        <w:adjustRightInd w:val="0"/>
        <w:spacing w:before="120" w:line="276" w:lineRule="auto"/>
        <w:ind w:firstLine="709"/>
        <w:jc w:val="both"/>
        <w:rPr>
          <w:rFonts w:ascii="Book Antiqua" w:hAnsi="Book Antiqua"/>
          <w:sz w:val="22"/>
          <w:szCs w:val="22"/>
        </w:rPr>
      </w:pPr>
      <w:r w:rsidRPr="00FB3DF8" w:rsidR="00A91DF0">
        <w:rPr>
          <w:rFonts w:ascii="Book Antiqua" w:hAnsi="Book Antiqua"/>
          <w:sz w:val="22"/>
          <w:szCs w:val="22"/>
        </w:rPr>
        <w:t xml:space="preserve">V prechodných ustanoveniach v § </w:t>
      </w:r>
      <w:r w:rsidRPr="00FB3DF8" w:rsidR="00B200AF">
        <w:rPr>
          <w:rFonts w:ascii="Book Antiqua" w:hAnsi="Book Antiqua"/>
          <w:sz w:val="22"/>
          <w:szCs w:val="22"/>
        </w:rPr>
        <w:t>12c</w:t>
      </w:r>
      <w:r w:rsidRPr="00FB3DF8" w:rsidR="00A91DF0">
        <w:rPr>
          <w:rFonts w:ascii="Book Antiqua" w:hAnsi="Book Antiqua"/>
          <w:sz w:val="22"/>
          <w:szCs w:val="22"/>
        </w:rPr>
        <w:t xml:space="preserve"> sa rieši vplyv predloženého návrhu zákona na právne vzťahy upravené doterajším zákonom. </w:t>
      </w:r>
      <w:r w:rsidRPr="00FB3DF8" w:rsidR="00B200AF">
        <w:rPr>
          <w:rFonts w:ascii="Book Antiqua" w:hAnsi="Book Antiqua"/>
          <w:sz w:val="22"/>
          <w:szCs w:val="22"/>
        </w:rPr>
        <w:t xml:space="preserve">Zároveň sa ustanovuje, že prvýkrát sa rodičovský príspevok podľa navrhovaného zákona za január 2018 vyplatí vo februári 2018. </w:t>
      </w:r>
    </w:p>
    <w:p w:rsidR="00B200AF" w:rsidRPr="00FB3DF8" w:rsidP="000A62BA">
      <w:pPr>
        <w:bidi w:val="0"/>
        <w:spacing w:before="120" w:line="276" w:lineRule="auto"/>
        <w:jc w:val="both"/>
        <w:rPr>
          <w:rFonts w:ascii="Book Antiqua" w:hAnsi="Book Antiqua"/>
          <w:b/>
          <w:sz w:val="22"/>
          <w:szCs w:val="22"/>
        </w:rPr>
      </w:pPr>
    </w:p>
    <w:p w:rsidR="00EB0847" w:rsidRPr="00FB3DF8" w:rsidP="000A62BA">
      <w:pPr>
        <w:bidi w:val="0"/>
        <w:spacing w:before="120" w:line="276" w:lineRule="auto"/>
        <w:jc w:val="both"/>
        <w:rPr>
          <w:rFonts w:ascii="Book Antiqua" w:hAnsi="Book Antiqua"/>
          <w:b/>
          <w:sz w:val="22"/>
          <w:szCs w:val="22"/>
        </w:rPr>
      </w:pPr>
      <w:r w:rsidRPr="00FB3DF8">
        <w:rPr>
          <w:rFonts w:ascii="Book Antiqua" w:hAnsi="Book Antiqua"/>
          <w:b/>
          <w:sz w:val="22"/>
          <w:szCs w:val="22"/>
        </w:rPr>
        <w:t>K Čl. II</w:t>
      </w:r>
    </w:p>
    <w:p w:rsidR="00EB0847" w:rsidRPr="00FB3DF8" w:rsidP="000A62BA">
      <w:pPr>
        <w:pStyle w:val="NormalWeb"/>
        <w:bidi w:val="0"/>
        <w:spacing w:before="120" w:beforeAutospacing="0" w:after="0" w:afterAutospacing="0" w:line="276" w:lineRule="auto"/>
        <w:ind w:firstLine="708"/>
        <w:jc w:val="both"/>
        <w:rPr>
          <w:rFonts w:ascii="Book Antiqua" w:hAnsi="Book Antiqua"/>
          <w:b/>
          <w:bCs/>
          <w:caps/>
          <w:color w:val="000000"/>
          <w:spacing w:val="30"/>
          <w:sz w:val="22"/>
          <w:szCs w:val="22"/>
        </w:rPr>
      </w:pPr>
      <w:r w:rsidRPr="00FB3DF8">
        <w:rPr>
          <w:rFonts w:ascii="Book Antiqua" w:hAnsi="Book Antiqua"/>
          <w:bCs/>
          <w:sz w:val="22"/>
          <w:szCs w:val="22"/>
        </w:rPr>
        <w:t>Navrhuje sa účinnosť predkladaného návrhu zákona so zohľadnením potrebnej dĺžky legisvakančnej lehoty na</w:t>
      </w:r>
      <w:r w:rsidRPr="00FB3DF8" w:rsidR="007F4581">
        <w:rPr>
          <w:rFonts w:ascii="Book Antiqua" w:hAnsi="Book Antiqua"/>
          <w:sz w:val="22"/>
          <w:szCs w:val="22"/>
        </w:rPr>
        <w:t xml:space="preserve"> 1. </w:t>
      </w:r>
      <w:r w:rsidRPr="00FB3DF8" w:rsidR="000F3B98">
        <w:rPr>
          <w:rFonts w:ascii="Book Antiqua" w:hAnsi="Book Antiqua"/>
          <w:sz w:val="22"/>
          <w:szCs w:val="22"/>
        </w:rPr>
        <w:t>januára 2018</w:t>
      </w:r>
      <w:r w:rsidRPr="00FB3DF8">
        <w:rPr>
          <w:rFonts w:ascii="Book Antiqua" w:hAnsi="Book Antiqua"/>
          <w:sz w:val="22"/>
          <w:szCs w:val="22"/>
        </w:rPr>
        <w:t>.</w:t>
      </w:r>
      <w:r w:rsidRPr="00FB3DF8" w:rsidR="00600D0C">
        <w:rPr>
          <w:rFonts w:ascii="Book Antiqua" w:hAnsi="Book Antiqua"/>
          <w:sz w:val="22"/>
          <w:szCs w:val="22"/>
        </w:rPr>
        <w:t xml:space="preserve"> </w:t>
      </w:r>
    </w:p>
    <w:p w:rsidR="00254542" w:rsidRPr="00FB3DF8" w:rsidP="000A62BA">
      <w:pPr>
        <w:bidi w:val="0"/>
        <w:spacing w:before="120" w:line="276" w:lineRule="auto"/>
        <w:jc w:val="center"/>
        <w:rPr>
          <w:rFonts w:ascii="Book Antiqua" w:hAnsi="Book Antiqua"/>
          <w:b/>
          <w:bCs/>
          <w:caps/>
          <w:spacing w:val="30"/>
          <w:sz w:val="22"/>
          <w:szCs w:val="22"/>
        </w:rPr>
      </w:pPr>
    </w:p>
    <w:p w:rsidR="00254542" w:rsidRPr="00FB3DF8" w:rsidP="000A62BA">
      <w:pPr>
        <w:bidi w:val="0"/>
        <w:spacing w:before="120" w:line="276" w:lineRule="auto"/>
        <w:jc w:val="center"/>
        <w:rPr>
          <w:rFonts w:ascii="Book Antiqua" w:hAnsi="Book Antiqua"/>
          <w:b/>
          <w:bCs/>
          <w:caps/>
          <w:spacing w:val="30"/>
          <w:sz w:val="22"/>
          <w:szCs w:val="22"/>
        </w:rPr>
      </w:pPr>
    </w:p>
    <w:p w:rsidR="00254542" w:rsidRPr="00FB3DF8" w:rsidP="000A62BA">
      <w:pPr>
        <w:bidi w:val="0"/>
        <w:spacing w:before="120" w:line="276" w:lineRule="auto"/>
        <w:jc w:val="center"/>
        <w:rPr>
          <w:rFonts w:ascii="Book Antiqua" w:hAnsi="Book Antiqua"/>
          <w:b/>
          <w:bCs/>
          <w:caps/>
          <w:spacing w:val="30"/>
          <w:sz w:val="22"/>
          <w:szCs w:val="22"/>
        </w:rPr>
      </w:pPr>
    </w:p>
    <w:p w:rsidR="0017112C" w:rsidRPr="00FB3DF8" w:rsidP="000A62BA">
      <w:pPr>
        <w:bidi w:val="0"/>
        <w:spacing w:before="120" w:line="276" w:lineRule="auto"/>
        <w:jc w:val="center"/>
        <w:rPr>
          <w:rFonts w:ascii="Book Antiqua" w:hAnsi="Book Antiqua"/>
          <w:b/>
          <w:bCs/>
          <w:caps/>
          <w:spacing w:val="30"/>
          <w:sz w:val="22"/>
          <w:szCs w:val="22"/>
        </w:rPr>
      </w:pPr>
    </w:p>
    <w:p w:rsidR="0017112C" w:rsidRPr="00FB3DF8" w:rsidP="000A62BA">
      <w:pPr>
        <w:bidi w:val="0"/>
        <w:spacing w:before="120" w:line="276" w:lineRule="auto"/>
        <w:jc w:val="center"/>
        <w:rPr>
          <w:rFonts w:ascii="Book Antiqua" w:hAnsi="Book Antiqua"/>
          <w:b/>
          <w:bCs/>
          <w:caps/>
          <w:spacing w:val="30"/>
          <w:sz w:val="22"/>
          <w:szCs w:val="22"/>
        </w:rPr>
      </w:pPr>
    </w:p>
    <w:p w:rsidR="0017112C" w:rsidRPr="00FB3DF8" w:rsidP="000A62BA">
      <w:pPr>
        <w:bidi w:val="0"/>
        <w:spacing w:before="120" w:line="276" w:lineRule="auto"/>
        <w:jc w:val="center"/>
        <w:rPr>
          <w:rFonts w:ascii="Book Antiqua" w:hAnsi="Book Antiqua"/>
          <w:b/>
          <w:bCs/>
          <w:caps/>
          <w:spacing w:val="30"/>
          <w:sz w:val="22"/>
          <w:szCs w:val="22"/>
        </w:rPr>
      </w:pPr>
    </w:p>
    <w:p w:rsidR="0017112C" w:rsidRPr="00FB3DF8" w:rsidP="000A62BA">
      <w:pPr>
        <w:bidi w:val="0"/>
        <w:spacing w:before="120" w:line="276" w:lineRule="auto"/>
        <w:rPr>
          <w:rFonts w:ascii="Book Antiqua" w:hAnsi="Book Antiqua"/>
          <w:b/>
          <w:bCs/>
          <w:caps/>
          <w:spacing w:val="30"/>
          <w:sz w:val="22"/>
          <w:szCs w:val="22"/>
        </w:rPr>
      </w:pPr>
    </w:p>
    <w:p w:rsidR="00053A22" w:rsidRPr="00FB3DF8" w:rsidP="000A62BA">
      <w:pPr>
        <w:bidi w:val="0"/>
        <w:spacing w:before="120" w:line="276" w:lineRule="auto"/>
        <w:jc w:val="center"/>
        <w:rPr>
          <w:rFonts w:ascii="Book Antiqua" w:hAnsi="Book Antiqua"/>
          <w:b/>
          <w:bCs/>
          <w:caps/>
          <w:spacing w:val="30"/>
          <w:sz w:val="22"/>
          <w:szCs w:val="22"/>
        </w:rPr>
      </w:pPr>
    </w:p>
    <w:p w:rsidR="00053A22" w:rsidRPr="00FB3DF8" w:rsidP="000A62BA">
      <w:pPr>
        <w:bidi w:val="0"/>
        <w:spacing w:before="120" w:line="276" w:lineRule="auto"/>
        <w:jc w:val="center"/>
        <w:rPr>
          <w:rFonts w:ascii="Book Antiqua" w:hAnsi="Book Antiqua"/>
          <w:b/>
          <w:bCs/>
          <w:caps/>
          <w:spacing w:val="30"/>
          <w:sz w:val="22"/>
          <w:szCs w:val="22"/>
        </w:rPr>
      </w:pPr>
    </w:p>
    <w:p w:rsidR="00053A22" w:rsidRPr="00FB3DF8" w:rsidP="000A62BA">
      <w:pPr>
        <w:bidi w:val="0"/>
        <w:spacing w:before="120" w:line="276" w:lineRule="auto"/>
        <w:jc w:val="center"/>
        <w:rPr>
          <w:rFonts w:ascii="Book Antiqua" w:hAnsi="Book Antiqua"/>
          <w:b/>
          <w:bCs/>
          <w:caps/>
          <w:spacing w:val="30"/>
          <w:sz w:val="22"/>
          <w:szCs w:val="22"/>
        </w:rPr>
      </w:pPr>
    </w:p>
    <w:p w:rsidR="009062C7" w:rsidRPr="00FB3DF8" w:rsidP="000A62BA">
      <w:pPr>
        <w:bidi w:val="0"/>
        <w:spacing w:before="120" w:line="276" w:lineRule="auto"/>
        <w:jc w:val="center"/>
        <w:rPr>
          <w:rFonts w:ascii="Book Antiqua" w:hAnsi="Book Antiqua"/>
          <w:b/>
          <w:bCs/>
          <w:caps/>
          <w:spacing w:val="30"/>
          <w:sz w:val="22"/>
          <w:szCs w:val="22"/>
        </w:rPr>
      </w:pPr>
    </w:p>
    <w:p w:rsidR="00EB0847" w:rsidRPr="00FB3DF8" w:rsidP="00FB3DF8">
      <w:pPr>
        <w:bidi w:val="0"/>
        <w:spacing w:before="120" w:line="276" w:lineRule="auto"/>
        <w:jc w:val="center"/>
        <w:rPr>
          <w:rFonts w:ascii="Book Antiqua" w:hAnsi="Book Antiqua"/>
          <w:sz w:val="22"/>
          <w:szCs w:val="22"/>
        </w:rPr>
      </w:pPr>
      <w:r w:rsidRPr="00FB3DF8" w:rsidR="00B21B9A">
        <w:rPr>
          <w:rFonts w:ascii="Book Antiqua" w:hAnsi="Book Antiqua"/>
          <w:b/>
          <w:bCs/>
          <w:caps/>
          <w:spacing w:val="30"/>
          <w:sz w:val="22"/>
          <w:szCs w:val="22"/>
        </w:rPr>
        <w:br w:type="page"/>
      </w:r>
      <w:r w:rsidRPr="00FB3DF8">
        <w:rPr>
          <w:rFonts w:ascii="Book Antiqua" w:hAnsi="Book Antiqua"/>
          <w:b/>
          <w:bCs/>
          <w:caps/>
          <w:spacing w:val="30"/>
          <w:sz w:val="22"/>
          <w:szCs w:val="22"/>
        </w:rPr>
        <w:t>DOLOŽKA ZLUČITEĽNOSTI</w:t>
      </w:r>
    </w:p>
    <w:p w:rsidR="00EB0847" w:rsidRPr="00FB3DF8" w:rsidP="00FB3DF8">
      <w:pPr>
        <w:pStyle w:val="NormalWeb"/>
        <w:bidi w:val="0"/>
        <w:spacing w:before="120" w:beforeAutospacing="0" w:after="0" w:afterAutospacing="0" w:line="276" w:lineRule="auto"/>
        <w:jc w:val="center"/>
        <w:rPr>
          <w:rFonts w:ascii="Book Antiqua" w:hAnsi="Book Antiqua"/>
          <w:sz w:val="22"/>
          <w:szCs w:val="22"/>
        </w:rPr>
      </w:pPr>
      <w:r w:rsidRPr="00FB3DF8">
        <w:rPr>
          <w:rFonts w:ascii="Book Antiqua" w:hAnsi="Book Antiqua"/>
          <w:b/>
          <w:bCs/>
          <w:sz w:val="22"/>
          <w:szCs w:val="22"/>
        </w:rPr>
        <w:t>návrhu zákona</w:t>
      </w:r>
      <w:r w:rsidRPr="00FB3DF8">
        <w:rPr>
          <w:rFonts w:ascii="Book Antiqua" w:hAnsi="Book Antiqua"/>
          <w:sz w:val="22"/>
          <w:szCs w:val="22"/>
        </w:rPr>
        <w:t xml:space="preserve"> </w:t>
      </w:r>
      <w:r w:rsidRPr="00FB3DF8">
        <w:rPr>
          <w:rFonts w:ascii="Book Antiqua" w:hAnsi="Book Antiqua"/>
          <w:b/>
          <w:bCs/>
          <w:sz w:val="22"/>
          <w:szCs w:val="22"/>
        </w:rPr>
        <w:t>s právom Európskej únie</w:t>
      </w:r>
    </w:p>
    <w:p w:rsidR="00EB0847" w:rsidRPr="00FB3DF8" w:rsidP="00FB3DF8">
      <w:pPr>
        <w:pStyle w:val="NormalWeb"/>
        <w:bidi w:val="0"/>
        <w:spacing w:before="120" w:beforeAutospacing="0" w:after="0" w:afterAutospacing="0" w:line="276" w:lineRule="auto"/>
        <w:jc w:val="both"/>
        <w:rPr>
          <w:rFonts w:ascii="Book Antiqua" w:hAnsi="Book Antiqua"/>
          <w:sz w:val="22"/>
          <w:szCs w:val="22"/>
        </w:rPr>
      </w:pPr>
      <w:r w:rsidRPr="00FB3DF8">
        <w:rPr>
          <w:rFonts w:ascii="Book Antiqua" w:hAnsi="Book Antiqua"/>
          <w:sz w:val="22"/>
          <w:szCs w:val="22"/>
        </w:rPr>
        <w:t> </w:t>
      </w:r>
    </w:p>
    <w:p w:rsidR="00EB0847" w:rsidRPr="00FB3DF8" w:rsidP="00FB3DF8">
      <w:pPr>
        <w:pStyle w:val="NormalWeb"/>
        <w:bidi w:val="0"/>
        <w:spacing w:before="120" w:beforeAutospacing="0" w:after="0" w:afterAutospacing="0" w:line="276" w:lineRule="auto"/>
        <w:jc w:val="both"/>
        <w:rPr>
          <w:rFonts w:ascii="Book Antiqua" w:hAnsi="Book Antiqua"/>
          <w:color w:val="FF0000"/>
          <w:sz w:val="22"/>
          <w:szCs w:val="22"/>
        </w:rPr>
      </w:pPr>
      <w:r w:rsidRPr="00FB3DF8">
        <w:rPr>
          <w:rFonts w:ascii="Book Antiqua" w:hAnsi="Book Antiqua"/>
          <w:b/>
          <w:bCs/>
          <w:sz w:val="22"/>
          <w:szCs w:val="22"/>
        </w:rPr>
        <w:t>1. Navrhovateľ zákona:</w:t>
      </w:r>
      <w:r w:rsidRPr="00FB3DF8">
        <w:rPr>
          <w:rFonts w:ascii="Book Antiqua" w:hAnsi="Book Antiqua"/>
          <w:sz w:val="22"/>
          <w:szCs w:val="22"/>
        </w:rPr>
        <w:t xml:space="preserve"> </w:t>
      </w:r>
      <w:r w:rsidRPr="00FB3DF8" w:rsidR="003558F0">
        <w:rPr>
          <w:rFonts w:ascii="Book Antiqua" w:hAnsi="Book Antiqua"/>
          <w:sz w:val="22"/>
          <w:szCs w:val="22"/>
        </w:rPr>
        <w:t xml:space="preserve">skupina </w:t>
      </w:r>
      <w:r w:rsidRPr="00FB3DF8" w:rsidR="003558F0">
        <w:rPr>
          <w:rFonts w:ascii="Book Antiqua" w:hAnsi="Book Antiqua" w:cs="Book Antiqua"/>
          <w:sz w:val="22"/>
          <w:szCs w:val="22"/>
        </w:rPr>
        <w:t>poslancov Národnej rady Slovenskej repub</w:t>
      </w:r>
      <w:r w:rsidRPr="00FB3DF8" w:rsidR="007F4581">
        <w:rPr>
          <w:rFonts w:ascii="Book Antiqua" w:hAnsi="Book Antiqua" w:cs="Book Antiqua"/>
          <w:sz w:val="22"/>
          <w:szCs w:val="22"/>
        </w:rPr>
        <w:t>liky</w:t>
      </w:r>
    </w:p>
    <w:p w:rsidR="00EB0847" w:rsidRPr="00FB3DF8" w:rsidP="00FB3DF8">
      <w:pPr>
        <w:pStyle w:val="NormalWeb"/>
        <w:bidi w:val="0"/>
        <w:spacing w:before="120" w:beforeAutospacing="0" w:after="0" w:afterAutospacing="0" w:line="276" w:lineRule="auto"/>
        <w:jc w:val="both"/>
        <w:rPr>
          <w:rFonts w:ascii="Book Antiqua" w:hAnsi="Book Antiqua"/>
          <w:sz w:val="22"/>
          <w:szCs w:val="22"/>
        </w:rPr>
      </w:pPr>
    </w:p>
    <w:p w:rsidR="00EB0847" w:rsidRPr="00FB3DF8" w:rsidP="00FB3DF8">
      <w:pPr>
        <w:pStyle w:val="NormalWeb"/>
        <w:bidi w:val="0"/>
        <w:spacing w:before="120" w:beforeAutospacing="0" w:after="0" w:afterAutospacing="0" w:line="276" w:lineRule="auto"/>
        <w:jc w:val="both"/>
        <w:rPr>
          <w:rFonts w:ascii="Book Antiqua" w:hAnsi="Book Antiqua"/>
          <w:sz w:val="22"/>
          <w:szCs w:val="22"/>
        </w:rPr>
      </w:pPr>
      <w:r w:rsidRPr="00FB3DF8">
        <w:rPr>
          <w:rFonts w:ascii="Book Antiqua" w:hAnsi="Book Antiqua"/>
          <w:b/>
          <w:bCs/>
          <w:sz w:val="22"/>
          <w:szCs w:val="22"/>
        </w:rPr>
        <w:t>2. Názov návrhu zákona:</w:t>
      </w:r>
      <w:r w:rsidRPr="00FB3DF8">
        <w:rPr>
          <w:rFonts w:ascii="Book Antiqua" w:hAnsi="Book Antiqua"/>
          <w:sz w:val="22"/>
          <w:szCs w:val="22"/>
        </w:rPr>
        <w:t xml:space="preserve"> návrh zákona, </w:t>
      </w:r>
      <w:r w:rsidRPr="00FB3DF8" w:rsidR="00542707">
        <w:rPr>
          <w:rFonts w:ascii="Book Antiqua" w:hAnsi="Book Antiqua"/>
          <w:sz w:val="22"/>
          <w:szCs w:val="22"/>
        </w:rPr>
        <w:t xml:space="preserve">ktorým sa mení a dopĺňa </w:t>
      </w:r>
      <w:r w:rsidRPr="00FB3DF8" w:rsidR="00542707">
        <w:rPr>
          <w:rFonts w:ascii="Book Antiqua" w:hAnsi="Book Antiqua"/>
          <w:bCs/>
          <w:iCs/>
          <w:sz w:val="22"/>
          <w:szCs w:val="22"/>
          <w:lang w:eastAsia="cs-CZ"/>
        </w:rPr>
        <w:t>zákon č. 571/2009 Z. z. o rodičovskom príspevku a o zmene a doplnení niektorých zákonov</w:t>
      </w:r>
      <w:r w:rsidRPr="00FB3DF8" w:rsidR="00542707">
        <w:rPr>
          <w:rFonts w:ascii="Book Antiqua" w:hAnsi="Book Antiqua"/>
          <w:sz w:val="22"/>
          <w:szCs w:val="22"/>
        </w:rPr>
        <w:t xml:space="preserve"> v znení neskorších predpisov</w:t>
      </w:r>
    </w:p>
    <w:p w:rsidR="00EB0847" w:rsidRPr="00FB3DF8" w:rsidP="00FB3DF8">
      <w:pPr>
        <w:bidi w:val="0"/>
        <w:spacing w:before="120" w:line="276" w:lineRule="auto"/>
        <w:jc w:val="both"/>
        <w:rPr>
          <w:rFonts w:ascii="Book Antiqua" w:hAnsi="Book Antiqua"/>
          <w:sz w:val="22"/>
          <w:szCs w:val="22"/>
        </w:rPr>
      </w:pPr>
    </w:p>
    <w:p w:rsidR="00334A3C" w:rsidRPr="00FB3DF8" w:rsidP="00FB3DF8">
      <w:pPr>
        <w:pStyle w:val="NormalWeb"/>
        <w:bidi w:val="0"/>
        <w:spacing w:before="120" w:beforeAutospacing="0" w:after="0" w:afterAutospacing="0" w:line="276" w:lineRule="auto"/>
        <w:jc w:val="both"/>
        <w:rPr>
          <w:rFonts w:ascii="Book Antiqua" w:hAnsi="Book Antiqua"/>
          <w:b/>
          <w:bCs/>
          <w:sz w:val="22"/>
          <w:szCs w:val="22"/>
        </w:rPr>
      </w:pPr>
      <w:r w:rsidRPr="00FB3DF8">
        <w:rPr>
          <w:rFonts w:ascii="Book Antiqua" w:hAnsi="Book Antiqua"/>
          <w:b/>
          <w:bCs/>
          <w:sz w:val="22"/>
          <w:szCs w:val="22"/>
        </w:rPr>
        <w:t>3. Predmet návrhu zákona:</w:t>
      </w:r>
    </w:p>
    <w:p w:rsidR="002F6563" w:rsidRPr="00FB3DF8" w:rsidP="00FB3DF8">
      <w:pPr>
        <w:pStyle w:val="ListParagraph"/>
        <w:numPr>
          <w:numId w:val="17"/>
        </w:numPr>
        <w:bidi w:val="0"/>
        <w:spacing w:before="120" w:line="276" w:lineRule="auto"/>
        <w:ind w:left="714" w:hanging="357"/>
        <w:contextualSpacing w:val="0"/>
        <w:jc w:val="both"/>
        <w:rPr>
          <w:rFonts w:ascii="Book Antiqua" w:hAnsi="Book Antiqua"/>
          <w:sz w:val="22"/>
          <w:szCs w:val="22"/>
        </w:rPr>
      </w:pPr>
      <w:r w:rsidRPr="00FB3DF8" w:rsidR="00334A3C">
        <w:rPr>
          <w:rFonts w:ascii="Book Antiqua" w:hAnsi="Book Antiqua"/>
          <w:bCs/>
          <w:sz w:val="22"/>
          <w:szCs w:val="22"/>
        </w:rPr>
        <w:t>je upravený v primárnom práve Európskej únie,</w:t>
      </w:r>
      <w:r w:rsidRPr="00FB3DF8" w:rsidR="0032087B">
        <w:rPr>
          <w:rFonts w:ascii="Book Antiqua" w:hAnsi="Book Antiqua"/>
          <w:bCs/>
          <w:sz w:val="22"/>
          <w:szCs w:val="22"/>
        </w:rPr>
        <w:t xml:space="preserve"> a to v </w:t>
      </w:r>
      <w:r w:rsidRPr="00FB3DF8" w:rsidR="0032087B">
        <w:rPr>
          <w:rFonts w:ascii="Book Antiqua" w:hAnsi="Book Antiqua"/>
          <w:sz w:val="22"/>
          <w:szCs w:val="22"/>
        </w:rPr>
        <w:t xml:space="preserve">čl. </w:t>
      </w:r>
      <w:r w:rsidRPr="00FB3DF8" w:rsidR="009E7A09">
        <w:rPr>
          <w:rFonts w:ascii="Book Antiqua" w:hAnsi="Book Antiqua"/>
          <w:sz w:val="22"/>
          <w:szCs w:val="22"/>
        </w:rPr>
        <w:t xml:space="preserve">48, </w:t>
      </w:r>
      <w:r w:rsidRPr="00FB3DF8" w:rsidR="0032087B">
        <w:rPr>
          <w:rFonts w:ascii="Book Antiqua" w:hAnsi="Book Antiqua"/>
          <w:sz w:val="22"/>
          <w:szCs w:val="22"/>
        </w:rPr>
        <w:t>151 a 153 Zmluvy o fungovaní Európskej únie, ktoré zabezpe</w:t>
      </w:r>
      <w:r w:rsidRPr="00FB3DF8">
        <w:rPr>
          <w:rFonts w:ascii="Book Antiqua" w:hAnsi="Book Antiqua"/>
          <w:sz w:val="22"/>
          <w:szCs w:val="22"/>
        </w:rPr>
        <w:t>čujú primeranú sociálnu ochranu,</w:t>
      </w:r>
      <w:r w:rsidRPr="00FB3DF8" w:rsidR="00B62EB9">
        <w:rPr>
          <w:rFonts w:ascii="Book Antiqua" w:hAnsi="Book Antiqua"/>
          <w:sz w:val="22"/>
          <w:szCs w:val="22"/>
        </w:rPr>
        <w:t xml:space="preserve"> ako aj v Čl. 12 ods. 12.1 </w:t>
      </w:r>
      <w:r w:rsidRPr="00FB3DF8" w:rsidR="00B62EB9">
        <w:rPr>
          <w:rFonts w:ascii="Book Antiqua" w:hAnsi="Book Antiqua" w:cs="Segoe UI"/>
          <w:sz w:val="22"/>
          <w:szCs w:val="22"/>
          <w:shd w:val="clear" w:color="auto" w:fill="FFFFFF"/>
        </w:rPr>
        <w:t>Protokolu o Štatúte Európskeho systému centrálnych bánk a Európskej centrálnej banky, ktorý je pripojený k Zmluve o Európskej únii a Zmluve o fungovaní Európskej únie (nástroje menovej politiky),</w:t>
      </w:r>
    </w:p>
    <w:p w:rsidR="009E7A09" w:rsidRPr="00FB3DF8" w:rsidP="00FB3DF8">
      <w:pPr>
        <w:pStyle w:val="ListParagraph"/>
        <w:numPr>
          <w:numId w:val="17"/>
        </w:numPr>
        <w:bidi w:val="0"/>
        <w:spacing w:before="120" w:line="276" w:lineRule="auto"/>
        <w:ind w:left="714" w:hanging="357"/>
        <w:contextualSpacing w:val="0"/>
        <w:jc w:val="both"/>
        <w:rPr>
          <w:rFonts w:ascii="Book Antiqua" w:hAnsi="Book Antiqua"/>
          <w:sz w:val="22"/>
          <w:szCs w:val="22"/>
        </w:rPr>
      </w:pPr>
      <w:r w:rsidRPr="00FB3DF8" w:rsidR="00334A3C">
        <w:rPr>
          <w:rFonts w:ascii="Book Antiqua" w:hAnsi="Book Antiqua"/>
          <w:bCs/>
          <w:sz w:val="22"/>
          <w:szCs w:val="22"/>
        </w:rPr>
        <w:t>je upravený v sekundárnom práve Európskej únie,</w:t>
      </w:r>
      <w:r w:rsidRPr="00FB3DF8">
        <w:rPr>
          <w:rFonts w:ascii="Book Antiqua" w:hAnsi="Book Antiqua"/>
          <w:bCs/>
          <w:sz w:val="22"/>
          <w:szCs w:val="22"/>
        </w:rPr>
        <w:t xml:space="preserve"> a to v:</w:t>
      </w:r>
    </w:p>
    <w:p w:rsidR="009E7A09" w:rsidRPr="00FB3DF8" w:rsidP="00FB3DF8">
      <w:pPr>
        <w:pStyle w:val="ListParagraph"/>
        <w:numPr>
          <w:numId w:val="24"/>
        </w:numPr>
        <w:bidi w:val="0"/>
        <w:spacing w:before="120" w:line="276" w:lineRule="auto"/>
        <w:contextualSpacing w:val="0"/>
        <w:jc w:val="both"/>
        <w:rPr>
          <w:rFonts w:ascii="Book Antiqua" w:hAnsi="Book Antiqua"/>
          <w:sz w:val="22"/>
          <w:szCs w:val="22"/>
        </w:rPr>
      </w:pPr>
      <w:r w:rsidRPr="00FB3DF8">
        <w:rPr>
          <w:rFonts w:ascii="Book Antiqua" w:hAnsi="Book Antiqua"/>
          <w:sz w:val="22"/>
          <w:szCs w:val="22"/>
        </w:rPr>
        <w:t>n</w:t>
      </w:r>
      <w:r w:rsidRPr="00FB3DF8" w:rsidR="00454BF2">
        <w:rPr>
          <w:rFonts w:ascii="Book Antiqua" w:hAnsi="Book Antiqua"/>
          <w:sz w:val="22"/>
          <w:szCs w:val="22"/>
        </w:rPr>
        <w:t>ariadení</w:t>
      </w:r>
      <w:r w:rsidRPr="00FB3DF8">
        <w:rPr>
          <w:rFonts w:ascii="Book Antiqua" w:hAnsi="Book Antiqua"/>
          <w:sz w:val="22"/>
          <w:szCs w:val="22"/>
        </w:rPr>
        <w:t xml:space="preserve"> Európskeho parlamentu a  Rady  (ES) č. 883/2004 z 29. apríla 2004 o koordinácii systémov sociálneho zabezpečenia v platnom znení (Mimoriadne vydanie Ú. v. EÚ, kap. 5/ zv. 5</w:t>
      </w:r>
      <w:r w:rsidRPr="00FB3DF8">
        <w:rPr>
          <w:rFonts w:ascii="Book Antiqua" w:hAnsi="Book Antiqua" w:cs="Times"/>
          <w:sz w:val="22"/>
          <w:szCs w:val="22"/>
        </w:rPr>
        <w:t>; Ú. v. EÚ L 166, 30. 4. 2004</w:t>
      </w:r>
      <w:r w:rsidRPr="00FB3DF8">
        <w:rPr>
          <w:rFonts w:ascii="Book Antiqua" w:hAnsi="Book Antiqua"/>
          <w:sz w:val="22"/>
          <w:szCs w:val="22"/>
        </w:rPr>
        <w:t>) v platnom znení</w:t>
      </w:r>
      <w:r w:rsidRPr="00FB3DF8" w:rsidR="00B62EB9">
        <w:rPr>
          <w:rFonts w:ascii="Book Antiqua" w:hAnsi="Book Antiqua"/>
          <w:sz w:val="22"/>
          <w:szCs w:val="22"/>
        </w:rPr>
        <w:t xml:space="preserve"> – čl. 3, 21, 67 a 68 – materské a rodinné dávky vrátane otázok súbehu a poskytovania v inom členskom štáte Európskej únie</w:t>
      </w:r>
      <w:r w:rsidRPr="00FB3DF8">
        <w:rPr>
          <w:rFonts w:ascii="Book Antiqua" w:hAnsi="Book Antiqua"/>
          <w:sz w:val="22"/>
          <w:szCs w:val="22"/>
        </w:rPr>
        <w:t xml:space="preserve">, </w:t>
      </w:r>
    </w:p>
    <w:p w:rsidR="009E7A09" w:rsidRPr="00FB3DF8" w:rsidP="00FB3DF8">
      <w:pPr>
        <w:pStyle w:val="ListParagraph"/>
        <w:numPr>
          <w:numId w:val="24"/>
        </w:numPr>
        <w:bidi w:val="0"/>
        <w:spacing w:before="120" w:line="276" w:lineRule="auto"/>
        <w:contextualSpacing w:val="0"/>
        <w:jc w:val="both"/>
        <w:rPr>
          <w:rFonts w:ascii="Book Antiqua" w:hAnsi="Book Antiqua"/>
          <w:sz w:val="22"/>
          <w:szCs w:val="22"/>
        </w:rPr>
      </w:pPr>
      <w:r w:rsidRPr="00FB3DF8">
        <w:rPr>
          <w:rFonts w:ascii="Book Antiqua" w:hAnsi="Book Antiqua"/>
          <w:sz w:val="22"/>
          <w:szCs w:val="22"/>
        </w:rPr>
        <w:t>n</w:t>
      </w:r>
      <w:r w:rsidRPr="00FB3DF8" w:rsidR="00454BF2">
        <w:rPr>
          <w:rFonts w:ascii="Book Antiqua" w:hAnsi="Book Antiqua"/>
          <w:sz w:val="22"/>
          <w:szCs w:val="22"/>
        </w:rPr>
        <w:t>ariadení</w:t>
      </w:r>
      <w:r w:rsidRPr="00FB3DF8">
        <w:rPr>
          <w:rFonts w:ascii="Book Antiqua" w:hAnsi="Book Antiqua"/>
          <w:sz w:val="22"/>
          <w:szCs w:val="22"/>
        </w:rPr>
        <w:t xml:space="preserve"> Európskeho parlamentu a Rady  (ES) č. 987/2009 zo 16. septembra 2009, ktorým sa ustanovuje postup vykonávania nariadenia (ES) č. 883/2004 o koordinácii systémov sociálneho zabezpečenia (Ú. v. EÚ L 284, 30. 10. 2009) v platnom znení</w:t>
      </w:r>
      <w:r w:rsidRPr="00FB3DF8" w:rsidR="00110BD3">
        <w:rPr>
          <w:rFonts w:ascii="Book Antiqua" w:hAnsi="Book Antiqua"/>
          <w:sz w:val="22"/>
          <w:szCs w:val="22"/>
        </w:rPr>
        <w:t xml:space="preserve"> – čl. 10 a 60 – zamedzenie súbehu dávok a uplatňovanie čl. 67 a 68 </w:t>
      </w:r>
      <w:r w:rsidRPr="00FB3DF8" w:rsidR="00B62EB9">
        <w:rPr>
          <w:rFonts w:ascii="Book Antiqua" w:hAnsi="Book Antiqua"/>
          <w:sz w:val="22"/>
          <w:szCs w:val="22"/>
        </w:rPr>
        <w:t>základného nariadenie [</w:t>
      </w:r>
      <w:r w:rsidRPr="00FB3DF8" w:rsidR="00110BD3">
        <w:rPr>
          <w:rFonts w:ascii="Book Antiqua" w:hAnsi="Book Antiqua"/>
          <w:sz w:val="22"/>
          <w:szCs w:val="22"/>
        </w:rPr>
        <w:t>t.j. nariadenia EP a Rady (ES) č. 883/2004</w:t>
      </w:r>
      <w:r w:rsidRPr="00FB3DF8" w:rsidR="00B62EB9">
        <w:rPr>
          <w:rFonts w:ascii="Book Antiqua" w:hAnsi="Book Antiqua"/>
          <w:sz w:val="22"/>
          <w:szCs w:val="22"/>
        </w:rPr>
        <w:t>]</w:t>
      </w:r>
      <w:r w:rsidRPr="00FB3DF8">
        <w:rPr>
          <w:rFonts w:ascii="Book Antiqua" w:hAnsi="Book Antiqua"/>
          <w:sz w:val="22"/>
          <w:szCs w:val="22"/>
        </w:rPr>
        <w:t>,</w:t>
      </w:r>
      <w:r w:rsidRPr="00FB3DF8" w:rsidR="00B62EB9">
        <w:rPr>
          <w:rFonts w:ascii="Book Antiqua" w:hAnsi="Book Antiqua"/>
          <w:sz w:val="22"/>
          <w:szCs w:val="22"/>
        </w:rPr>
        <w:t xml:space="preserve"> napr. rozdielový doplatok,</w:t>
      </w:r>
    </w:p>
    <w:p w:rsidR="00B62EB9" w:rsidRPr="00FB3DF8" w:rsidP="00FB3DF8">
      <w:pPr>
        <w:pStyle w:val="ListParagraph"/>
        <w:numPr>
          <w:numId w:val="24"/>
        </w:numPr>
        <w:bidi w:val="0"/>
        <w:spacing w:before="120" w:line="276" w:lineRule="auto"/>
        <w:contextualSpacing w:val="0"/>
        <w:jc w:val="both"/>
        <w:rPr>
          <w:rFonts w:ascii="Book Antiqua" w:hAnsi="Book Antiqua"/>
          <w:sz w:val="22"/>
          <w:szCs w:val="22"/>
        </w:rPr>
      </w:pPr>
      <w:r w:rsidRPr="00FB3DF8">
        <w:rPr>
          <w:rFonts w:ascii="Book Antiqua" w:hAnsi="Book Antiqua" w:cs="Segoe UI"/>
          <w:sz w:val="22"/>
          <w:szCs w:val="22"/>
          <w:shd w:val="clear" w:color="auto" w:fill="FFFFFF"/>
        </w:rPr>
        <w:t xml:space="preserve">usmernení Európskej centrálnej banky </w:t>
      </w:r>
      <w:r w:rsidRPr="00FB3DF8" w:rsidR="00041995">
        <w:rPr>
          <w:rFonts w:ascii="Book Antiqua" w:hAnsi="Book Antiqua" w:cs="Segoe UI"/>
          <w:sz w:val="22"/>
          <w:szCs w:val="22"/>
          <w:shd w:val="clear" w:color="auto" w:fill="FFFFFF"/>
        </w:rPr>
        <w:t xml:space="preserve">(EÚ) 2015/510 z 19. decembra 2014 o vykonávaní rámca menovej politiky Eurosystému (usmernenie o všeobecnej dokumentácii) (ECB/2014/60) </w:t>
      </w:r>
      <w:r w:rsidRPr="00FB3DF8">
        <w:rPr>
          <w:rFonts w:ascii="Book Antiqua" w:hAnsi="Book Antiqua" w:cs="Segoe UI"/>
          <w:sz w:val="22"/>
          <w:szCs w:val="22"/>
          <w:shd w:val="clear" w:color="auto" w:fill="FFFFFF"/>
        </w:rPr>
        <w:t>(</w:t>
      </w:r>
      <w:r w:rsidRPr="00FB3DF8" w:rsidR="00041995">
        <w:rPr>
          <w:rFonts w:ascii="Book Antiqua" w:hAnsi="Book Antiqua" w:cs="Segoe UI"/>
          <w:sz w:val="22"/>
          <w:szCs w:val="22"/>
          <w:shd w:val="clear" w:color="auto" w:fill="FFFFFF"/>
        </w:rPr>
        <w:t>Ú. v. EÚ L 91, 2.4.2015, s. 3)</w:t>
      </w:r>
      <w:r w:rsidRPr="00FB3DF8">
        <w:rPr>
          <w:rFonts w:ascii="Book Antiqua" w:hAnsi="Book Antiqua" w:cs="Segoe UI"/>
          <w:sz w:val="22"/>
          <w:szCs w:val="22"/>
          <w:shd w:val="clear" w:color="auto" w:fill="FFFFFF"/>
        </w:rPr>
        <w:t xml:space="preserve"> v platnom znení </w:t>
      </w:r>
      <w:r w:rsidRPr="00FB3DF8" w:rsidR="00041995">
        <w:rPr>
          <w:rFonts w:ascii="Book Antiqua" w:hAnsi="Book Antiqua" w:cs="Segoe UI"/>
          <w:sz w:val="22"/>
          <w:szCs w:val="22"/>
          <w:shd w:val="clear" w:color="auto" w:fill="FFFFFF"/>
        </w:rPr>
        <w:t>–</w:t>
      </w:r>
      <w:r w:rsidRPr="00FB3DF8">
        <w:rPr>
          <w:rFonts w:ascii="Book Antiqua" w:hAnsi="Book Antiqua" w:cs="Segoe UI"/>
          <w:sz w:val="22"/>
          <w:szCs w:val="22"/>
          <w:shd w:val="clear" w:color="auto" w:fill="FFFFFF"/>
        </w:rPr>
        <w:t xml:space="preserve"> </w:t>
      </w:r>
      <w:r w:rsidRPr="00FB3DF8" w:rsidR="00041995">
        <w:rPr>
          <w:rFonts w:ascii="Book Antiqua" w:hAnsi="Book Antiqua" w:cs="Segoe UI"/>
          <w:sz w:val="22"/>
          <w:szCs w:val="22"/>
          <w:shd w:val="clear" w:color="auto" w:fill="FFFFFF"/>
        </w:rPr>
        <w:t xml:space="preserve">    </w:t>
      </w:r>
      <w:r w:rsidRPr="00FB3DF8" w:rsidR="00041995">
        <w:rPr>
          <w:rFonts w:ascii="Book Antiqua" w:hAnsi="Book Antiqua"/>
          <w:sz w:val="22"/>
          <w:szCs w:val="22"/>
          <w:shd w:val="clear" w:color="auto" w:fill="FFFFFF"/>
        </w:rPr>
        <w:t>č</w:t>
      </w:r>
      <w:r w:rsidRPr="00FB3DF8" w:rsidR="00041995">
        <w:rPr>
          <w:rFonts w:ascii="Book Antiqua" w:hAnsi="Book Antiqua" w:cs="Segoe UI"/>
          <w:sz w:val="22"/>
          <w:szCs w:val="22"/>
          <w:shd w:val="clear" w:color="auto" w:fill="FFFFFF"/>
        </w:rPr>
        <w:t>l. 175 (mechanizmy prevádzania súm, ktoré nie sú denominované v eurách)</w:t>
      </w:r>
      <w:r w:rsidRPr="00FB3DF8">
        <w:rPr>
          <w:rFonts w:ascii="Book Antiqua" w:hAnsi="Book Antiqua" w:cs="Segoe UI"/>
          <w:sz w:val="22"/>
          <w:szCs w:val="22"/>
          <w:shd w:val="clear" w:color="auto" w:fill="FFFFFF"/>
        </w:rPr>
        <w:t>,</w:t>
      </w:r>
    </w:p>
    <w:p w:rsidR="00334A3C" w:rsidRPr="00FB3DF8" w:rsidP="00FB3DF8">
      <w:pPr>
        <w:pStyle w:val="ListParagraph"/>
        <w:numPr>
          <w:numId w:val="17"/>
        </w:numPr>
        <w:bidi w:val="0"/>
        <w:spacing w:before="120" w:line="276" w:lineRule="auto"/>
        <w:ind w:left="714" w:hanging="357"/>
        <w:contextualSpacing w:val="0"/>
        <w:jc w:val="both"/>
        <w:rPr>
          <w:rFonts w:ascii="Book Antiqua" w:hAnsi="Book Antiqua"/>
          <w:sz w:val="22"/>
          <w:szCs w:val="22"/>
        </w:rPr>
      </w:pPr>
      <w:r w:rsidRPr="00FB3DF8">
        <w:rPr>
          <w:rFonts w:ascii="Book Antiqua" w:hAnsi="Book Antiqua"/>
          <w:bCs/>
          <w:sz w:val="22"/>
          <w:szCs w:val="22"/>
        </w:rPr>
        <w:t>je obsiahnutý v judikatú</w:t>
      </w:r>
      <w:r w:rsidRPr="00FB3DF8" w:rsidR="003279B3">
        <w:rPr>
          <w:rFonts w:ascii="Book Antiqua" w:hAnsi="Book Antiqua"/>
          <w:bCs/>
          <w:sz w:val="22"/>
          <w:szCs w:val="22"/>
        </w:rPr>
        <w:t>re Súdneho dvora Európskej únie, a to v:</w:t>
      </w:r>
    </w:p>
    <w:p w:rsidR="008C1867" w:rsidRPr="00FB3DF8" w:rsidP="00FB3DF8">
      <w:pPr>
        <w:pStyle w:val="ListParagraph"/>
        <w:numPr>
          <w:numId w:val="24"/>
        </w:numPr>
        <w:bidi w:val="0"/>
        <w:spacing w:before="120" w:line="276" w:lineRule="auto"/>
        <w:contextualSpacing w:val="0"/>
        <w:jc w:val="both"/>
        <w:rPr>
          <w:rFonts w:ascii="Book Antiqua" w:hAnsi="Book Antiqua"/>
          <w:sz w:val="22"/>
          <w:szCs w:val="22"/>
          <w:lang w:val="en-US" w:eastAsia="en-US"/>
        </w:rPr>
      </w:pPr>
      <w:r w:rsidRPr="00FB3DF8" w:rsidR="002E15E6">
        <w:rPr>
          <w:rFonts w:ascii="Book Antiqua" w:hAnsi="Book Antiqua" w:cs="Lucida Grande"/>
          <w:bCs/>
          <w:sz w:val="22"/>
          <w:szCs w:val="22"/>
          <w:bdr w:val="nil"/>
          <w:shd w:val="clear" w:color="auto" w:fill="FFFFFF"/>
          <w:lang w:val="en-US" w:eastAsia="en-US"/>
        </w:rPr>
        <w:t>r</w:t>
      </w:r>
      <w:r w:rsidRPr="00FB3DF8">
        <w:rPr>
          <w:rFonts w:ascii="Book Antiqua" w:hAnsi="Book Antiqua" w:cs="Lucida Grande"/>
          <w:bCs/>
          <w:sz w:val="22"/>
          <w:szCs w:val="22"/>
          <w:bdr w:val="nil"/>
          <w:shd w:val="clear" w:color="auto" w:fill="FFFFFF"/>
          <w:lang w:val="en-US" w:eastAsia="en-US"/>
        </w:rPr>
        <w:t xml:space="preserve">ozsudku Súdneho dvora vo veci </w:t>
      </w:r>
      <w:r w:rsidRPr="00FB3DF8" w:rsidR="002E15E6">
        <w:rPr>
          <w:rFonts w:ascii="Book Antiqua" w:hAnsi="Book Antiqua"/>
          <w:bCs/>
          <w:sz w:val="22"/>
          <w:szCs w:val="22"/>
          <w:bdr w:val="nil"/>
          <w:shd w:val="clear" w:color="auto" w:fill="FFFFFF"/>
          <w:lang w:val="en-US" w:eastAsia="en-US"/>
        </w:rPr>
        <w:t>C-</w:t>
      </w:r>
      <w:r w:rsidRPr="00FB3DF8">
        <w:rPr>
          <w:rFonts w:ascii="Book Antiqua" w:hAnsi="Book Antiqua"/>
          <w:bCs/>
          <w:sz w:val="22"/>
          <w:szCs w:val="22"/>
          <w:bdr w:val="nil"/>
          <w:shd w:val="clear" w:color="auto" w:fill="FFFFFF"/>
          <w:lang w:val="en-US" w:eastAsia="en-US"/>
        </w:rPr>
        <w:t xml:space="preserve">32/13 </w:t>
      </w:r>
      <w:r w:rsidRPr="00FB3DF8">
        <w:rPr>
          <w:rFonts w:ascii="Book Antiqua" w:hAnsi="Book Antiqua" w:cs="Lucida Grande"/>
          <w:bCs/>
          <w:sz w:val="22"/>
          <w:szCs w:val="22"/>
          <w:bdr w:val="nil"/>
          <w:shd w:val="clear" w:color="auto" w:fill="FFFFFF"/>
          <w:lang w:val="en-US" w:eastAsia="en-US"/>
        </w:rPr>
        <w:t>Petra Würk</w:t>
      </w:r>
      <w:r w:rsidR="00FB3DF8">
        <w:rPr>
          <w:rFonts w:ascii="Book Antiqua" w:hAnsi="Book Antiqua" w:cs="Lucida Grande"/>
          <w:bCs/>
          <w:sz w:val="22"/>
          <w:szCs w:val="22"/>
          <w:bdr w:val="nil"/>
          <w:shd w:val="clear" w:color="auto" w:fill="FFFFFF"/>
          <w:lang w:val="en-US" w:eastAsia="en-US"/>
        </w:rPr>
        <w:t>er proti Familienkasse Nürnberg</w:t>
      </w:r>
      <w:r w:rsidRPr="00FB3DF8">
        <w:rPr>
          <w:rFonts w:ascii="Book Antiqua" w:hAnsi="Book Antiqua" w:cs="Lucida Grande"/>
          <w:bCs/>
          <w:sz w:val="22"/>
          <w:szCs w:val="22"/>
          <w:bdr w:val="nil"/>
          <w:shd w:val="clear" w:color="auto" w:fill="FFFFFF"/>
          <w:lang w:val="en-US" w:eastAsia="en-US"/>
        </w:rPr>
        <w:t> </w:t>
      </w:r>
      <w:r w:rsidRPr="00FB3DF8">
        <w:rPr>
          <w:rFonts w:ascii="Book Antiqua" w:hAnsi="Book Antiqua"/>
          <w:sz w:val="22"/>
          <w:szCs w:val="22"/>
        </w:rPr>
        <w:t>[2014] (</w:t>
      </w:r>
      <w:r w:rsidRPr="00FB3DF8" w:rsidR="002E15E6">
        <w:rPr>
          <w:rFonts w:ascii="Book Antiqua" w:hAnsi="Book Antiqua"/>
          <w:sz w:val="22"/>
          <w:szCs w:val="22"/>
        </w:rPr>
        <w:t>vznik nároku na rodinné prídavky</w:t>
      </w:r>
      <w:r w:rsidRPr="00FB3DF8">
        <w:rPr>
          <w:rFonts w:ascii="Book Antiqua" w:hAnsi="Book Antiqua"/>
          <w:sz w:val="22"/>
          <w:szCs w:val="22"/>
        </w:rPr>
        <w:t>)</w:t>
      </w:r>
      <w:r w:rsidRPr="00FB3DF8" w:rsidR="002E15E6">
        <w:rPr>
          <w:rFonts w:ascii="Book Antiqua" w:hAnsi="Book Antiqua"/>
          <w:sz w:val="22"/>
          <w:szCs w:val="22"/>
        </w:rPr>
        <w:t>,</w:t>
      </w:r>
    </w:p>
    <w:p w:rsidR="00496B48" w:rsidRPr="00FB3DF8" w:rsidP="00FB3DF8">
      <w:pPr>
        <w:pStyle w:val="ListParagraph"/>
        <w:numPr>
          <w:numId w:val="24"/>
        </w:numPr>
        <w:bidi w:val="0"/>
        <w:spacing w:before="120" w:line="276" w:lineRule="auto"/>
        <w:contextualSpacing w:val="0"/>
        <w:jc w:val="both"/>
        <w:rPr>
          <w:rFonts w:ascii="Book Antiqua" w:hAnsi="Book Antiqua"/>
          <w:sz w:val="22"/>
          <w:szCs w:val="22"/>
          <w:lang w:val="en-US" w:eastAsia="en-US"/>
        </w:rPr>
      </w:pPr>
      <w:r w:rsidRPr="00FB3DF8" w:rsidR="002E15E6">
        <w:rPr>
          <w:rFonts w:ascii="Book Antiqua" w:hAnsi="Book Antiqua" w:cs="Lucida Grande"/>
          <w:bCs/>
          <w:sz w:val="22"/>
          <w:szCs w:val="22"/>
          <w:bdr w:val="nil"/>
          <w:shd w:val="clear" w:color="auto" w:fill="FFFFFF"/>
          <w:lang w:val="en-US" w:eastAsia="en-US"/>
        </w:rPr>
        <w:t>r</w:t>
      </w:r>
      <w:r w:rsidRPr="00FB3DF8">
        <w:rPr>
          <w:rFonts w:ascii="Book Antiqua" w:hAnsi="Book Antiqua" w:cs="Lucida Grande"/>
          <w:bCs/>
          <w:sz w:val="22"/>
          <w:szCs w:val="22"/>
          <w:bdr w:val="nil"/>
          <w:shd w:val="clear" w:color="auto" w:fill="FFFFFF"/>
          <w:lang w:val="en-US" w:eastAsia="en-US"/>
        </w:rPr>
        <w:t>ozsudk</w:t>
      </w:r>
      <w:r w:rsidRPr="00FB3DF8">
        <w:rPr>
          <w:rFonts w:ascii="Book Antiqua" w:hAnsi="Book Antiqua"/>
          <w:bCs/>
          <w:sz w:val="22"/>
          <w:szCs w:val="22"/>
          <w:bdr w:val="nil"/>
          <w:shd w:val="clear" w:color="auto" w:fill="FFFFFF"/>
          <w:lang w:val="en-US" w:eastAsia="en-US"/>
        </w:rPr>
        <w:t>u</w:t>
      </w:r>
      <w:r w:rsidRPr="00FB3DF8">
        <w:rPr>
          <w:rFonts w:ascii="Book Antiqua" w:hAnsi="Book Antiqua" w:cs="Lucida Grande"/>
          <w:bCs/>
          <w:sz w:val="22"/>
          <w:szCs w:val="22"/>
          <w:bdr w:val="nil"/>
          <w:shd w:val="clear" w:color="auto" w:fill="FFFFFF"/>
          <w:lang w:val="en-US" w:eastAsia="en-US"/>
        </w:rPr>
        <w:t xml:space="preserve"> Súdneho dvora </w:t>
      </w:r>
      <w:r w:rsidRPr="00FB3DF8">
        <w:rPr>
          <w:rFonts w:ascii="Book Antiqua" w:hAnsi="Book Antiqua"/>
          <w:bCs/>
          <w:sz w:val="22"/>
          <w:szCs w:val="22"/>
          <w:bdr w:val="nil"/>
          <w:shd w:val="clear" w:color="auto" w:fill="FFFFFF"/>
          <w:lang w:val="en-US" w:eastAsia="en-US"/>
        </w:rPr>
        <w:t xml:space="preserve">vo veci C-333/13 </w:t>
      </w:r>
      <w:r w:rsidRPr="00FB3DF8">
        <w:rPr>
          <w:rFonts w:ascii="Book Antiqua" w:hAnsi="Book Antiqua" w:cs="Lucida Grande"/>
          <w:bCs/>
          <w:sz w:val="22"/>
          <w:szCs w:val="22"/>
          <w:bdr w:val="nil"/>
          <w:shd w:val="clear" w:color="auto" w:fill="FFFFFF"/>
          <w:lang w:val="en-US" w:eastAsia="en-US"/>
        </w:rPr>
        <w:t xml:space="preserve">Elisabeta Dano a Florin Dano proti Jobcenter Leipzig </w:t>
      </w:r>
      <w:r w:rsidRPr="00FB3DF8">
        <w:rPr>
          <w:rFonts w:ascii="Book Antiqua" w:hAnsi="Book Antiqua"/>
          <w:sz w:val="22"/>
          <w:szCs w:val="22"/>
        </w:rPr>
        <w:t>[2014] (osobitné nepríspevkové peňažné dávky)</w:t>
      </w:r>
      <w:r w:rsidRPr="00FB3DF8" w:rsidR="002E15E6">
        <w:rPr>
          <w:rFonts w:ascii="Book Antiqua" w:hAnsi="Book Antiqua"/>
          <w:sz w:val="22"/>
          <w:szCs w:val="22"/>
        </w:rPr>
        <w:t>,</w:t>
      </w:r>
    </w:p>
    <w:p w:rsidR="00BA320E" w:rsidRPr="00FB3DF8" w:rsidP="00FB3DF8">
      <w:pPr>
        <w:pStyle w:val="ListParagraph"/>
        <w:numPr>
          <w:numId w:val="24"/>
        </w:numPr>
        <w:bidi w:val="0"/>
        <w:spacing w:before="120" w:line="276" w:lineRule="auto"/>
        <w:contextualSpacing w:val="0"/>
        <w:jc w:val="both"/>
        <w:rPr>
          <w:rFonts w:ascii="Book Antiqua" w:hAnsi="Book Antiqua"/>
          <w:sz w:val="22"/>
          <w:szCs w:val="22"/>
          <w:lang w:val="en-US" w:eastAsia="en-US"/>
        </w:rPr>
      </w:pPr>
      <w:r w:rsidRPr="00FB3DF8" w:rsidR="002E15E6">
        <w:rPr>
          <w:rFonts w:ascii="Book Antiqua" w:hAnsi="Book Antiqua" w:cs="Lucida Grande"/>
          <w:bCs/>
          <w:sz w:val="22"/>
          <w:szCs w:val="22"/>
          <w:bdr w:val="nil"/>
          <w:shd w:val="clear" w:color="auto" w:fill="FFFFFF"/>
          <w:lang w:val="en-US" w:eastAsia="en-US"/>
        </w:rPr>
        <w:t>r</w:t>
      </w:r>
      <w:r w:rsidRPr="00FB3DF8" w:rsidR="00236D52">
        <w:rPr>
          <w:rFonts w:ascii="Book Antiqua" w:hAnsi="Book Antiqua" w:cs="Lucida Grande"/>
          <w:bCs/>
          <w:sz w:val="22"/>
          <w:szCs w:val="22"/>
          <w:bdr w:val="nil"/>
          <w:shd w:val="clear" w:color="auto" w:fill="FFFFFF"/>
          <w:lang w:val="en-US" w:eastAsia="en-US"/>
        </w:rPr>
        <w:t>ozsud</w:t>
      </w:r>
      <w:r w:rsidRPr="00FB3DF8">
        <w:rPr>
          <w:rFonts w:ascii="Book Antiqua" w:hAnsi="Book Antiqua" w:cs="Lucida Grande"/>
          <w:bCs/>
          <w:sz w:val="22"/>
          <w:szCs w:val="22"/>
          <w:bdr w:val="nil"/>
          <w:shd w:val="clear" w:color="auto" w:fill="FFFFFF"/>
          <w:lang w:val="en-US" w:eastAsia="en-US"/>
        </w:rPr>
        <w:t>k</w:t>
      </w:r>
      <w:r w:rsidRPr="00FB3DF8" w:rsidR="00236D52">
        <w:rPr>
          <w:rFonts w:ascii="Book Antiqua" w:hAnsi="Book Antiqua"/>
          <w:bCs/>
          <w:sz w:val="22"/>
          <w:szCs w:val="22"/>
          <w:bdr w:val="nil"/>
          <w:shd w:val="clear" w:color="auto" w:fill="FFFFFF"/>
          <w:lang w:val="en-US" w:eastAsia="en-US"/>
        </w:rPr>
        <w:t>u</w:t>
      </w:r>
      <w:r w:rsidRPr="00FB3DF8">
        <w:rPr>
          <w:rFonts w:ascii="Book Antiqua" w:hAnsi="Book Antiqua" w:cs="Lucida Grande"/>
          <w:bCs/>
          <w:sz w:val="22"/>
          <w:szCs w:val="22"/>
          <w:bdr w:val="nil"/>
          <w:shd w:val="clear" w:color="auto" w:fill="FFFFFF"/>
          <w:lang w:val="en-US" w:eastAsia="en-US"/>
        </w:rPr>
        <w:t xml:space="preserve"> Súdneho dvora vo veci </w:t>
      </w:r>
      <w:r w:rsidRPr="00FB3DF8">
        <w:rPr>
          <w:rFonts w:ascii="Book Antiqua" w:hAnsi="Book Antiqua"/>
          <w:bCs/>
          <w:sz w:val="22"/>
          <w:szCs w:val="22"/>
          <w:bdr w:val="nil"/>
          <w:shd w:val="clear" w:color="auto" w:fill="FFFFFF"/>
          <w:lang w:val="en-US" w:eastAsia="en-US"/>
        </w:rPr>
        <w:t xml:space="preserve">C-378/14 </w:t>
      </w:r>
      <w:r w:rsidRPr="00FB3DF8">
        <w:rPr>
          <w:rFonts w:ascii="Book Antiqua" w:hAnsi="Book Antiqua" w:cs="Lucida Grande"/>
          <w:bCs/>
          <w:sz w:val="22"/>
          <w:szCs w:val="22"/>
          <w:bdr w:val="nil"/>
          <w:shd w:val="clear" w:color="auto" w:fill="FFFFFF"/>
          <w:lang w:val="en-US" w:eastAsia="en-US"/>
        </w:rPr>
        <w:t xml:space="preserve">Bundesagentur für Arbeit – Familienkasse Sachsen proti Tomislawovi Trapkowskému </w:t>
      </w:r>
      <w:r w:rsidRPr="00FB3DF8">
        <w:rPr>
          <w:rFonts w:ascii="Book Antiqua" w:hAnsi="Book Antiqua"/>
          <w:sz w:val="22"/>
          <w:szCs w:val="22"/>
        </w:rPr>
        <w:t>[2015] (priznanie nároku na rodinné dávky)</w:t>
      </w:r>
      <w:r w:rsidR="00FB3DF8">
        <w:rPr>
          <w:rFonts w:ascii="Book Antiqua" w:hAnsi="Book Antiqua"/>
          <w:sz w:val="22"/>
          <w:szCs w:val="22"/>
        </w:rPr>
        <w:t>.</w:t>
      </w:r>
    </w:p>
    <w:p w:rsidR="007F7CE5" w:rsidRPr="00FB3DF8" w:rsidP="00FB3DF8">
      <w:pPr>
        <w:numPr>
          <w:ilvl w:val="3"/>
          <w:numId w:val="12"/>
        </w:numPr>
        <w:tabs>
          <w:tab w:val="left" w:pos="284"/>
        </w:tabs>
        <w:autoSpaceDE w:val="0"/>
        <w:autoSpaceDN w:val="0"/>
        <w:bidi w:val="0"/>
        <w:adjustRightInd w:val="0"/>
        <w:spacing w:before="120" w:line="276" w:lineRule="auto"/>
        <w:jc w:val="both"/>
        <w:rPr>
          <w:rFonts w:ascii="Book Antiqua" w:hAnsi="Book Antiqua"/>
          <w:b/>
          <w:bCs/>
          <w:i/>
          <w:sz w:val="22"/>
          <w:szCs w:val="22"/>
        </w:rPr>
      </w:pPr>
      <w:r w:rsidRPr="00FB3DF8">
        <w:rPr>
          <w:rFonts w:ascii="Book Antiqua" w:hAnsi="Book Antiqua"/>
          <w:b/>
          <w:sz w:val="22"/>
          <w:szCs w:val="22"/>
        </w:rPr>
        <w:t>Záväzky Slovenskej republiky vo vzťahu k Európskej únii:</w:t>
      </w:r>
    </w:p>
    <w:p w:rsidR="00D72DE3" w:rsidP="00D72DE3">
      <w:pPr>
        <w:numPr>
          <w:numId w:val="28"/>
        </w:numPr>
        <w:bidi w:val="0"/>
        <w:spacing w:before="120" w:line="276" w:lineRule="auto"/>
        <w:jc w:val="both"/>
        <w:rPr>
          <w:rFonts w:ascii="Book Antiqua" w:hAnsi="Book Antiqua"/>
          <w:sz w:val="22"/>
          <w:szCs w:val="22"/>
        </w:rPr>
      </w:pPr>
      <w:r w:rsidRPr="00FB3DF8" w:rsidR="008339D9">
        <w:rPr>
          <w:rFonts w:ascii="Book Antiqua" w:hAnsi="Book Antiqua"/>
          <w:sz w:val="22"/>
          <w:szCs w:val="22"/>
        </w:rPr>
        <w:t>Národná banka Slovenska zaslala Európskej centrálnej banke k 1. 5. 2015, resp. k 1. 11. 2015, všetky právne predpisy, do ktorých bolo zapracované znenie usmernenia Európskej centrálnej banky (EÚ) 2015/50</w:t>
      </w:r>
      <w:r w:rsidRPr="00FB3DF8" w:rsidR="00FB3DF8">
        <w:rPr>
          <w:rFonts w:ascii="Book Antiqua" w:hAnsi="Book Antiqua" w:cs="Segoe UI"/>
          <w:sz w:val="22"/>
          <w:szCs w:val="22"/>
          <w:shd w:val="clear" w:color="auto" w:fill="FFFFFF"/>
        </w:rPr>
        <w:t xml:space="preserve"> z 19. decembra 2014 o vykonávaní rámca menovej politiky Eurosystému (usmernenie o všeobecnej dokumentácii) (ECB/2014/60)</w:t>
      </w:r>
      <w:r>
        <w:rPr>
          <w:rFonts w:ascii="Book Antiqua" w:hAnsi="Book Antiqua"/>
          <w:sz w:val="22"/>
          <w:szCs w:val="22"/>
        </w:rPr>
        <w:t>,</w:t>
      </w:r>
    </w:p>
    <w:p w:rsidR="00D72DE3" w:rsidP="00D72DE3">
      <w:pPr>
        <w:numPr>
          <w:numId w:val="28"/>
        </w:numPr>
        <w:bidi w:val="0"/>
        <w:spacing w:before="120" w:line="276" w:lineRule="auto"/>
        <w:jc w:val="both"/>
        <w:rPr>
          <w:rFonts w:ascii="Book Antiqua" w:hAnsi="Book Antiqua"/>
          <w:sz w:val="22"/>
          <w:szCs w:val="22"/>
        </w:rPr>
      </w:pPr>
      <w:r w:rsidRPr="00D72DE3" w:rsidR="007F7CE5">
        <w:rPr>
          <w:rFonts w:ascii="Book Antiqua" w:hAnsi="Book Antiqua"/>
          <w:sz w:val="22"/>
          <w:szCs w:val="22"/>
        </w:rPr>
        <w:t>v danej oblasti nebol proti Slovenskej republike začatý postup Európskej komisie a ani konanie Súdneho dvora Európskej únie,</w:t>
      </w:r>
    </w:p>
    <w:p w:rsidR="007F7CE5" w:rsidRPr="00D72DE3" w:rsidP="00D72DE3">
      <w:pPr>
        <w:numPr>
          <w:numId w:val="28"/>
        </w:numPr>
        <w:bidi w:val="0"/>
        <w:spacing w:before="120" w:line="276" w:lineRule="auto"/>
        <w:jc w:val="both"/>
        <w:rPr>
          <w:rFonts w:ascii="Book Antiqua" w:hAnsi="Book Antiqua"/>
          <w:sz w:val="22"/>
          <w:szCs w:val="22"/>
        </w:rPr>
      </w:pPr>
      <w:r w:rsidRPr="00D72DE3" w:rsidR="008339D9">
        <w:rPr>
          <w:rFonts w:ascii="Book Antiqua" w:hAnsi="Book Antiqua"/>
          <w:sz w:val="22"/>
          <w:szCs w:val="22"/>
        </w:rPr>
        <w:t xml:space="preserve">usmernenie Európskej centrálnej banky (EÚ) 2015/50 je zapracované do zákona  </w:t>
      </w:r>
      <w:r w:rsidRPr="00D72DE3" w:rsidR="008339D9">
        <w:rPr>
          <w:rFonts w:ascii="Book Antiqua" w:hAnsi="Book Antiqua" w:cs="Segoe UI"/>
          <w:sz w:val="22"/>
          <w:szCs w:val="22"/>
          <w:shd w:val="clear" w:color="auto" w:fill="FFFFFF"/>
        </w:rPr>
        <w:t xml:space="preserve">Národnej rady Slovenskej republiky </w:t>
      </w:r>
      <w:r w:rsidRPr="00D72DE3" w:rsidR="008339D9">
        <w:rPr>
          <w:rFonts w:ascii="Book Antiqua" w:hAnsi="Book Antiqua"/>
          <w:sz w:val="22"/>
          <w:szCs w:val="22"/>
          <w:shd w:val="clear" w:color="auto" w:fill="FFFFFF"/>
        </w:rPr>
        <w:t>č</w:t>
      </w:r>
      <w:r w:rsidRPr="00D72DE3" w:rsidR="008339D9">
        <w:rPr>
          <w:rFonts w:ascii="Book Antiqua" w:hAnsi="Book Antiqua" w:cs="Segoe UI"/>
          <w:sz w:val="22"/>
          <w:szCs w:val="22"/>
          <w:shd w:val="clear" w:color="auto" w:fill="FFFFFF"/>
        </w:rPr>
        <w:t>. </w:t>
      </w:r>
      <w:hyperlink r:id="rId4" w:tooltip="Odkaz na predpis alebo ustanovenie" w:history="1">
        <w:r w:rsidRPr="00D72DE3" w:rsidR="008339D9">
          <w:rPr>
            <w:rStyle w:val="Hyperlink"/>
            <w:rFonts w:ascii="Book Antiqua" w:hAnsi="Book Antiqua" w:cs="Segoe UI"/>
            <w:iCs/>
            <w:color w:val="auto"/>
            <w:sz w:val="22"/>
            <w:szCs w:val="22"/>
            <w:u w:val="none"/>
            <w:shd w:val="clear" w:color="auto" w:fill="FFFFFF"/>
          </w:rPr>
          <w:t>566/1992 Zb.</w:t>
        </w:r>
      </w:hyperlink>
      <w:r w:rsidRPr="00D72DE3" w:rsidR="008339D9">
        <w:rPr>
          <w:rFonts w:ascii="Book Antiqua" w:hAnsi="Book Antiqua"/>
          <w:sz w:val="22"/>
          <w:szCs w:val="22"/>
        </w:rPr>
        <w:t xml:space="preserve"> o Národnej banke Slovenska v znení neskorších predpisov a do vnútorných predpisov Národnej banky Slovenska týkajúcich sa menovej politiky.</w:t>
      </w:r>
    </w:p>
    <w:p w:rsidR="007F7CE5" w:rsidRPr="00FB3DF8" w:rsidP="00FB3DF8">
      <w:pPr>
        <w:bidi w:val="0"/>
        <w:spacing w:before="120" w:line="276" w:lineRule="auto"/>
        <w:ind w:left="539" w:hanging="255"/>
        <w:jc w:val="both"/>
        <w:rPr>
          <w:rFonts w:ascii="Book Antiqua" w:hAnsi="Book Antiqua"/>
          <w:color w:val="000000"/>
          <w:sz w:val="22"/>
          <w:szCs w:val="22"/>
        </w:rPr>
      </w:pPr>
    </w:p>
    <w:p w:rsidR="007F7CE5" w:rsidRPr="00FB3DF8" w:rsidP="00FB3DF8">
      <w:pPr>
        <w:numPr>
          <w:numId w:val="13"/>
        </w:numPr>
        <w:tabs>
          <w:tab w:val="left" w:pos="341"/>
        </w:tabs>
        <w:autoSpaceDE w:val="0"/>
        <w:autoSpaceDN w:val="0"/>
        <w:bidi w:val="0"/>
        <w:adjustRightInd w:val="0"/>
        <w:spacing w:before="120" w:line="276" w:lineRule="auto"/>
        <w:jc w:val="both"/>
        <w:rPr>
          <w:rFonts w:ascii="Book Antiqua" w:hAnsi="Book Antiqua"/>
          <w:b/>
          <w:color w:val="000000"/>
          <w:sz w:val="22"/>
          <w:szCs w:val="22"/>
        </w:rPr>
      </w:pPr>
      <w:r w:rsidRPr="00FB3DF8">
        <w:rPr>
          <w:rFonts w:ascii="Book Antiqua" w:hAnsi="Book Antiqua"/>
          <w:b/>
          <w:color w:val="000000"/>
          <w:sz w:val="22"/>
          <w:szCs w:val="22"/>
        </w:rPr>
        <w:t>Stupeň zlučiteľnosti návrhu zákona s právom Európskej únie</w:t>
      </w:r>
    </w:p>
    <w:p w:rsidR="007F7CE5" w:rsidRPr="00FB3DF8" w:rsidP="00FB3DF8">
      <w:pPr>
        <w:bidi w:val="0"/>
        <w:spacing w:before="120" w:line="276" w:lineRule="auto"/>
        <w:jc w:val="both"/>
        <w:rPr>
          <w:rFonts w:ascii="Book Antiqua" w:hAnsi="Book Antiqua"/>
          <w:sz w:val="22"/>
          <w:szCs w:val="22"/>
        </w:rPr>
      </w:pPr>
      <w:r w:rsidRPr="00FB3DF8" w:rsidR="002E15E6">
        <w:rPr>
          <w:rFonts w:ascii="Book Antiqua" w:hAnsi="Book Antiqua"/>
          <w:sz w:val="22"/>
          <w:szCs w:val="22"/>
        </w:rPr>
        <w:t xml:space="preserve">- </w:t>
      </w:r>
      <w:r w:rsidRPr="00FB3DF8">
        <w:rPr>
          <w:rFonts w:ascii="Book Antiqua" w:hAnsi="Book Antiqua"/>
          <w:sz w:val="22"/>
          <w:szCs w:val="22"/>
        </w:rPr>
        <w:t>úplný</w:t>
      </w:r>
      <w:r w:rsidRPr="00FB3DF8" w:rsidR="002E15E6">
        <w:rPr>
          <w:rFonts w:ascii="Book Antiqua" w:hAnsi="Book Antiqua"/>
          <w:sz w:val="22"/>
          <w:szCs w:val="22"/>
        </w:rPr>
        <w:t>.</w:t>
      </w:r>
    </w:p>
    <w:p w:rsidR="00EB0847" w:rsidRPr="00FB3DF8" w:rsidP="00FB3DF8">
      <w:pPr>
        <w:bidi w:val="0"/>
        <w:spacing w:before="120" w:line="276" w:lineRule="auto"/>
        <w:jc w:val="center"/>
        <w:rPr>
          <w:rFonts w:ascii="Book Antiqua" w:hAnsi="Book Antiqua"/>
          <w:b/>
          <w:bCs/>
          <w:caps/>
          <w:color w:val="000000"/>
          <w:spacing w:val="30"/>
          <w:sz w:val="22"/>
          <w:szCs w:val="22"/>
        </w:rPr>
      </w:pPr>
      <w:r w:rsidRPr="00FB3DF8" w:rsidR="00334A3C">
        <w:rPr>
          <w:rFonts w:ascii="Book Antiqua" w:hAnsi="Book Antiqua"/>
          <w:b/>
          <w:bCs/>
          <w:caps/>
          <w:color w:val="000000"/>
          <w:spacing w:val="30"/>
          <w:sz w:val="22"/>
          <w:szCs w:val="22"/>
        </w:rPr>
        <w:br w:type="page"/>
      </w:r>
      <w:r w:rsidRPr="00FB3DF8" w:rsidR="00B90CF6">
        <w:rPr>
          <w:rFonts w:ascii="Book Antiqua" w:hAnsi="Book Antiqua"/>
          <w:b/>
          <w:bCs/>
          <w:caps/>
          <w:color w:val="000000"/>
          <w:spacing w:val="30"/>
          <w:sz w:val="22"/>
          <w:szCs w:val="22"/>
        </w:rPr>
        <w:t>D</w:t>
      </w:r>
      <w:r w:rsidRPr="00FB3DF8">
        <w:rPr>
          <w:rFonts w:ascii="Book Antiqua" w:hAnsi="Book Antiqua"/>
          <w:b/>
          <w:bCs/>
          <w:caps/>
          <w:color w:val="000000"/>
          <w:spacing w:val="30"/>
          <w:sz w:val="22"/>
          <w:szCs w:val="22"/>
        </w:rPr>
        <w:t>oložka</w:t>
      </w:r>
    </w:p>
    <w:p w:rsidR="00EB0847" w:rsidRPr="00FB3DF8" w:rsidP="000A62BA">
      <w:pPr>
        <w:bidi w:val="0"/>
        <w:spacing w:before="120" w:line="276" w:lineRule="auto"/>
        <w:jc w:val="center"/>
        <w:rPr>
          <w:rFonts w:ascii="Book Antiqua" w:hAnsi="Book Antiqua"/>
          <w:b/>
          <w:bCs/>
          <w:color w:val="000000"/>
          <w:sz w:val="22"/>
          <w:szCs w:val="22"/>
        </w:rPr>
      </w:pPr>
      <w:r w:rsidRPr="00FB3DF8">
        <w:rPr>
          <w:rFonts w:ascii="Book Antiqua" w:hAnsi="Book Antiqua"/>
          <w:b/>
          <w:bCs/>
          <w:color w:val="000000"/>
          <w:sz w:val="22"/>
          <w:szCs w:val="22"/>
        </w:rPr>
        <w:t>vybraných vplyvov</w:t>
      </w:r>
    </w:p>
    <w:p w:rsidR="00EB0847" w:rsidRPr="00FB3DF8" w:rsidP="000A62BA">
      <w:pPr>
        <w:bidi w:val="0"/>
        <w:spacing w:before="120" w:line="276" w:lineRule="auto"/>
        <w:jc w:val="both"/>
        <w:rPr>
          <w:rFonts w:ascii="Book Antiqua" w:hAnsi="Book Antiqua"/>
          <w:color w:val="000000"/>
          <w:sz w:val="22"/>
          <w:szCs w:val="22"/>
        </w:rPr>
      </w:pPr>
    </w:p>
    <w:p w:rsidR="00EB0847" w:rsidRPr="00FB3DF8" w:rsidP="000A62BA">
      <w:pPr>
        <w:bidi w:val="0"/>
        <w:spacing w:before="120" w:line="276" w:lineRule="auto"/>
        <w:jc w:val="both"/>
        <w:rPr>
          <w:rFonts w:ascii="Book Antiqua" w:hAnsi="Book Antiqua"/>
          <w:bCs/>
          <w:iCs/>
          <w:sz w:val="22"/>
          <w:szCs w:val="22"/>
          <w:lang w:eastAsia="cs-CZ"/>
        </w:rPr>
      </w:pPr>
      <w:r w:rsidRPr="00FB3DF8">
        <w:rPr>
          <w:rFonts w:ascii="Book Antiqua" w:hAnsi="Book Antiqua"/>
          <w:b/>
          <w:bCs/>
          <w:color w:val="000000"/>
          <w:sz w:val="22"/>
          <w:szCs w:val="22"/>
        </w:rPr>
        <w:t xml:space="preserve">A.1. Názov materiálu: </w:t>
      </w:r>
      <w:r w:rsidRPr="00FB3DF8" w:rsidR="001840E2">
        <w:rPr>
          <w:rFonts w:ascii="Book Antiqua" w:hAnsi="Book Antiqua"/>
          <w:sz w:val="22"/>
          <w:szCs w:val="22"/>
        </w:rPr>
        <w:t xml:space="preserve">návrh zákona, </w:t>
      </w:r>
      <w:r w:rsidRPr="00FB3DF8" w:rsidR="00542707">
        <w:rPr>
          <w:rFonts w:ascii="Book Antiqua" w:hAnsi="Book Antiqua"/>
          <w:sz w:val="22"/>
          <w:szCs w:val="22"/>
        </w:rPr>
        <w:t xml:space="preserve">ktorým sa mení a dopĺňa </w:t>
      </w:r>
      <w:r w:rsidRPr="00FB3DF8" w:rsidR="00542707">
        <w:rPr>
          <w:rFonts w:ascii="Book Antiqua" w:hAnsi="Book Antiqua"/>
          <w:bCs/>
          <w:iCs/>
          <w:sz w:val="22"/>
          <w:szCs w:val="22"/>
          <w:lang w:eastAsia="cs-CZ"/>
        </w:rPr>
        <w:t>zákon č. 571/2009 Z. z. o rodičovskom príspevku a o zmene a doplnení niektorých zákonov</w:t>
      </w:r>
      <w:r w:rsidRPr="00FB3DF8" w:rsidR="00542707">
        <w:rPr>
          <w:rFonts w:ascii="Book Antiqua" w:hAnsi="Book Antiqua"/>
          <w:sz w:val="22"/>
          <w:szCs w:val="22"/>
        </w:rPr>
        <w:t xml:space="preserve"> v znení neskorších predpisov</w:t>
      </w:r>
    </w:p>
    <w:p w:rsidR="00D74EC7" w:rsidRPr="00FB3DF8" w:rsidP="000A62BA">
      <w:pPr>
        <w:bidi w:val="0"/>
        <w:spacing w:before="120" w:line="276" w:lineRule="auto"/>
        <w:jc w:val="both"/>
        <w:rPr>
          <w:rFonts w:ascii="Book Antiqua" w:hAnsi="Book Antiqua"/>
          <w:bCs/>
          <w:iCs/>
          <w:sz w:val="22"/>
          <w:szCs w:val="22"/>
          <w:lang w:eastAsia="cs-CZ"/>
        </w:rPr>
      </w:pPr>
    </w:p>
    <w:p w:rsidR="00EB0847" w:rsidRPr="00FB3DF8" w:rsidP="000A62BA">
      <w:pPr>
        <w:bidi w:val="0"/>
        <w:spacing w:before="120" w:line="276" w:lineRule="auto"/>
        <w:ind w:firstLine="708"/>
        <w:jc w:val="both"/>
        <w:rPr>
          <w:rFonts w:ascii="Book Antiqua" w:hAnsi="Book Antiqua"/>
          <w:i/>
          <w:iCs/>
          <w:color w:val="000000"/>
          <w:sz w:val="22"/>
          <w:szCs w:val="22"/>
        </w:rPr>
      </w:pPr>
      <w:r w:rsidRPr="00FB3DF8">
        <w:rPr>
          <w:rFonts w:ascii="Book Antiqua" w:hAnsi="Book Antiqua"/>
          <w:b/>
          <w:bCs/>
          <w:color w:val="000000"/>
          <w:sz w:val="22"/>
          <w:szCs w:val="22"/>
        </w:rPr>
        <w:t>Termín začatia a ukončenia PPK:</w:t>
      </w:r>
      <w:r w:rsidRPr="00FB3DF8">
        <w:rPr>
          <w:rFonts w:ascii="Book Antiqua" w:hAnsi="Book Antiqua"/>
          <w:color w:val="000000"/>
          <w:sz w:val="22"/>
          <w:szCs w:val="22"/>
        </w:rPr>
        <w:t xml:space="preserve"> </w:t>
      </w:r>
      <w:r w:rsidRPr="00FB3DF8">
        <w:rPr>
          <w:rFonts w:ascii="Book Antiqua" w:hAnsi="Book Antiqua"/>
          <w:i/>
          <w:iCs/>
          <w:color w:val="000000"/>
          <w:sz w:val="22"/>
          <w:szCs w:val="22"/>
        </w:rPr>
        <w:t>bezpredmetné</w:t>
      </w:r>
    </w:p>
    <w:p w:rsidR="00EB0847" w:rsidRPr="00FB3DF8" w:rsidP="000A62BA">
      <w:pPr>
        <w:bidi w:val="0"/>
        <w:spacing w:before="120" w:line="276" w:lineRule="auto"/>
        <w:jc w:val="both"/>
        <w:rPr>
          <w:rFonts w:ascii="Book Antiqua" w:hAnsi="Book Antiqua"/>
          <w:b/>
          <w:bCs/>
          <w:color w:val="000000"/>
          <w:sz w:val="22"/>
          <w:szCs w:val="22"/>
        </w:rPr>
      </w:pPr>
    </w:p>
    <w:p w:rsidR="00EB0847" w:rsidRPr="00FB3DF8" w:rsidP="000A62BA">
      <w:pPr>
        <w:bidi w:val="0"/>
        <w:spacing w:before="120" w:line="276" w:lineRule="auto"/>
        <w:jc w:val="both"/>
        <w:rPr>
          <w:rFonts w:ascii="Book Antiqua" w:hAnsi="Book Antiqua"/>
          <w:b/>
          <w:bCs/>
          <w:color w:val="000000"/>
          <w:sz w:val="22"/>
          <w:szCs w:val="22"/>
        </w:rPr>
      </w:pPr>
      <w:r w:rsidRPr="00FB3DF8">
        <w:rPr>
          <w:rFonts w:ascii="Book Antiqua" w:hAnsi="Book Antiqua"/>
          <w:b/>
          <w:bCs/>
          <w:color w:val="000000"/>
          <w:sz w:val="22"/>
          <w:szCs w:val="22"/>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518"/>
        <w:gridCol w:w="1192"/>
        <w:gridCol w:w="1181"/>
        <w:gridCol w:w="1197"/>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EB0847" w:rsidRPr="00FB3DF8" w:rsidP="000A62BA">
            <w:pPr>
              <w:bidi w:val="0"/>
              <w:spacing w:before="120" w:line="276" w:lineRule="auto"/>
              <w:jc w:val="both"/>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B0847" w:rsidRPr="00FB3DF8" w:rsidP="000A62BA">
            <w:pPr>
              <w:bidi w:val="0"/>
              <w:spacing w:before="120" w:line="276" w:lineRule="auto"/>
              <w:jc w:val="both"/>
              <w:rPr>
                <w:rFonts w:ascii="Book Antiqua" w:hAnsi="Book Antiqua"/>
                <w:color w:val="000000"/>
                <w:sz w:val="22"/>
                <w:szCs w:val="22"/>
              </w:rPr>
            </w:pPr>
            <w:r w:rsidRPr="00FB3DF8">
              <w:rPr>
                <w:rFonts w:ascii="Book Antiqua" w:hAnsi="Book Antiqua"/>
                <w:color w:val="000000"/>
                <w:sz w:val="22"/>
                <w:szCs w:val="22"/>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B0847" w:rsidRPr="00FB3DF8" w:rsidP="000A62BA">
            <w:pPr>
              <w:bidi w:val="0"/>
              <w:spacing w:before="120" w:line="276" w:lineRule="auto"/>
              <w:jc w:val="both"/>
              <w:rPr>
                <w:rFonts w:ascii="Book Antiqua" w:hAnsi="Book Antiqua"/>
                <w:color w:val="000000"/>
                <w:sz w:val="22"/>
                <w:szCs w:val="22"/>
              </w:rPr>
            </w:pPr>
            <w:r w:rsidRPr="00FB3DF8">
              <w:rPr>
                <w:rFonts w:ascii="Book Antiqua" w:hAnsi="Book Antiqua"/>
                <w:color w:val="000000"/>
                <w:sz w:val="22"/>
                <w:szCs w:val="22"/>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B0847" w:rsidRPr="00FB3DF8" w:rsidP="000A62BA">
            <w:pPr>
              <w:bidi w:val="0"/>
              <w:spacing w:before="120" w:line="276" w:lineRule="auto"/>
              <w:jc w:val="both"/>
              <w:rPr>
                <w:rFonts w:ascii="Book Antiqua" w:hAnsi="Book Antiqua"/>
                <w:color w:val="000000"/>
                <w:sz w:val="22"/>
                <w:szCs w:val="22"/>
              </w:rPr>
            </w:pPr>
            <w:r w:rsidRPr="00FB3DF8">
              <w:rPr>
                <w:rFonts w:ascii="Book Antiqua" w:hAnsi="Book Antiqua"/>
                <w:color w:val="000000"/>
                <w:sz w:val="22"/>
                <w:szCs w:val="22"/>
              </w:rPr>
              <w:t> Negatívne </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EB0847" w:rsidRPr="00FB3DF8" w:rsidP="000A62BA">
            <w:pPr>
              <w:bidi w:val="0"/>
              <w:spacing w:before="120" w:line="276" w:lineRule="auto"/>
              <w:jc w:val="both"/>
              <w:rPr>
                <w:rFonts w:ascii="Book Antiqua" w:hAnsi="Book Antiqua"/>
                <w:color w:val="000000"/>
                <w:sz w:val="22"/>
                <w:szCs w:val="22"/>
              </w:rPr>
            </w:pPr>
            <w:r w:rsidRPr="00FB3DF8">
              <w:rPr>
                <w:rFonts w:ascii="Book Antiqua" w:hAnsi="Book Antiqua"/>
                <w:color w:val="000000"/>
                <w:sz w:val="22"/>
                <w:szCs w:val="22"/>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B0847" w:rsidRPr="00FB3DF8" w:rsidP="000A62BA">
            <w:pPr>
              <w:bidi w:val="0"/>
              <w:spacing w:before="120" w:line="276" w:lineRule="auto"/>
              <w:jc w:val="center"/>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B0847" w:rsidRPr="00FB3DF8" w:rsidP="000A62BA">
            <w:pPr>
              <w:bidi w:val="0"/>
              <w:spacing w:before="120" w:line="276" w:lineRule="auto"/>
              <w:jc w:val="center"/>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B0847" w:rsidRPr="00FB3DF8" w:rsidP="000A62BA">
            <w:pPr>
              <w:bidi w:val="0"/>
              <w:spacing w:before="120" w:line="276" w:lineRule="auto"/>
              <w:jc w:val="center"/>
              <w:rPr>
                <w:rFonts w:ascii="Book Antiqua" w:hAnsi="Book Antiqua"/>
                <w:color w:val="000000"/>
                <w:sz w:val="22"/>
                <w:szCs w:val="22"/>
              </w:rPr>
            </w:pPr>
            <w:r w:rsidRPr="00FB3DF8" w:rsidR="002C078D">
              <w:rPr>
                <w:rFonts w:ascii="Book Antiqua" w:hAnsi="Book Antiqua"/>
                <w:color w:val="000000"/>
                <w:sz w:val="22"/>
                <w:szCs w:val="22"/>
              </w:rPr>
              <w:t>x</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EB0847" w:rsidRPr="00FB3DF8" w:rsidP="000A62BA">
            <w:pPr>
              <w:bidi w:val="0"/>
              <w:spacing w:before="120" w:line="276" w:lineRule="auto"/>
              <w:jc w:val="both"/>
              <w:rPr>
                <w:rFonts w:ascii="Book Antiqua" w:hAnsi="Book Antiqua"/>
                <w:color w:val="000000"/>
                <w:sz w:val="22"/>
                <w:szCs w:val="22"/>
              </w:rPr>
            </w:pPr>
            <w:r w:rsidRPr="00FB3DF8">
              <w:rPr>
                <w:rFonts w:ascii="Book Antiqua" w:hAnsi="Book Antiqua"/>
                <w:color w:val="000000"/>
                <w:sz w:val="22"/>
                <w:szCs w:val="22"/>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B0847" w:rsidRPr="00FB3DF8" w:rsidP="000A62BA">
            <w:pPr>
              <w:bidi w:val="0"/>
              <w:spacing w:before="120" w:line="276" w:lineRule="auto"/>
              <w:jc w:val="center"/>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B0847" w:rsidRPr="00FB3DF8" w:rsidP="000A62BA">
            <w:pPr>
              <w:bidi w:val="0"/>
              <w:spacing w:before="120" w:line="276" w:lineRule="auto"/>
              <w:jc w:val="center"/>
              <w:rPr>
                <w:rFonts w:ascii="Book Antiqua" w:hAnsi="Book Antiqua"/>
                <w:color w:val="000000"/>
                <w:sz w:val="22"/>
                <w:szCs w:val="22"/>
              </w:rPr>
            </w:pPr>
            <w:r w:rsidRPr="00FB3DF8" w:rsidR="007776D2">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B0847" w:rsidRPr="00FB3DF8" w:rsidP="000A62BA">
            <w:pPr>
              <w:bidi w:val="0"/>
              <w:spacing w:before="120" w:line="276" w:lineRule="auto"/>
              <w:jc w:val="center"/>
              <w:rPr>
                <w:rFonts w:ascii="Book Antiqua" w:hAnsi="Book Antiqua"/>
                <w:color w:val="000000"/>
                <w:sz w:val="22"/>
                <w:szCs w:val="22"/>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EB0847" w:rsidRPr="00FB3DF8" w:rsidP="000A62BA">
            <w:pPr>
              <w:bidi w:val="0"/>
              <w:spacing w:before="120" w:line="276" w:lineRule="auto"/>
              <w:jc w:val="both"/>
              <w:rPr>
                <w:rFonts w:ascii="Book Antiqua" w:hAnsi="Book Antiqua"/>
                <w:color w:val="000000"/>
                <w:sz w:val="22"/>
                <w:szCs w:val="22"/>
              </w:rPr>
            </w:pPr>
            <w:r w:rsidRPr="00FB3DF8">
              <w:rPr>
                <w:rFonts w:ascii="Book Antiqua" w:hAnsi="Book Antiqua"/>
                <w:color w:val="000000"/>
                <w:sz w:val="22"/>
                <w:szCs w:val="22"/>
              </w:rPr>
              <w:t>3. Sociálne vplyvy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B0847" w:rsidRPr="00FB3DF8" w:rsidP="000A62BA">
            <w:pPr>
              <w:bidi w:val="0"/>
              <w:spacing w:before="120" w:line="276" w:lineRule="auto"/>
              <w:jc w:val="center"/>
              <w:rPr>
                <w:rFonts w:ascii="Book Antiqua" w:hAnsi="Book Antiqua"/>
                <w:color w:val="000000"/>
                <w:sz w:val="22"/>
                <w:szCs w:val="22"/>
              </w:rPr>
            </w:pPr>
            <w:r w:rsidRPr="00FB3DF8" w:rsidR="007F7CE5">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B0847" w:rsidRPr="00FB3DF8" w:rsidP="000A62BA">
            <w:pPr>
              <w:bidi w:val="0"/>
              <w:spacing w:before="120" w:line="276" w:lineRule="auto"/>
              <w:jc w:val="center"/>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B0847" w:rsidRPr="00FB3DF8" w:rsidP="000A62BA">
            <w:pPr>
              <w:bidi w:val="0"/>
              <w:spacing w:before="120" w:line="276" w:lineRule="auto"/>
              <w:jc w:val="center"/>
              <w:rPr>
                <w:rFonts w:ascii="Book Antiqua" w:hAnsi="Book Antiqua"/>
                <w:color w:val="000000"/>
                <w:sz w:val="22"/>
                <w:szCs w:val="22"/>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EB0847" w:rsidRPr="00FB3DF8" w:rsidP="000A62BA">
            <w:pPr>
              <w:bidi w:val="0"/>
              <w:spacing w:before="120" w:line="276" w:lineRule="auto"/>
              <w:jc w:val="both"/>
              <w:rPr>
                <w:rFonts w:ascii="Book Antiqua" w:hAnsi="Book Antiqua"/>
                <w:color w:val="000000"/>
                <w:sz w:val="22"/>
                <w:szCs w:val="22"/>
              </w:rPr>
            </w:pPr>
            <w:r w:rsidRPr="00FB3DF8">
              <w:rPr>
                <w:rFonts w:ascii="Book Antiqua" w:hAnsi="Book Antiqua"/>
                <w:color w:val="000000"/>
                <w:sz w:val="22"/>
                <w:szCs w:val="22"/>
              </w:rPr>
              <w:t>– vplyvy na hospodárenie obyvateľstva,</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EB0847" w:rsidRPr="00FB3DF8" w:rsidP="000A62BA">
            <w:pPr>
              <w:bidi w:val="0"/>
              <w:spacing w:before="120" w:line="276" w:lineRule="auto"/>
              <w:jc w:val="center"/>
              <w:rPr>
                <w:rFonts w:ascii="Book Antiqua" w:hAnsi="Book Antiqua"/>
                <w:color w:val="000000"/>
                <w:sz w:val="22"/>
                <w:szCs w:val="22"/>
              </w:rPr>
            </w:pPr>
            <w:r w:rsidRPr="00FB3DF8" w:rsidR="004A3079">
              <w:rPr>
                <w:rFonts w:ascii="Book Antiqua" w:hAnsi="Book Antiqua"/>
                <w:color w:val="000000"/>
                <w:sz w:val="22"/>
                <w:szCs w:val="22"/>
              </w:rPr>
              <w:t>x</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EB0847" w:rsidRPr="00FB3DF8" w:rsidP="000A62BA">
            <w:pPr>
              <w:bidi w:val="0"/>
              <w:spacing w:before="120" w:line="276" w:lineRule="auto"/>
              <w:jc w:val="center"/>
              <w:rPr>
                <w:rFonts w:ascii="Book Antiqua" w:hAnsi="Book Antiqua"/>
                <w:color w:val="000000"/>
                <w:sz w:val="22"/>
                <w:szCs w:val="22"/>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EB0847" w:rsidRPr="00FB3DF8" w:rsidP="000A62BA">
            <w:pPr>
              <w:bidi w:val="0"/>
              <w:spacing w:before="120" w:line="276" w:lineRule="auto"/>
              <w:jc w:val="center"/>
              <w:rPr>
                <w:rFonts w:ascii="Book Antiqua" w:hAnsi="Book Antiqua"/>
                <w:color w:val="000000"/>
                <w:sz w:val="22"/>
                <w:szCs w:val="22"/>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EB0847" w:rsidRPr="00FB3DF8" w:rsidP="000A62BA">
            <w:pPr>
              <w:bidi w:val="0"/>
              <w:spacing w:before="120" w:line="276" w:lineRule="auto"/>
              <w:jc w:val="both"/>
              <w:rPr>
                <w:rFonts w:ascii="Book Antiqua" w:hAnsi="Book Antiqua"/>
                <w:color w:val="000000"/>
                <w:sz w:val="22"/>
                <w:szCs w:val="22"/>
              </w:rPr>
            </w:pPr>
            <w:r w:rsidRPr="00FB3DF8">
              <w:rPr>
                <w:rFonts w:ascii="Book Antiqua" w:hAnsi="Book Antiqua"/>
                <w:color w:val="000000"/>
                <w:sz w:val="22"/>
                <w:szCs w:val="22"/>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B0847" w:rsidRPr="00FB3DF8" w:rsidP="000A62BA">
            <w:pPr>
              <w:bidi w:val="0"/>
              <w:spacing w:before="120" w:line="276" w:lineRule="auto"/>
              <w:jc w:val="both"/>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B0847" w:rsidRPr="00FB3DF8" w:rsidP="000A62BA">
            <w:pPr>
              <w:bidi w:val="0"/>
              <w:spacing w:before="120" w:line="276" w:lineRule="auto"/>
              <w:jc w:val="center"/>
              <w:rPr>
                <w:rFonts w:ascii="Book Antiqua" w:hAnsi="Book Antiqua"/>
                <w:color w:val="000000"/>
                <w:sz w:val="22"/>
                <w:szCs w:val="22"/>
              </w:rPr>
            </w:pPr>
            <w:r w:rsidRPr="00FB3DF8" w:rsidR="00E265EF">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B0847" w:rsidRPr="00FB3DF8" w:rsidP="000A62BA">
            <w:pPr>
              <w:bidi w:val="0"/>
              <w:spacing w:before="120" w:line="276" w:lineRule="auto"/>
              <w:jc w:val="both"/>
              <w:rPr>
                <w:rFonts w:ascii="Book Antiqua" w:hAnsi="Book Antiqua"/>
                <w:color w:val="000000"/>
                <w:sz w:val="22"/>
                <w:szCs w:val="22"/>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EB0847" w:rsidRPr="00FB3DF8" w:rsidP="000A62BA">
            <w:pPr>
              <w:bidi w:val="0"/>
              <w:spacing w:before="120" w:line="276" w:lineRule="auto"/>
              <w:jc w:val="both"/>
              <w:rPr>
                <w:rFonts w:ascii="Book Antiqua" w:hAnsi="Book Antiqua"/>
                <w:color w:val="000000"/>
                <w:sz w:val="22"/>
                <w:szCs w:val="22"/>
              </w:rPr>
            </w:pPr>
            <w:r w:rsidRPr="00FB3DF8">
              <w:rPr>
                <w:rFonts w:ascii="Book Antiqua" w:hAnsi="Book Antiqua"/>
                <w:color w:val="000000"/>
                <w:sz w:val="22"/>
                <w:szCs w:val="22"/>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B0847" w:rsidRPr="00FB3DF8" w:rsidP="000A62BA">
            <w:pPr>
              <w:bidi w:val="0"/>
              <w:spacing w:before="120" w:line="276" w:lineRule="auto"/>
              <w:jc w:val="center"/>
              <w:rPr>
                <w:rFonts w:ascii="Book Antiqua" w:hAnsi="Book Antiqua"/>
                <w:color w:val="000000"/>
                <w:sz w:val="22"/>
                <w:szCs w:val="22"/>
              </w:rPr>
            </w:pPr>
            <w:r w:rsidRPr="00FB3DF8" w:rsidR="007F7CE5">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B0847" w:rsidRPr="00FB3DF8" w:rsidP="000A62BA">
            <w:pPr>
              <w:bidi w:val="0"/>
              <w:spacing w:before="120" w:line="276" w:lineRule="auto"/>
              <w:jc w:val="center"/>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B0847" w:rsidRPr="00FB3DF8" w:rsidP="000A62BA">
            <w:pPr>
              <w:bidi w:val="0"/>
              <w:spacing w:before="120" w:line="276" w:lineRule="auto"/>
              <w:jc w:val="both"/>
              <w:rPr>
                <w:rFonts w:ascii="Book Antiqua" w:hAnsi="Book Antiqua"/>
                <w:color w:val="000000"/>
                <w:sz w:val="22"/>
                <w:szCs w:val="22"/>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EB0847" w:rsidRPr="00FB3DF8" w:rsidP="000A62BA">
            <w:pPr>
              <w:bidi w:val="0"/>
              <w:spacing w:before="120" w:line="276" w:lineRule="auto"/>
              <w:jc w:val="both"/>
              <w:rPr>
                <w:rFonts w:ascii="Book Antiqua" w:hAnsi="Book Antiqua"/>
                <w:color w:val="000000"/>
                <w:sz w:val="22"/>
                <w:szCs w:val="22"/>
              </w:rPr>
            </w:pPr>
            <w:r w:rsidRPr="00FB3DF8">
              <w:rPr>
                <w:rFonts w:ascii="Book Antiqua" w:hAnsi="Book Antiqua"/>
                <w:color w:val="000000"/>
                <w:sz w:val="22"/>
                <w:szCs w:val="22"/>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B0847" w:rsidRPr="00FB3DF8" w:rsidP="000A62BA">
            <w:pPr>
              <w:bidi w:val="0"/>
              <w:spacing w:before="120" w:line="276" w:lineRule="auto"/>
              <w:jc w:val="both"/>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B0847" w:rsidRPr="00FB3DF8" w:rsidP="000A62BA">
            <w:pPr>
              <w:bidi w:val="0"/>
              <w:spacing w:before="120" w:line="276" w:lineRule="auto"/>
              <w:jc w:val="center"/>
              <w:rPr>
                <w:rFonts w:ascii="Book Antiqua" w:hAnsi="Book Antiqua"/>
                <w:color w:val="000000"/>
                <w:sz w:val="22"/>
                <w:szCs w:val="22"/>
              </w:rPr>
            </w:pPr>
            <w:r w:rsidRPr="00FB3DF8">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B0847" w:rsidRPr="00FB3DF8" w:rsidP="000A62BA">
            <w:pPr>
              <w:bidi w:val="0"/>
              <w:spacing w:before="120" w:line="276" w:lineRule="auto"/>
              <w:jc w:val="both"/>
              <w:rPr>
                <w:rFonts w:ascii="Book Antiqua" w:hAnsi="Book Antiqua"/>
                <w:color w:val="000000"/>
                <w:sz w:val="22"/>
                <w:szCs w:val="22"/>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EB0847" w:rsidRPr="00FB3DF8" w:rsidP="000A62BA">
            <w:pPr>
              <w:bidi w:val="0"/>
              <w:spacing w:before="120" w:line="276" w:lineRule="auto"/>
              <w:jc w:val="both"/>
              <w:rPr>
                <w:rFonts w:ascii="Book Antiqua" w:hAnsi="Book Antiqua"/>
                <w:color w:val="000000"/>
                <w:sz w:val="22"/>
                <w:szCs w:val="22"/>
              </w:rPr>
            </w:pPr>
            <w:r w:rsidRPr="00FB3DF8">
              <w:rPr>
                <w:rFonts w:ascii="Book Antiqua" w:hAnsi="Book Antiqua"/>
                <w:color w:val="000000"/>
                <w:sz w:val="22"/>
                <w:szCs w:val="22"/>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B0847" w:rsidRPr="00FB3DF8" w:rsidP="000A62BA">
            <w:pPr>
              <w:bidi w:val="0"/>
              <w:spacing w:before="120" w:line="276" w:lineRule="auto"/>
              <w:jc w:val="center"/>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B0847" w:rsidRPr="00FB3DF8" w:rsidP="000A62BA">
            <w:pPr>
              <w:bidi w:val="0"/>
              <w:spacing w:before="120" w:line="276" w:lineRule="auto"/>
              <w:jc w:val="center"/>
              <w:rPr>
                <w:rFonts w:ascii="Book Antiqua" w:hAnsi="Book Antiqua"/>
                <w:color w:val="000000"/>
                <w:sz w:val="22"/>
                <w:szCs w:val="22"/>
              </w:rPr>
            </w:pPr>
            <w:r w:rsidRPr="00FB3DF8" w:rsidR="00020CA1">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B0847" w:rsidRPr="00FB3DF8" w:rsidP="000A62BA">
            <w:pPr>
              <w:bidi w:val="0"/>
              <w:spacing w:before="120" w:line="276" w:lineRule="auto"/>
              <w:jc w:val="both"/>
              <w:rPr>
                <w:rFonts w:ascii="Book Antiqua" w:hAnsi="Book Antiqua"/>
                <w:color w:val="000000"/>
                <w:sz w:val="22"/>
                <w:szCs w:val="22"/>
              </w:rPr>
            </w:pPr>
          </w:p>
        </w:tc>
      </w:tr>
    </w:tbl>
    <w:p w:rsidR="00EB0847" w:rsidRPr="00FB3DF8" w:rsidP="000A62BA">
      <w:pPr>
        <w:bidi w:val="0"/>
        <w:spacing w:before="120" w:line="276" w:lineRule="auto"/>
        <w:jc w:val="both"/>
        <w:rPr>
          <w:rFonts w:ascii="Book Antiqua" w:hAnsi="Book Antiqua"/>
          <w:color w:val="000000"/>
          <w:sz w:val="22"/>
          <w:szCs w:val="22"/>
        </w:rPr>
      </w:pPr>
      <w:r w:rsidRPr="00FB3DF8">
        <w:rPr>
          <w:rFonts w:ascii="Book Antiqua" w:hAnsi="Book Antiqua"/>
          <w:color w:val="000000"/>
          <w:sz w:val="22"/>
          <w:szCs w:val="22"/>
        </w:rPr>
        <w:t> </w:t>
      </w:r>
    </w:p>
    <w:p w:rsidR="007F7CE5" w:rsidRPr="00FB3DF8" w:rsidP="000A62BA">
      <w:pPr>
        <w:bidi w:val="0"/>
        <w:spacing w:before="120" w:line="276" w:lineRule="auto"/>
        <w:jc w:val="both"/>
        <w:rPr>
          <w:rFonts w:ascii="Book Antiqua" w:hAnsi="Book Antiqua"/>
          <w:b/>
          <w:bCs/>
          <w:color w:val="000000"/>
          <w:sz w:val="22"/>
          <w:szCs w:val="22"/>
        </w:rPr>
      </w:pPr>
      <w:r w:rsidRPr="00FB3DF8" w:rsidR="008339D9">
        <w:rPr>
          <w:rFonts w:ascii="Book Antiqua" w:hAnsi="Book Antiqua"/>
          <w:b/>
          <w:bCs/>
          <w:color w:val="000000"/>
          <w:sz w:val="22"/>
          <w:szCs w:val="22"/>
        </w:rPr>
        <w:t>A.3. Poznámky</w:t>
      </w:r>
    </w:p>
    <w:p w:rsidR="00361525" w:rsidRPr="00FB3DF8" w:rsidP="000A62BA">
      <w:pPr>
        <w:bidi w:val="0"/>
        <w:spacing w:before="120" w:line="276" w:lineRule="auto"/>
        <w:jc w:val="both"/>
        <w:rPr>
          <w:rFonts w:ascii="Book Antiqua" w:hAnsi="Book Antiqua"/>
          <w:i/>
          <w:sz w:val="22"/>
          <w:szCs w:val="22"/>
        </w:rPr>
      </w:pPr>
      <w:r w:rsidRPr="00FB3DF8" w:rsidR="007F7CE5">
        <w:rPr>
          <w:rFonts w:ascii="Book Antiqua" w:hAnsi="Book Antiqua" w:cs="Arial"/>
          <w:i/>
          <w:sz w:val="22"/>
          <w:szCs w:val="22"/>
        </w:rPr>
        <w:t>Návrh vy</w:t>
      </w:r>
      <w:r w:rsidRPr="00FB3DF8" w:rsidR="007F7CE5">
        <w:rPr>
          <w:rFonts w:ascii="Book Antiqua" w:hAnsi="Book Antiqua"/>
          <w:i/>
          <w:sz w:val="22"/>
          <w:szCs w:val="22"/>
        </w:rPr>
        <w:t>ž</w:t>
      </w:r>
      <w:r w:rsidRPr="00FB3DF8" w:rsidR="007F7CE5">
        <w:rPr>
          <w:rFonts w:ascii="Book Antiqua" w:hAnsi="Book Antiqua" w:cs="Arial"/>
          <w:i/>
          <w:sz w:val="22"/>
          <w:szCs w:val="22"/>
        </w:rPr>
        <w:t>aduje zvýšenie výdavkov štátneho rozpo</w:t>
      </w:r>
      <w:r w:rsidRPr="00FB3DF8" w:rsidR="007F7CE5">
        <w:rPr>
          <w:rFonts w:ascii="Book Antiqua" w:hAnsi="Book Antiqua"/>
          <w:i/>
          <w:sz w:val="22"/>
          <w:szCs w:val="22"/>
        </w:rPr>
        <w:t>č</w:t>
      </w:r>
      <w:r w:rsidRPr="00FB3DF8" w:rsidR="007F7CE5">
        <w:rPr>
          <w:rFonts w:ascii="Book Antiqua" w:hAnsi="Book Antiqua" w:cs="Arial"/>
          <w:i/>
          <w:sz w:val="22"/>
          <w:szCs w:val="22"/>
        </w:rPr>
        <w:t>tu</w:t>
      </w:r>
      <w:r w:rsidRPr="00FB3DF8" w:rsidR="008640D4">
        <w:rPr>
          <w:rFonts w:ascii="Book Antiqua" w:hAnsi="Book Antiqua"/>
          <w:i/>
          <w:sz w:val="22"/>
          <w:szCs w:val="22"/>
        </w:rPr>
        <w:t>. Pri plnom poskytovaní rodičovského príspevku ide ročne o sumu cca 58 mil. eur. Postupné zvýšenie výdavkov štátnej rozpočtu je vypočítané nasledovne</w:t>
      </w:r>
      <w:r w:rsidRPr="00FB3DF8" w:rsidR="007F7CE5">
        <w:rPr>
          <w:rFonts w:ascii="Book Antiqua" w:hAnsi="Book Antiqua" w:cs="Arial"/>
          <w:i/>
          <w:sz w:val="22"/>
          <w:szCs w:val="22"/>
        </w:rPr>
        <w:t>:</w:t>
      </w:r>
    </w:p>
    <w:tbl>
      <w:tblPr>
        <w:tblStyle w:val="TableNormal"/>
        <w:tblW w:w="9152" w:type="dxa"/>
        <w:tblInd w:w="-10" w:type="dxa"/>
        <w:tblCellMar>
          <w:left w:w="70" w:type="dxa"/>
          <w:right w:w="70" w:type="dxa"/>
        </w:tblCellMar>
        <w:tblLook w:val="04A0"/>
      </w:tblPr>
      <w:tblGrid>
        <w:gridCol w:w="3820"/>
        <w:gridCol w:w="800"/>
        <w:gridCol w:w="880"/>
        <w:gridCol w:w="820"/>
        <w:gridCol w:w="820"/>
        <w:gridCol w:w="2012"/>
      </w:tblGrid>
      <w:tr>
        <w:tblPrEx>
          <w:tblW w:w="9152" w:type="dxa"/>
          <w:tblInd w:w="-10" w:type="dxa"/>
          <w:tblCellMar>
            <w:left w:w="70" w:type="dxa"/>
            <w:right w:w="70" w:type="dxa"/>
          </w:tblCellMar>
          <w:tblLook w:val="04A0"/>
        </w:tblPrEx>
        <w:trPr>
          <w:trHeight w:val="264"/>
        </w:trPr>
        <w:tc>
          <w:tcPr>
            <w:tcW w:w="3820" w:type="dxa"/>
            <w:tcBorders>
              <w:top w:val="single" w:sz="8" w:space="0" w:color="auto"/>
              <w:left w:val="single" w:sz="8" w:space="0" w:color="auto"/>
              <w:bottom w:val="single" w:sz="4" w:space="0" w:color="auto"/>
              <w:right w:val="single" w:sz="8" w:space="0" w:color="auto"/>
            </w:tcBorders>
            <w:noWrap/>
            <w:textDirection w:val="lrTb"/>
            <w:vAlign w:val="center"/>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rok</w:t>
            </w:r>
          </w:p>
        </w:tc>
        <w:tc>
          <w:tcPr>
            <w:tcW w:w="800" w:type="dxa"/>
            <w:tcBorders>
              <w:top w:val="single" w:sz="8" w:space="0" w:color="auto"/>
              <w:left w:val="nil"/>
              <w:bottom w:val="single" w:sz="4" w:space="0" w:color="auto"/>
              <w:right w:val="single" w:sz="4" w:space="0" w:color="auto"/>
            </w:tcBorders>
            <w:noWrap/>
            <w:textDirection w:val="lrTb"/>
            <w:vAlign w:val="center"/>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2018</w:t>
            </w:r>
          </w:p>
        </w:tc>
        <w:tc>
          <w:tcPr>
            <w:tcW w:w="880" w:type="dxa"/>
            <w:tcBorders>
              <w:top w:val="single" w:sz="8" w:space="0" w:color="auto"/>
              <w:left w:val="nil"/>
              <w:bottom w:val="single" w:sz="4" w:space="0" w:color="auto"/>
              <w:right w:val="single" w:sz="4" w:space="0" w:color="auto"/>
            </w:tcBorders>
            <w:noWrap/>
            <w:textDirection w:val="lrTb"/>
            <w:vAlign w:val="center"/>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2019</w:t>
            </w:r>
          </w:p>
        </w:tc>
        <w:tc>
          <w:tcPr>
            <w:tcW w:w="820" w:type="dxa"/>
            <w:tcBorders>
              <w:top w:val="single" w:sz="8" w:space="0" w:color="auto"/>
              <w:left w:val="nil"/>
              <w:bottom w:val="single" w:sz="4" w:space="0" w:color="auto"/>
              <w:right w:val="single" w:sz="4" w:space="0" w:color="auto"/>
            </w:tcBorders>
            <w:noWrap/>
            <w:textDirection w:val="lrTb"/>
            <w:vAlign w:val="center"/>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2020</w:t>
            </w:r>
          </w:p>
        </w:tc>
        <w:tc>
          <w:tcPr>
            <w:tcW w:w="820" w:type="dxa"/>
            <w:tcBorders>
              <w:top w:val="single" w:sz="8" w:space="0" w:color="auto"/>
              <w:left w:val="nil"/>
              <w:bottom w:val="single" w:sz="4" w:space="0" w:color="auto"/>
              <w:right w:val="single" w:sz="4" w:space="0" w:color="auto"/>
            </w:tcBorders>
            <w:noWrap/>
            <w:textDirection w:val="lrTb"/>
            <w:vAlign w:val="center"/>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2021</w:t>
            </w:r>
          </w:p>
        </w:tc>
        <w:tc>
          <w:tcPr>
            <w:tcW w:w="2012" w:type="dxa"/>
            <w:tcBorders>
              <w:top w:val="single" w:sz="8" w:space="0" w:color="auto"/>
              <w:left w:val="nil"/>
              <w:bottom w:val="single" w:sz="4" w:space="0" w:color="auto"/>
              <w:right w:val="single" w:sz="8" w:space="0" w:color="auto"/>
            </w:tcBorders>
            <w:noWrap/>
            <w:textDirection w:val="lrTb"/>
            <w:vAlign w:val="center"/>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2022</w:t>
            </w:r>
          </w:p>
        </w:tc>
      </w:tr>
      <w:tr>
        <w:tblPrEx>
          <w:tblW w:w="9152" w:type="dxa"/>
          <w:tblInd w:w="-10" w:type="dxa"/>
          <w:tblCellMar>
            <w:left w:w="70" w:type="dxa"/>
            <w:right w:w="70" w:type="dxa"/>
          </w:tblCellMar>
          <w:tblLook w:val="04A0"/>
        </w:tblPrEx>
        <w:trPr>
          <w:trHeight w:val="385"/>
        </w:trPr>
        <w:tc>
          <w:tcPr>
            <w:tcW w:w="3820" w:type="dxa"/>
            <w:tcBorders>
              <w:top w:val="nil"/>
              <w:left w:val="single" w:sz="8" w:space="0" w:color="auto"/>
              <w:bottom w:val="single" w:sz="8" w:space="0" w:color="auto"/>
              <w:right w:val="single" w:sz="8" w:space="0" w:color="auto"/>
            </w:tcBorders>
            <w:textDirection w:val="lrTb"/>
            <w:vAlign w:val="center"/>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zvýšenie výdavkov ŠR v tis.eur</w:t>
            </w:r>
          </w:p>
        </w:tc>
        <w:tc>
          <w:tcPr>
            <w:tcW w:w="800" w:type="dxa"/>
            <w:tcBorders>
              <w:top w:val="nil"/>
              <w:left w:val="nil"/>
              <w:bottom w:val="single" w:sz="8" w:space="0" w:color="auto"/>
              <w:right w:val="single" w:sz="4" w:space="0" w:color="auto"/>
            </w:tcBorders>
            <w:noWrap/>
            <w:textDirection w:val="lrTb"/>
            <w:vAlign w:val="center"/>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10 116</w:t>
            </w:r>
          </w:p>
        </w:tc>
        <w:tc>
          <w:tcPr>
            <w:tcW w:w="880" w:type="dxa"/>
            <w:tcBorders>
              <w:top w:val="nil"/>
              <w:left w:val="nil"/>
              <w:bottom w:val="single" w:sz="8" w:space="0" w:color="auto"/>
              <w:right w:val="single" w:sz="4" w:space="0" w:color="auto"/>
            </w:tcBorders>
            <w:noWrap/>
            <w:textDirection w:val="lrTb"/>
            <w:vAlign w:val="center"/>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20 642</w:t>
            </w:r>
          </w:p>
        </w:tc>
        <w:tc>
          <w:tcPr>
            <w:tcW w:w="820" w:type="dxa"/>
            <w:tcBorders>
              <w:top w:val="nil"/>
              <w:left w:val="nil"/>
              <w:bottom w:val="single" w:sz="8" w:space="0" w:color="auto"/>
              <w:right w:val="single" w:sz="4" w:space="0" w:color="auto"/>
            </w:tcBorders>
            <w:noWrap/>
            <w:textDirection w:val="lrTb"/>
            <w:vAlign w:val="center"/>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33 254</w:t>
            </w:r>
          </w:p>
        </w:tc>
        <w:tc>
          <w:tcPr>
            <w:tcW w:w="820" w:type="dxa"/>
            <w:tcBorders>
              <w:top w:val="nil"/>
              <w:left w:val="nil"/>
              <w:bottom w:val="single" w:sz="8" w:space="0" w:color="auto"/>
              <w:right w:val="single" w:sz="4" w:space="0" w:color="auto"/>
            </w:tcBorders>
            <w:noWrap/>
            <w:textDirection w:val="lrTb"/>
            <w:vAlign w:val="center"/>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45 239</w:t>
            </w:r>
          </w:p>
        </w:tc>
        <w:tc>
          <w:tcPr>
            <w:tcW w:w="2012" w:type="dxa"/>
            <w:tcBorders>
              <w:top w:val="nil"/>
              <w:left w:val="nil"/>
              <w:bottom w:val="single" w:sz="8" w:space="0" w:color="auto"/>
              <w:right w:val="single" w:sz="8" w:space="0" w:color="auto"/>
            </w:tcBorders>
            <w:noWrap/>
            <w:textDirection w:val="lrTb"/>
            <w:vAlign w:val="center"/>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57 699</w:t>
            </w:r>
          </w:p>
        </w:tc>
      </w:tr>
    </w:tbl>
    <w:p w:rsidR="008339D9" w:rsidRPr="00FB3DF8" w:rsidP="000A62BA">
      <w:pPr>
        <w:bidi w:val="0"/>
        <w:spacing w:before="120" w:line="276" w:lineRule="auto"/>
        <w:jc w:val="both"/>
        <w:rPr>
          <w:rFonts w:ascii="Book Antiqua" w:hAnsi="Book Antiqua"/>
          <w:sz w:val="22"/>
          <w:szCs w:val="22"/>
        </w:rPr>
      </w:pPr>
    </w:p>
    <w:p w:rsidR="007F7CE5" w:rsidRPr="00FB3DF8" w:rsidP="000A62BA">
      <w:pPr>
        <w:bidi w:val="0"/>
        <w:spacing w:before="120" w:line="276" w:lineRule="auto"/>
        <w:jc w:val="both"/>
        <w:rPr>
          <w:rFonts w:ascii="Book Antiqua" w:hAnsi="Book Antiqua"/>
          <w:i/>
          <w:sz w:val="22"/>
          <w:szCs w:val="22"/>
        </w:rPr>
      </w:pPr>
      <w:r w:rsidRPr="00FB3DF8">
        <w:rPr>
          <w:rFonts w:ascii="Book Antiqua" w:hAnsi="Book Antiqua" w:cs="Arial"/>
          <w:i/>
          <w:sz w:val="22"/>
          <w:szCs w:val="22"/>
        </w:rPr>
        <w:t>Odhad dopadov na štátny rozpo</w:t>
      </w:r>
      <w:r w:rsidRPr="00FB3DF8">
        <w:rPr>
          <w:rFonts w:ascii="Book Antiqua" w:hAnsi="Book Antiqua"/>
          <w:i/>
          <w:sz w:val="22"/>
          <w:szCs w:val="22"/>
        </w:rPr>
        <w:t>č</w:t>
      </w:r>
      <w:r w:rsidRPr="00FB3DF8">
        <w:rPr>
          <w:rFonts w:ascii="Book Antiqua" w:hAnsi="Book Antiqua" w:cs="Arial"/>
          <w:i/>
          <w:sz w:val="22"/>
          <w:szCs w:val="22"/>
        </w:rPr>
        <w:t>et vychádza z nasledujúcich odhadov</w:t>
      </w:r>
      <w:r w:rsidRPr="00FB3DF8" w:rsidR="008640D4">
        <w:rPr>
          <w:rFonts w:ascii="Book Antiqua" w:hAnsi="Book Antiqua"/>
          <w:i/>
          <w:sz w:val="22"/>
          <w:szCs w:val="22"/>
        </w:rPr>
        <w:t>:</w:t>
      </w:r>
    </w:p>
    <w:tbl>
      <w:tblPr>
        <w:tblStyle w:val="TableNormal"/>
        <w:tblW w:w="9152" w:type="dxa"/>
        <w:tblInd w:w="-10" w:type="dxa"/>
        <w:tblCellMar>
          <w:left w:w="70" w:type="dxa"/>
          <w:right w:w="70" w:type="dxa"/>
        </w:tblCellMar>
        <w:tblLook w:val="04A0"/>
      </w:tblPr>
      <w:tblGrid>
        <w:gridCol w:w="3820"/>
        <w:gridCol w:w="800"/>
        <w:gridCol w:w="880"/>
        <w:gridCol w:w="820"/>
        <w:gridCol w:w="820"/>
        <w:gridCol w:w="2012"/>
      </w:tblGrid>
      <w:tr>
        <w:tblPrEx>
          <w:tblW w:w="9152" w:type="dxa"/>
          <w:tblInd w:w="-10" w:type="dxa"/>
          <w:tblCellMar>
            <w:left w:w="70" w:type="dxa"/>
            <w:right w:w="70" w:type="dxa"/>
          </w:tblCellMar>
          <w:tblLook w:val="04A0"/>
        </w:tblPrEx>
        <w:trPr>
          <w:trHeight w:val="276"/>
        </w:trPr>
        <w:tc>
          <w:tcPr>
            <w:tcW w:w="3820" w:type="dxa"/>
            <w:tcBorders>
              <w:top w:val="single" w:sz="8" w:space="0" w:color="auto"/>
              <w:left w:val="single" w:sz="8" w:space="0" w:color="auto"/>
              <w:bottom w:val="single" w:sz="8" w:space="0" w:color="auto"/>
              <w:right w:val="single" w:sz="8" w:space="0" w:color="auto"/>
            </w:tcBorders>
            <w:noWrap/>
            <w:textDirection w:val="lrTb"/>
            <w:vAlign w:val="bottom"/>
            <w:hideMark/>
          </w:tcPr>
          <w:p w:rsidR="007F7CE5" w:rsidRPr="00FB3DF8" w:rsidP="000A62BA">
            <w:pPr>
              <w:bidi w:val="0"/>
              <w:spacing w:before="120" w:line="276" w:lineRule="auto"/>
              <w:rPr>
                <w:rFonts w:ascii="Book Antiqua" w:hAnsi="Book Antiqua"/>
                <w:b/>
                <w:bCs/>
                <w:color w:val="000000"/>
                <w:sz w:val="22"/>
                <w:szCs w:val="22"/>
              </w:rPr>
            </w:pPr>
            <w:r w:rsidRPr="00FB3DF8">
              <w:rPr>
                <w:rFonts w:ascii="Book Antiqua" w:hAnsi="Book Antiqua"/>
                <w:b/>
                <w:bCs/>
                <w:color w:val="000000"/>
                <w:sz w:val="22"/>
                <w:szCs w:val="22"/>
              </w:rPr>
              <w:t>odhady parametrov na určenie výdavkov ŠR</w:t>
            </w:r>
          </w:p>
        </w:tc>
        <w:tc>
          <w:tcPr>
            <w:tcW w:w="800" w:type="dxa"/>
            <w:tcBorders>
              <w:top w:val="single" w:sz="8" w:space="0" w:color="auto"/>
              <w:left w:val="nil"/>
              <w:bottom w:val="single" w:sz="8" w:space="0" w:color="auto"/>
              <w:right w:val="single" w:sz="4" w:space="0" w:color="auto"/>
            </w:tcBorders>
            <w:noWrap/>
            <w:textDirection w:val="lrTb"/>
            <w:vAlign w:val="center"/>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2018</w:t>
            </w:r>
          </w:p>
        </w:tc>
        <w:tc>
          <w:tcPr>
            <w:tcW w:w="880" w:type="dxa"/>
            <w:tcBorders>
              <w:top w:val="single" w:sz="8" w:space="0" w:color="auto"/>
              <w:left w:val="nil"/>
              <w:bottom w:val="single" w:sz="8" w:space="0" w:color="auto"/>
              <w:right w:val="single" w:sz="4" w:space="0" w:color="auto"/>
            </w:tcBorders>
            <w:noWrap/>
            <w:textDirection w:val="lrTb"/>
            <w:vAlign w:val="center"/>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2019</w:t>
            </w:r>
          </w:p>
        </w:tc>
        <w:tc>
          <w:tcPr>
            <w:tcW w:w="820" w:type="dxa"/>
            <w:tcBorders>
              <w:top w:val="single" w:sz="8" w:space="0" w:color="auto"/>
              <w:left w:val="nil"/>
              <w:bottom w:val="single" w:sz="8" w:space="0" w:color="auto"/>
              <w:right w:val="single" w:sz="4" w:space="0" w:color="auto"/>
            </w:tcBorders>
            <w:noWrap/>
            <w:textDirection w:val="lrTb"/>
            <w:vAlign w:val="center"/>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2020</w:t>
            </w:r>
          </w:p>
        </w:tc>
        <w:tc>
          <w:tcPr>
            <w:tcW w:w="820" w:type="dxa"/>
            <w:tcBorders>
              <w:top w:val="single" w:sz="8" w:space="0" w:color="auto"/>
              <w:left w:val="nil"/>
              <w:bottom w:val="single" w:sz="8" w:space="0" w:color="auto"/>
              <w:right w:val="single" w:sz="4" w:space="0" w:color="auto"/>
            </w:tcBorders>
            <w:noWrap/>
            <w:textDirection w:val="lrTb"/>
            <w:vAlign w:val="center"/>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2021</w:t>
            </w:r>
          </w:p>
        </w:tc>
        <w:tc>
          <w:tcPr>
            <w:tcW w:w="2012" w:type="dxa"/>
            <w:tcBorders>
              <w:top w:val="single" w:sz="8" w:space="0" w:color="auto"/>
              <w:left w:val="nil"/>
              <w:bottom w:val="single" w:sz="8" w:space="0" w:color="auto"/>
              <w:right w:val="single" w:sz="8" w:space="0" w:color="auto"/>
            </w:tcBorders>
            <w:noWrap/>
            <w:textDirection w:val="lrTb"/>
            <w:vAlign w:val="center"/>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2022</w:t>
            </w:r>
          </w:p>
        </w:tc>
      </w:tr>
      <w:tr>
        <w:tblPrEx>
          <w:tblW w:w="9152" w:type="dxa"/>
          <w:tblInd w:w="-10" w:type="dxa"/>
          <w:tblCellMar>
            <w:left w:w="70" w:type="dxa"/>
            <w:right w:w="70" w:type="dxa"/>
          </w:tblCellMar>
          <w:tblLook w:val="04A0"/>
        </w:tblPrEx>
        <w:trPr>
          <w:trHeight w:val="264"/>
        </w:trPr>
        <w:tc>
          <w:tcPr>
            <w:tcW w:w="3820" w:type="dxa"/>
            <w:tcBorders>
              <w:top w:val="nil"/>
              <w:left w:val="single" w:sz="8" w:space="0" w:color="auto"/>
              <w:bottom w:val="single" w:sz="4" w:space="0" w:color="auto"/>
              <w:right w:val="single" w:sz="8" w:space="0" w:color="auto"/>
            </w:tcBorders>
            <w:noWrap/>
            <w:textDirection w:val="lrTb"/>
            <w:vAlign w:val="bottom"/>
            <w:hideMark/>
          </w:tcPr>
          <w:p w:rsidR="007F7CE5" w:rsidRPr="00FB3DF8" w:rsidP="000A62BA">
            <w:pPr>
              <w:bidi w:val="0"/>
              <w:spacing w:before="120" w:line="276" w:lineRule="auto"/>
              <w:rPr>
                <w:rFonts w:ascii="Book Antiqua" w:hAnsi="Book Antiqua"/>
                <w:color w:val="000000"/>
                <w:sz w:val="22"/>
                <w:szCs w:val="22"/>
              </w:rPr>
            </w:pPr>
            <w:r w:rsidRPr="00FB3DF8">
              <w:rPr>
                <w:rFonts w:ascii="Book Antiqua" w:hAnsi="Book Antiqua"/>
                <w:color w:val="000000"/>
                <w:sz w:val="22"/>
                <w:szCs w:val="22"/>
              </w:rPr>
              <w:t>počet narodených detí</w:t>
            </w:r>
          </w:p>
        </w:tc>
        <w:tc>
          <w:tcPr>
            <w:tcW w:w="800" w:type="dxa"/>
            <w:tcBorders>
              <w:top w:val="nil"/>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 xml:space="preserve">57 000 </w:t>
            </w:r>
          </w:p>
        </w:tc>
        <w:tc>
          <w:tcPr>
            <w:tcW w:w="880" w:type="dxa"/>
            <w:tcBorders>
              <w:top w:val="nil"/>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 xml:space="preserve">57 000 </w:t>
            </w:r>
          </w:p>
        </w:tc>
        <w:tc>
          <w:tcPr>
            <w:tcW w:w="820" w:type="dxa"/>
            <w:tcBorders>
              <w:top w:val="nil"/>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 xml:space="preserve">60 000 </w:t>
            </w:r>
          </w:p>
        </w:tc>
        <w:tc>
          <w:tcPr>
            <w:tcW w:w="820" w:type="dxa"/>
            <w:tcBorders>
              <w:top w:val="nil"/>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 xml:space="preserve">60 000 </w:t>
            </w:r>
          </w:p>
        </w:tc>
        <w:tc>
          <w:tcPr>
            <w:tcW w:w="2012" w:type="dxa"/>
            <w:tcBorders>
              <w:top w:val="nil"/>
              <w:left w:val="nil"/>
              <w:bottom w:val="single" w:sz="4" w:space="0" w:color="auto"/>
              <w:right w:val="single" w:sz="8"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 xml:space="preserve">60 000 </w:t>
            </w:r>
          </w:p>
        </w:tc>
      </w:tr>
      <w:tr>
        <w:tblPrEx>
          <w:tblW w:w="9152" w:type="dxa"/>
          <w:tblInd w:w="-10" w:type="dxa"/>
          <w:tblCellMar>
            <w:left w:w="70" w:type="dxa"/>
            <w:right w:w="70" w:type="dxa"/>
          </w:tblCellMar>
          <w:tblLook w:val="04A0"/>
        </w:tblPrEx>
        <w:trPr>
          <w:trHeight w:val="828"/>
        </w:trPr>
        <w:tc>
          <w:tcPr>
            <w:tcW w:w="3820" w:type="dxa"/>
            <w:tcBorders>
              <w:top w:val="nil"/>
              <w:left w:val="single" w:sz="8" w:space="0" w:color="auto"/>
              <w:bottom w:val="single" w:sz="4" w:space="0" w:color="auto"/>
              <w:right w:val="single" w:sz="8" w:space="0" w:color="auto"/>
            </w:tcBorders>
            <w:textDirection w:val="lrTb"/>
            <w:vAlign w:val="bottom"/>
            <w:hideMark/>
          </w:tcPr>
          <w:p w:rsidR="007F7CE5" w:rsidRPr="00FB3DF8" w:rsidP="000A62BA">
            <w:pPr>
              <w:bidi w:val="0"/>
              <w:spacing w:before="120" w:line="276" w:lineRule="auto"/>
              <w:rPr>
                <w:rFonts w:ascii="Book Antiqua" w:hAnsi="Book Antiqua" w:cs="Arial"/>
                <w:color w:val="000000"/>
                <w:sz w:val="22"/>
                <w:szCs w:val="22"/>
              </w:rPr>
            </w:pPr>
            <w:r w:rsidRPr="00FB3DF8">
              <w:rPr>
                <w:rFonts w:ascii="Book Antiqua" w:hAnsi="Book Antiqua"/>
                <w:color w:val="000000"/>
                <w:sz w:val="22"/>
                <w:szCs w:val="22"/>
              </w:rPr>
              <w:t>% počtu nemocensky poistených oprávnených osôb z</w:t>
            </w:r>
            <w:r w:rsidRPr="00FB3DF8" w:rsidR="008640D4">
              <w:rPr>
                <w:rFonts w:ascii="Book Antiqua" w:hAnsi="Book Antiqua" w:cs="Arial"/>
                <w:color w:val="000000"/>
                <w:sz w:val="22"/>
                <w:szCs w:val="22"/>
              </w:rPr>
              <w:t> </w:t>
            </w:r>
            <w:r w:rsidRPr="00FB3DF8">
              <w:rPr>
                <w:rFonts w:ascii="Book Antiqua" w:hAnsi="Book Antiqua"/>
                <w:color w:val="000000"/>
                <w:sz w:val="22"/>
                <w:szCs w:val="22"/>
              </w:rPr>
              <w:t>celkové počtu osôb s</w:t>
            </w:r>
            <w:r w:rsidRPr="00FB3DF8" w:rsidR="008640D4">
              <w:rPr>
                <w:rFonts w:ascii="Book Antiqua" w:hAnsi="Book Antiqua" w:cs="Arial"/>
                <w:color w:val="000000"/>
                <w:sz w:val="22"/>
                <w:szCs w:val="22"/>
              </w:rPr>
              <w:t> </w:t>
            </w:r>
            <w:r w:rsidRPr="00FB3DF8">
              <w:rPr>
                <w:rFonts w:ascii="Book Antiqua" w:hAnsi="Book Antiqua" w:cs="Arial"/>
                <w:color w:val="000000"/>
                <w:sz w:val="22"/>
                <w:szCs w:val="22"/>
              </w:rPr>
              <w:t>nárokom na materské</w:t>
            </w:r>
          </w:p>
        </w:tc>
        <w:tc>
          <w:tcPr>
            <w:tcW w:w="800" w:type="dxa"/>
            <w:tcBorders>
              <w:top w:val="nil"/>
              <w:left w:val="nil"/>
              <w:bottom w:val="single" w:sz="4" w:space="0" w:color="auto"/>
              <w:right w:val="single" w:sz="4" w:space="0" w:color="auto"/>
            </w:tcBorders>
            <w:noWrap/>
            <w:textDirection w:val="lrTb"/>
            <w:vAlign w:val="center"/>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68%</w:t>
            </w:r>
          </w:p>
        </w:tc>
        <w:tc>
          <w:tcPr>
            <w:tcW w:w="880" w:type="dxa"/>
            <w:tcBorders>
              <w:top w:val="nil"/>
              <w:left w:val="nil"/>
              <w:bottom w:val="single" w:sz="4" w:space="0" w:color="auto"/>
              <w:right w:val="single" w:sz="4" w:space="0" w:color="auto"/>
            </w:tcBorders>
            <w:noWrap/>
            <w:textDirection w:val="lrTb"/>
            <w:vAlign w:val="center"/>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68%</w:t>
            </w:r>
          </w:p>
        </w:tc>
        <w:tc>
          <w:tcPr>
            <w:tcW w:w="820" w:type="dxa"/>
            <w:tcBorders>
              <w:top w:val="nil"/>
              <w:left w:val="nil"/>
              <w:bottom w:val="single" w:sz="4" w:space="0" w:color="auto"/>
              <w:right w:val="single" w:sz="4" w:space="0" w:color="auto"/>
            </w:tcBorders>
            <w:noWrap/>
            <w:textDirection w:val="lrTb"/>
            <w:vAlign w:val="center"/>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68%</w:t>
            </w:r>
          </w:p>
        </w:tc>
        <w:tc>
          <w:tcPr>
            <w:tcW w:w="820" w:type="dxa"/>
            <w:tcBorders>
              <w:top w:val="nil"/>
              <w:left w:val="nil"/>
              <w:bottom w:val="single" w:sz="4" w:space="0" w:color="auto"/>
              <w:right w:val="single" w:sz="4" w:space="0" w:color="auto"/>
            </w:tcBorders>
            <w:noWrap/>
            <w:textDirection w:val="lrTb"/>
            <w:vAlign w:val="center"/>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68%</w:t>
            </w:r>
          </w:p>
        </w:tc>
        <w:tc>
          <w:tcPr>
            <w:tcW w:w="2012" w:type="dxa"/>
            <w:tcBorders>
              <w:top w:val="nil"/>
              <w:left w:val="nil"/>
              <w:bottom w:val="single" w:sz="4" w:space="0" w:color="auto"/>
              <w:right w:val="single" w:sz="8" w:space="0" w:color="auto"/>
            </w:tcBorders>
            <w:noWrap/>
            <w:textDirection w:val="lrTb"/>
            <w:vAlign w:val="center"/>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68%</w:t>
            </w:r>
          </w:p>
        </w:tc>
      </w:tr>
      <w:tr>
        <w:tblPrEx>
          <w:tblW w:w="9152" w:type="dxa"/>
          <w:tblInd w:w="-10" w:type="dxa"/>
          <w:tblCellMar>
            <w:left w:w="70" w:type="dxa"/>
            <w:right w:w="70" w:type="dxa"/>
          </w:tblCellMar>
          <w:tblLook w:val="04A0"/>
        </w:tblPrEx>
        <w:trPr>
          <w:trHeight w:val="264"/>
        </w:trPr>
        <w:tc>
          <w:tcPr>
            <w:tcW w:w="3820" w:type="dxa"/>
            <w:tcBorders>
              <w:top w:val="nil"/>
              <w:left w:val="single" w:sz="8" w:space="0" w:color="auto"/>
              <w:bottom w:val="single" w:sz="4" w:space="0" w:color="auto"/>
              <w:right w:val="single" w:sz="8" w:space="0" w:color="auto"/>
            </w:tcBorders>
            <w:noWrap/>
            <w:textDirection w:val="lrTb"/>
            <w:vAlign w:val="bottom"/>
            <w:hideMark/>
          </w:tcPr>
          <w:p w:rsidR="007F7CE5" w:rsidRPr="00FB3DF8" w:rsidP="000A62BA">
            <w:pPr>
              <w:bidi w:val="0"/>
              <w:spacing w:before="120" w:line="276" w:lineRule="auto"/>
              <w:rPr>
                <w:rFonts w:ascii="Book Antiqua" w:hAnsi="Book Antiqua" w:cs="Arial"/>
                <w:color w:val="000000"/>
                <w:sz w:val="22"/>
                <w:szCs w:val="22"/>
              </w:rPr>
            </w:pPr>
            <w:r w:rsidRPr="00FB3DF8">
              <w:rPr>
                <w:rFonts w:ascii="Book Antiqua" w:hAnsi="Book Antiqua"/>
                <w:color w:val="000000"/>
                <w:sz w:val="22"/>
                <w:szCs w:val="22"/>
              </w:rPr>
              <w:t>počet osôb s</w:t>
            </w:r>
            <w:r w:rsidRPr="00FB3DF8" w:rsidR="008640D4">
              <w:rPr>
                <w:rFonts w:ascii="Book Antiqua" w:hAnsi="Book Antiqua" w:cs="Arial"/>
                <w:color w:val="000000"/>
                <w:sz w:val="22"/>
                <w:szCs w:val="22"/>
              </w:rPr>
              <w:t> </w:t>
            </w:r>
            <w:r w:rsidRPr="00FB3DF8">
              <w:rPr>
                <w:rFonts w:ascii="Book Antiqua" w:hAnsi="Book Antiqua" w:cs="Arial"/>
                <w:color w:val="000000"/>
                <w:sz w:val="22"/>
                <w:szCs w:val="22"/>
              </w:rPr>
              <w:t>nárokom na materské</w:t>
            </w:r>
          </w:p>
        </w:tc>
        <w:tc>
          <w:tcPr>
            <w:tcW w:w="800" w:type="dxa"/>
            <w:tcBorders>
              <w:top w:val="nil"/>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 xml:space="preserve">38 760 </w:t>
            </w:r>
          </w:p>
        </w:tc>
        <w:tc>
          <w:tcPr>
            <w:tcW w:w="880" w:type="dxa"/>
            <w:tcBorders>
              <w:top w:val="nil"/>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 xml:space="preserve">38 760 </w:t>
            </w:r>
          </w:p>
        </w:tc>
        <w:tc>
          <w:tcPr>
            <w:tcW w:w="820" w:type="dxa"/>
            <w:tcBorders>
              <w:top w:val="nil"/>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 xml:space="preserve">40 800 </w:t>
            </w:r>
          </w:p>
        </w:tc>
        <w:tc>
          <w:tcPr>
            <w:tcW w:w="820" w:type="dxa"/>
            <w:tcBorders>
              <w:top w:val="nil"/>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 xml:space="preserve">40 800 </w:t>
            </w:r>
          </w:p>
        </w:tc>
        <w:tc>
          <w:tcPr>
            <w:tcW w:w="2012" w:type="dxa"/>
            <w:tcBorders>
              <w:top w:val="nil"/>
              <w:left w:val="nil"/>
              <w:bottom w:val="single" w:sz="4" w:space="0" w:color="auto"/>
              <w:right w:val="single" w:sz="8"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 xml:space="preserve">40 800 </w:t>
            </w:r>
          </w:p>
        </w:tc>
      </w:tr>
      <w:tr>
        <w:tblPrEx>
          <w:tblW w:w="9152" w:type="dxa"/>
          <w:tblInd w:w="-10" w:type="dxa"/>
          <w:tblCellMar>
            <w:left w:w="70" w:type="dxa"/>
            <w:right w:w="70" w:type="dxa"/>
          </w:tblCellMar>
          <w:tblLook w:val="04A0"/>
        </w:tblPrEx>
        <w:trPr>
          <w:trHeight w:val="264"/>
        </w:trPr>
        <w:tc>
          <w:tcPr>
            <w:tcW w:w="3820" w:type="dxa"/>
            <w:tcBorders>
              <w:top w:val="nil"/>
              <w:left w:val="single" w:sz="8" w:space="0" w:color="auto"/>
              <w:bottom w:val="single" w:sz="4" w:space="0" w:color="auto"/>
              <w:right w:val="single" w:sz="8" w:space="0" w:color="auto"/>
            </w:tcBorders>
            <w:noWrap/>
            <w:textDirection w:val="lrTb"/>
            <w:vAlign w:val="bottom"/>
            <w:hideMark/>
          </w:tcPr>
          <w:p w:rsidR="007F7CE5" w:rsidRPr="00FB3DF8" w:rsidP="000A62BA">
            <w:pPr>
              <w:bidi w:val="0"/>
              <w:spacing w:before="120" w:line="276" w:lineRule="auto"/>
              <w:rPr>
                <w:rFonts w:ascii="Book Antiqua" w:hAnsi="Book Antiqua" w:cs="Arial"/>
                <w:color w:val="000000"/>
                <w:sz w:val="22"/>
                <w:szCs w:val="22"/>
              </w:rPr>
            </w:pPr>
            <w:r w:rsidRPr="00FB3DF8">
              <w:rPr>
                <w:rFonts w:ascii="Book Antiqua" w:hAnsi="Book Antiqua" w:cs="Arial"/>
                <w:color w:val="000000"/>
                <w:sz w:val="22"/>
                <w:szCs w:val="22"/>
              </w:rPr>
              <w:t>inflácia nízkopríjmových domácností</w:t>
            </w:r>
          </w:p>
        </w:tc>
        <w:tc>
          <w:tcPr>
            <w:tcW w:w="800" w:type="dxa"/>
            <w:tcBorders>
              <w:top w:val="nil"/>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2%</w:t>
            </w:r>
          </w:p>
        </w:tc>
        <w:tc>
          <w:tcPr>
            <w:tcW w:w="880" w:type="dxa"/>
            <w:tcBorders>
              <w:top w:val="nil"/>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2%</w:t>
            </w:r>
          </w:p>
        </w:tc>
        <w:tc>
          <w:tcPr>
            <w:tcW w:w="820" w:type="dxa"/>
            <w:tcBorders>
              <w:top w:val="nil"/>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2%</w:t>
            </w:r>
          </w:p>
        </w:tc>
        <w:tc>
          <w:tcPr>
            <w:tcW w:w="820" w:type="dxa"/>
            <w:tcBorders>
              <w:top w:val="nil"/>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2%</w:t>
            </w:r>
          </w:p>
        </w:tc>
        <w:tc>
          <w:tcPr>
            <w:tcW w:w="2012" w:type="dxa"/>
            <w:tcBorders>
              <w:top w:val="nil"/>
              <w:left w:val="nil"/>
              <w:bottom w:val="single" w:sz="4" w:space="0" w:color="auto"/>
              <w:right w:val="single" w:sz="8"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2%</w:t>
            </w:r>
          </w:p>
        </w:tc>
      </w:tr>
      <w:tr>
        <w:tblPrEx>
          <w:tblW w:w="9152" w:type="dxa"/>
          <w:tblInd w:w="-10" w:type="dxa"/>
          <w:tblCellMar>
            <w:left w:w="70" w:type="dxa"/>
            <w:right w:w="70" w:type="dxa"/>
          </w:tblCellMar>
          <w:tblLook w:val="04A0"/>
        </w:tblPrEx>
        <w:trPr>
          <w:trHeight w:val="276"/>
        </w:trPr>
        <w:tc>
          <w:tcPr>
            <w:tcW w:w="3820" w:type="dxa"/>
            <w:tcBorders>
              <w:top w:val="nil"/>
              <w:left w:val="single" w:sz="8" w:space="0" w:color="auto"/>
              <w:bottom w:val="single" w:sz="8" w:space="0" w:color="auto"/>
              <w:right w:val="single" w:sz="8" w:space="0" w:color="auto"/>
            </w:tcBorders>
            <w:noWrap/>
            <w:textDirection w:val="lrTb"/>
            <w:vAlign w:val="bottom"/>
            <w:hideMark/>
          </w:tcPr>
          <w:p w:rsidR="007F7CE5" w:rsidRPr="00FB3DF8" w:rsidP="000A62BA">
            <w:pPr>
              <w:bidi w:val="0"/>
              <w:spacing w:before="120" w:line="276" w:lineRule="auto"/>
              <w:rPr>
                <w:rFonts w:ascii="Book Antiqua" w:hAnsi="Book Antiqua" w:cs="Arial"/>
                <w:color w:val="000000"/>
                <w:sz w:val="22"/>
                <w:szCs w:val="22"/>
              </w:rPr>
            </w:pPr>
            <w:r w:rsidRPr="00FB3DF8">
              <w:rPr>
                <w:rFonts w:ascii="Book Antiqua" w:hAnsi="Book Antiqua"/>
                <w:color w:val="000000"/>
                <w:sz w:val="22"/>
                <w:szCs w:val="22"/>
              </w:rPr>
              <w:t>rodičovský príspev</w:t>
            </w:r>
            <w:r w:rsidRPr="00FB3DF8">
              <w:rPr>
                <w:rFonts w:ascii="Book Antiqua" w:hAnsi="Book Antiqua" w:cs="Arial"/>
                <w:color w:val="000000"/>
                <w:sz w:val="22"/>
                <w:szCs w:val="22"/>
              </w:rPr>
              <w:t>ok</w:t>
            </w:r>
          </w:p>
        </w:tc>
        <w:tc>
          <w:tcPr>
            <w:tcW w:w="800" w:type="dxa"/>
            <w:tcBorders>
              <w:top w:val="nil"/>
              <w:left w:val="nil"/>
              <w:bottom w:val="single" w:sz="8"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217,5</w:t>
            </w:r>
          </w:p>
        </w:tc>
        <w:tc>
          <w:tcPr>
            <w:tcW w:w="880" w:type="dxa"/>
            <w:tcBorders>
              <w:top w:val="nil"/>
              <w:left w:val="nil"/>
              <w:bottom w:val="single" w:sz="8"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221,9</w:t>
            </w:r>
          </w:p>
        </w:tc>
        <w:tc>
          <w:tcPr>
            <w:tcW w:w="820" w:type="dxa"/>
            <w:tcBorders>
              <w:top w:val="nil"/>
              <w:left w:val="nil"/>
              <w:bottom w:val="single" w:sz="8"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226,4</w:t>
            </w:r>
          </w:p>
        </w:tc>
        <w:tc>
          <w:tcPr>
            <w:tcW w:w="820" w:type="dxa"/>
            <w:tcBorders>
              <w:top w:val="nil"/>
              <w:left w:val="nil"/>
              <w:bottom w:val="single" w:sz="8"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231</w:t>
            </w:r>
          </w:p>
        </w:tc>
        <w:tc>
          <w:tcPr>
            <w:tcW w:w="2012" w:type="dxa"/>
            <w:tcBorders>
              <w:top w:val="nil"/>
              <w:left w:val="nil"/>
              <w:bottom w:val="single" w:sz="8" w:space="0" w:color="auto"/>
              <w:right w:val="single" w:sz="8"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235,7</w:t>
            </w:r>
          </w:p>
        </w:tc>
      </w:tr>
    </w:tbl>
    <w:p w:rsidR="008339D9" w:rsidRPr="00FB3DF8" w:rsidP="008339D9">
      <w:pPr>
        <w:bidi w:val="0"/>
        <w:spacing w:before="120" w:line="276" w:lineRule="auto"/>
        <w:ind w:firstLine="708"/>
        <w:jc w:val="both"/>
        <w:rPr>
          <w:rFonts w:ascii="Book Antiqua" w:hAnsi="Book Antiqua" w:cs="Arial"/>
          <w:sz w:val="22"/>
          <w:szCs w:val="22"/>
        </w:rPr>
      </w:pPr>
    </w:p>
    <w:p w:rsidR="007F7CE5" w:rsidRPr="00FB3DF8" w:rsidP="008339D9">
      <w:pPr>
        <w:bidi w:val="0"/>
        <w:spacing w:before="120" w:line="276" w:lineRule="auto"/>
        <w:ind w:firstLine="708"/>
        <w:jc w:val="both"/>
        <w:rPr>
          <w:rFonts w:ascii="Book Antiqua" w:hAnsi="Book Antiqua" w:cs="Arial"/>
          <w:i/>
          <w:sz w:val="22"/>
          <w:szCs w:val="22"/>
        </w:rPr>
      </w:pPr>
      <w:r w:rsidRPr="00FB3DF8">
        <w:rPr>
          <w:rFonts w:ascii="Book Antiqua" w:hAnsi="Book Antiqua" w:cs="Arial"/>
          <w:i/>
          <w:sz w:val="22"/>
          <w:szCs w:val="22"/>
        </w:rPr>
        <w:t>Predpoklad o</w:t>
      </w:r>
      <w:r w:rsidRPr="00FB3DF8" w:rsidR="008640D4">
        <w:rPr>
          <w:rFonts w:ascii="Book Antiqua" w:hAnsi="Book Antiqua" w:cs="Arial"/>
          <w:i/>
          <w:sz w:val="22"/>
          <w:szCs w:val="22"/>
        </w:rPr>
        <w:t> </w:t>
      </w:r>
      <w:r w:rsidRPr="00FB3DF8">
        <w:rPr>
          <w:rFonts w:ascii="Book Antiqua" w:hAnsi="Book Antiqua" w:cs="Arial"/>
          <w:i/>
          <w:sz w:val="22"/>
          <w:szCs w:val="22"/>
        </w:rPr>
        <w:t>inflácii nízkopríjmových domácností je 2% ro</w:t>
      </w:r>
      <w:r w:rsidRPr="00FB3DF8">
        <w:rPr>
          <w:rFonts w:ascii="Book Antiqua" w:hAnsi="Book Antiqua"/>
          <w:i/>
          <w:sz w:val="22"/>
          <w:szCs w:val="22"/>
        </w:rPr>
        <w:t>č</w:t>
      </w:r>
      <w:r w:rsidRPr="00FB3DF8">
        <w:rPr>
          <w:rFonts w:ascii="Book Antiqua" w:hAnsi="Book Antiqua" w:cs="Arial"/>
          <w:i/>
          <w:sz w:val="22"/>
          <w:szCs w:val="22"/>
        </w:rPr>
        <w:t>ne</w:t>
      </w:r>
      <w:r w:rsidRPr="00FB3DF8">
        <w:rPr>
          <w:rFonts w:ascii="Book Antiqua" w:hAnsi="Book Antiqua"/>
          <w:i/>
          <w:sz w:val="22"/>
          <w:szCs w:val="22"/>
        </w:rPr>
        <w:t>,</w:t>
      </w:r>
      <w:r w:rsidRPr="00FB3DF8">
        <w:rPr>
          <w:rFonts w:ascii="Book Antiqua" w:hAnsi="Book Antiqua" w:cs="Arial"/>
          <w:i/>
          <w:sz w:val="22"/>
          <w:szCs w:val="22"/>
        </w:rPr>
        <w:t xml:space="preserve"> o</w:t>
      </w:r>
      <w:r w:rsidRPr="00FB3DF8" w:rsidR="008640D4">
        <w:rPr>
          <w:rFonts w:ascii="Book Antiqua" w:hAnsi="Book Antiqua" w:cs="Arial"/>
          <w:i/>
          <w:sz w:val="22"/>
          <w:szCs w:val="22"/>
        </w:rPr>
        <w:t> </w:t>
      </w:r>
      <w:r w:rsidRPr="00FB3DF8">
        <w:rPr>
          <w:rFonts w:ascii="Book Antiqua" w:hAnsi="Book Antiqua" w:cs="Arial"/>
          <w:i/>
          <w:sz w:val="22"/>
          <w:szCs w:val="22"/>
        </w:rPr>
        <w:t>ktoré bude rás</w:t>
      </w:r>
      <w:r w:rsidRPr="00FB3DF8">
        <w:rPr>
          <w:rFonts w:ascii="Book Antiqua" w:hAnsi="Book Antiqua"/>
          <w:i/>
          <w:sz w:val="22"/>
          <w:szCs w:val="22"/>
        </w:rPr>
        <w:t>ť</w:t>
      </w:r>
      <w:r w:rsidRPr="00FB3DF8">
        <w:rPr>
          <w:rFonts w:ascii="Book Antiqua" w:hAnsi="Book Antiqua" w:cs="Arial"/>
          <w:i/>
          <w:sz w:val="22"/>
          <w:szCs w:val="22"/>
        </w:rPr>
        <w:t xml:space="preserve"> suma rodi</w:t>
      </w:r>
      <w:r w:rsidRPr="00FB3DF8">
        <w:rPr>
          <w:rFonts w:ascii="Book Antiqua" w:hAnsi="Book Antiqua"/>
          <w:i/>
          <w:sz w:val="22"/>
          <w:szCs w:val="22"/>
        </w:rPr>
        <w:t>č</w:t>
      </w:r>
      <w:r w:rsidRPr="00FB3DF8">
        <w:rPr>
          <w:rFonts w:ascii="Book Antiqua" w:hAnsi="Book Antiqua" w:cs="Arial"/>
          <w:i/>
          <w:sz w:val="22"/>
          <w:szCs w:val="22"/>
        </w:rPr>
        <w:t>ovského príspevku. Podiel po</w:t>
      </w:r>
      <w:r w:rsidRPr="00FB3DF8">
        <w:rPr>
          <w:rFonts w:ascii="Book Antiqua" w:hAnsi="Book Antiqua"/>
          <w:i/>
          <w:sz w:val="22"/>
          <w:szCs w:val="22"/>
        </w:rPr>
        <w:t>č</w:t>
      </w:r>
      <w:r w:rsidRPr="00FB3DF8">
        <w:rPr>
          <w:rFonts w:ascii="Book Antiqua" w:hAnsi="Book Antiqua" w:cs="Arial"/>
          <w:i/>
          <w:sz w:val="22"/>
          <w:szCs w:val="22"/>
        </w:rPr>
        <w:t>tu nemocensky poistených osôb s</w:t>
      </w:r>
      <w:r w:rsidRPr="00FB3DF8" w:rsidR="008640D4">
        <w:rPr>
          <w:rFonts w:ascii="Book Antiqua" w:hAnsi="Book Antiqua" w:cs="Arial"/>
          <w:i/>
          <w:sz w:val="22"/>
          <w:szCs w:val="22"/>
        </w:rPr>
        <w:t> </w:t>
      </w:r>
      <w:r w:rsidRPr="00FB3DF8">
        <w:rPr>
          <w:rFonts w:ascii="Book Antiqua" w:hAnsi="Book Antiqua" w:cs="Arial"/>
          <w:i/>
          <w:sz w:val="22"/>
          <w:szCs w:val="22"/>
        </w:rPr>
        <w:t>nárokom na materské je odvodený z</w:t>
      </w:r>
      <w:r w:rsidRPr="00FB3DF8" w:rsidR="008640D4">
        <w:rPr>
          <w:rFonts w:ascii="Book Antiqua" w:hAnsi="Book Antiqua" w:cs="Arial"/>
          <w:i/>
          <w:sz w:val="22"/>
          <w:szCs w:val="22"/>
        </w:rPr>
        <w:t> </w:t>
      </w:r>
      <w:r w:rsidRPr="00FB3DF8">
        <w:rPr>
          <w:rFonts w:ascii="Book Antiqua" w:hAnsi="Book Antiqua" w:cs="Arial"/>
          <w:i/>
          <w:sz w:val="22"/>
          <w:szCs w:val="22"/>
        </w:rPr>
        <w:t>materiálu “Správa o</w:t>
      </w:r>
      <w:r w:rsidRPr="00FB3DF8" w:rsidR="008640D4">
        <w:rPr>
          <w:rFonts w:ascii="Book Antiqua" w:hAnsi="Book Antiqua" w:cs="Arial"/>
          <w:i/>
          <w:sz w:val="22"/>
          <w:szCs w:val="22"/>
        </w:rPr>
        <w:t> </w:t>
      </w:r>
      <w:r w:rsidRPr="00FB3DF8">
        <w:rPr>
          <w:rFonts w:ascii="Book Antiqua" w:hAnsi="Book Antiqua" w:cs="Arial"/>
          <w:i/>
          <w:sz w:val="22"/>
          <w:szCs w:val="22"/>
        </w:rPr>
        <w:t>sociálnej situácii obyvate</w:t>
      </w:r>
      <w:r w:rsidRPr="00FB3DF8">
        <w:rPr>
          <w:rFonts w:ascii="Book Antiqua" w:hAnsi="Book Antiqua"/>
          <w:i/>
          <w:sz w:val="22"/>
          <w:szCs w:val="22"/>
        </w:rPr>
        <w:t>ľ</w:t>
      </w:r>
      <w:r w:rsidRPr="00FB3DF8">
        <w:rPr>
          <w:rFonts w:ascii="Book Antiqua" w:hAnsi="Book Antiqua" w:cs="Arial"/>
          <w:i/>
          <w:sz w:val="22"/>
          <w:szCs w:val="22"/>
        </w:rPr>
        <w:t>stva za rok 2015“.</w:t>
      </w:r>
      <w:r w:rsidRPr="00FB3DF8">
        <w:rPr>
          <w:rFonts w:ascii="Book Antiqua" w:hAnsi="Book Antiqua"/>
          <w:i/>
          <w:sz w:val="22"/>
          <w:szCs w:val="22"/>
        </w:rPr>
        <w:t xml:space="preserve"> </w:t>
      </w:r>
      <w:r w:rsidRPr="00FB3DF8">
        <w:rPr>
          <w:rFonts w:ascii="Book Antiqua" w:hAnsi="Book Antiqua" w:cs="Arial"/>
          <w:i/>
          <w:sz w:val="22"/>
          <w:szCs w:val="22"/>
        </w:rPr>
        <w:t xml:space="preserve">Podporná doba na poskytovanie materského je 238 dní, </w:t>
      </w:r>
      <w:r w:rsidRPr="00FB3DF8">
        <w:rPr>
          <w:rFonts w:ascii="Book Antiqua" w:hAnsi="Book Antiqua"/>
          <w:i/>
          <w:sz w:val="22"/>
          <w:szCs w:val="22"/>
        </w:rPr>
        <w:t>č</w:t>
      </w:r>
      <w:r w:rsidRPr="00FB3DF8">
        <w:rPr>
          <w:rFonts w:ascii="Book Antiqua" w:hAnsi="Book Antiqua" w:cs="Arial"/>
          <w:i/>
          <w:sz w:val="22"/>
          <w:szCs w:val="22"/>
        </w:rPr>
        <w:t>o pri priemernom po</w:t>
      </w:r>
      <w:r w:rsidRPr="00FB3DF8">
        <w:rPr>
          <w:rFonts w:ascii="Book Antiqua" w:hAnsi="Book Antiqua"/>
          <w:i/>
          <w:sz w:val="22"/>
          <w:szCs w:val="22"/>
        </w:rPr>
        <w:t>č</w:t>
      </w:r>
      <w:r w:rsidRPr="00FB3DF8">
        <w:rPr>
          <w:rFonts w:ascii="Book Antiqua" w:hAnsi="Book Antiqua" w:cs="Arial"/>
          <w:i/>
          <w:sz w:val="22"/>
          <w:szCs w:val="22"/>
        </w:rPr>
        <w:t>te dní v</w:t>
      </w:r>
      <w:r w:rsidRPr="00FB3DF8" w:rsidR="008640D4">
        <w:rPr>
          <w:rFonts w:ascii="Book Antiqua" w:hAnsi="Book Antiqua" w:cs="Arial"/>
          <w:i/>
          <w:sz w:val="22"/>
          <w:szCs w:val="22"/>
        </w:rPr>
        <w:t> </w:t>
      </w:r>
      <w:r w:rsidRPr="00FB3DF8">
        <w:rPr>
          <w:rFonts w:ascii="Book Antiqua" w:hAnsi="Book Antiqua" w:cs="Arial"/>
          <w:i/>
          <w:sz w:val="22"/>
          <w:szCs w:val="22"/>
        </w:rPr>
        <w:t>mesiaci 30,4167 predstavuje 7,83 mesiaca. Rodi</w:t>
      </w:r>
      <w:r w:rsidRPr="00FB3DF8">
        <w:rPr>
          <w:rFonts w:ascii="Book Antiqua" w:hAnsi="Book Antiqua"/>
          <w:i/>
          <w:sz w:val="22"/>
          <w:szCs w:val="22"/>
        </w:rPr>
        <w:t>č</w:t>
      </w:r>
      <w:r w:rsidRPr="00FB3DF8">
        <w:rPr>
          <w:rFonts w:ascii="Book Antiqua" w:hAnsi="Book Antiqua" w:cs="Arial"/>
          <w:i/>
          <w:sz w:val="22"/>
          <w:szCs w:val="22"/>
        </w:rPr>
        <w:t>ovský príspevok sa poskytuje a</w:t>
      </w:r>
      <w:r w:rsidRPr="00FB3DF8">
        <w:rPr>
          <w:rFonts w:ascii="Book Antiqua" w:hAnsi="Book Antiqua"/>
          <w:i/>
          <w:sz w:val="22"/>
          <w:szCs w:val="22"/>
        </w:rPr>
        <w:t>ž</w:t>
      </w:r>
      <w:r w:rsidRPr="00FB3DF8">
        <w:rPr>
          <w:rFonts w:ascii="Book Antiqua" w:hAnsi="Book Antiqua" w:cs="Arial"/>
          <w:i/>
          <w:sz w:val="22"/>
          <w:szCs w:val="22"/>
        </w:rPr>
        <w:t xml:space="preserve"> od narodenia die</w:t>
      </w:r>
      <w:r w:rsidRPr="00FB3DF8">
        <w:rPr>
          <w:rFonts w:ascii="Book Antiqua" w:hAnsi="Book Antiqua"/>
          <w:i/>
          <w:sz w:val="22"/>
          <w:szCs w:val="22"/>
        </w:rPr>
        <w:t>ť</w:t>
      </w:r>
      <w:r w:rsidRPr="00FB3DF8">
        <w:rPr>
          <w:rFonts w:ascii="Book Antiqua" w:hAnsi="Book Antiqua" w:cs="Arial"/>
          <w:i/>
          <w:sz w:val="22"/>
          <w:szCs w:val="22"/>
        </w:rPr>
        <w:t>a</w:t>
      </w:r>
      <w:r w:rsidRPr="00FB3DF8">
        <w:rPr>
          <w:rFonts w:ascii="Book Antiqua" w:hAnsi="Book Antiqua"/>
          <w:i/>
          <w:sz w:val="22"/>
          <w:szCs w:val="22"/>
        </w:rPr>
        <w:t>ť</w:t>
      </w:r>
      <w:r w:rsidRPr="00FB3DF8">
        <w:rPr>
          <w:rFonts w:ascii="Book Antiqua" w:hAnsi="Book Antiqua" w:cs="Arial"/>
          <w:i/>
          <w:sz w:val="22"/>
          <w:szCs w:val="22"/>
        </w:rPr>
        <w:t>a, t.j. po</w:t>
      </w:r>
      <w:r w:rsidRPr="00FB3DF8">
        <w:rPr>
          <w:rFonts w:ascii="Book Antiqua" w:hAnsi="Book Antiqua"/>
          <w:i/>
          <w:sz w:val="22"/>
          <w:szCs w:val="22"/>
        </w:rPr>
        <w:t>č</w:t>
      </w:r>
      <w:r w:rsidRPr="00FB3DF8">
        <w:rPr>
          <w:rFonts w:ascii="Book Antiqua" w:hAnsi="Book Antiqua" w:cs="Arial"/>
          <w:i/>
          <w:sz w:val="22"/>
          <w:szCs w:val="22"/>
        </w:rPr>
        <w:t xml:space="preserve">as 196 dní, </w:t>
      </w:r>
      <w:r w:rsidRPr="00FB3DF8">
        <w:rPr>
          <w:rFonts w:ascii="Book Antiqua" w:hAnsi="Book Antiqua"/>
          <w:i/>
          <w:sz w:val="22"/>
          <w:szCs w:val="22"/>
        </w:rPr>
        <w:t>č</w:t>
      </w:r>
      <w:r w:rsidRPr="00FB3DF8">
        <w:rPr>
          <w:rFonts w:ascii="Book Antiqua" w:hAnsi="Book Antiqua" w:cs="Arial"/>
          <w:i/>
          <w:sz w:val="22"/>
          <w:szCs w:val="22"/>
        </w:rPr>
        <w:t>o je v</w:t>
      </w:r>
      <w:r w:rsidRPr="00FB3DF8" w:rsidR="008640D4">
        <w:rPr>
          <w:rFonts w:ascii="Book Antiqua" w:hAnsi="Book Antiqua" w:cs="Arial"/>
          <w:i/>
          <w:sz w:val="22"/>
          <w:szCs w:val="22"/>
        </w:rPr>
        <w:t> </w:t>
      </w:r>
      <w:r w:rsidRPr="00FB3DF8">
        <w:rPr>
          <w:rFonts w:ascii="Book Antiqua" w:hAnsi="Book Antiqua" w:cs="Arial"/>
          <w:i/>
          <w:sz w:val="22"/>
          <w:szCs w:val="22"/>
        </w:rPr>
        <w:t>priemere 6,45</w:t>
      </w:r>
      <w:r w:rsidRPr="00FB3DF8">
        <w:rPr>
          <w:rFonts w:ascii="Book Antiqua" w:hAnsi="Book Antiqua"/>
          <w:i/>
          <w:sz w:val="22"/>
          <w:szCs w:val="22"/>
        </w:rPr>
        <w:t xml:space="preserve"> </w:t>
      </w:r>
      <w:r w:rsidRPr="00FB3DF8">
        <w:rPr>
          <w:rFonts w:ascii="Book Antiqua" w:hAnsi="Book Antiqua" w:cs="Arial"/>
          <w:i/>
          <w:sz w:val="22"/>
          <w:szCs w:val="22"/>
        </w:rPr>
        <w:t xml:space="preserve">mesiacov. </w:t>
      </w:r>
    </w:p>
    <w:p w:rsidR="008339D9" w:rsidRPr="00FB3DF8" w:rsidP="008339D9">
      <w:pPr>
        <w:bidi w:val="0"/>
        <w:spacing w:before="120" w:line="276" w:lineRule="auto"/>
        <w:ind w:firstLine="708"/>
        <w:jc w:val="both"/>
        <w:rPr>
          <w:rFonts w:ascii="Book Antiqua" w:hAnsi="Book Antiqua"/>
          <w:i/>
          <w:sz w:val="22"/>
          <w:szCs w:val="22"/>
        </w:rPr>
      </w:pPr>
      <w:r w:rsidRPr="00FB3DF8" w:rsidR="007F7CE5">
        <w:rPr>
          <w:rFonts w:ascii="Book Antiqua" w:hAnsi="Book Antiqua" w:cs="Arial"/>
          <w:i/>
          <w:sz w:val="22"/>
          <w:szCs w:val="22"/>
        </w:rPr>
        <w:t>Pod</w:t>
      </w:r>
      <w:r w:rsidRPr="00FB3DF8" w:rsidR="007F7CE5">
        <w:rPr>
          <w:rFonts w:ascii="Book Antiqua" w:hAnsi="Book Antiqua"/>
          <w:i/>
          <w:sz w:val="22"/>
          <w:szCs w:val="22"/>
        </w:rPr>
        <w:t>ľ</w:t>
      </w:r>
      <w:r w:rsidRPr="00FB3DF8" w:rsidR="007F7CE5">
        <w:rPr>
          <w:rFonts w:ascii="Book Antiqua" w:hAnsi="Book Antiqua" w:cs="Arial"/>
          <w:i/>
          <w:sz w:val="22"/>
          <w:szCs w:val="22"/>
        </w:rPr>
        <w:t>a § 5 ods.</w:t>
      </w:r>
      <w:r w:rsidRPr="00FB3DF8" w:rsidR="007F7CE5">
        <w:rPr>
          <w:rFonts w:ascii="Book Antiqua" w:hAnsi="Book Antiqua"/>
          <w:i/>
          <w:sz w:val="22"/>
          <w:szCs w:val="22"/>
        </w:rPr>
        <w:t xml:space="preserve"> </w:t>
      </w:r>
      <w:r w:rsidRPr="00FB3DF8" w:rsidR="007F7CE5">
        <w:rPr>
          <w:rFonts w:ascii="Book Antiqua" w:hAnsi="Book Antiqua" w:cs="Arial"/>
          <w:i/>
          <w:sz w:val="22"/>
          <w:szCs w:val="22"/>
        </w:rPr>
        <w:t>2 zákona sa r</w:t>
      </w:r>
      <w:r w:rsidRPr="00FB3DF8" w:rsidR="007F7CE5">
        <w:rPr>
          <w:rFonts w:ascii="Book Antiqua" w:hAnsi="Book Antiqua"/>
          <w:i/>
          <w:sz w:val="22"/>
          <w:szCs w:val="22"/>
        </w:rPr>
        <w:t>odičovský príspevok vypláca za celý kalendárny mesiac, aj keď sa podmienky nároku na tento príspevok splnili len za časť kalendárneho mesiaca. To znamená, že aj v</w:t>
      </w:r>
      <w:r w:rsidRPr="00FB3DF8" w:rsidR="008640D4">
        <w:rPr>
          <w:rFonts w:ascii="Book Antiqua" w:hAnsi="Book Antiqua"/>
          <w:i/>
          <w:sz w:val="22"/>
          <w:szCs w:val="22"/>
        </w:rPr>
        <w:t> </w:t>
      </w:r>
      <w:r w:rsidRPr="00FB3DF8" w:rsidR="007F7CE5">
        <w:rPr>
          <w:rFonts w:ascii="Book Antiqua" w:hAnsi="Book Antiqua"/>
          <w:i/>
          <w:sz w:val="22"/>
          <w:szCs w:val="22"/>
        </w:rPr>
        <w:t>terajšom platnom právnom stave je jeden mesiac, v</w:t>
      </w:r>
      <w:r w:rsidRPr="00FB3DF8" w:rsidR="008640D4">
        <w:rPr>
          <w:rFonts w:ascii="Book Antiqua" w:hAnsi="Book Antiqua"/>
          <w:i/>
          <w:sz w:val="22"/>
          <w:szCs w:val="22"/>
        </w:rPr>
        <w:t> </w:t>
      </w:r>
      <w:r w:rsidRPr="00FB3DF8" w:rsidR="007F7CE5">
        <w:rPr>
          <w:rFonts w:ascii="Book Antiqua" w:hAnsi="Book Antiqua"/>
          <w:i/>
          <w:sz w:val="22"/>
          <w:szCs w:val="22"/>
        </w:rPr>
        <w:t>ktorom vzniká súbeh nárokov na materské a</w:t>
      </w:r>
      <w:r w:rsidRPr="00FB3DF8" w:rsidR="008640D4">
        <w:rPr>
          <w:rFonts w:ascii="Book Antiqua" w:hAnsi="Book Antiqua"/>
          <w:i/>
          <w:sz w:val="22"/>
          <w:szCs w:val="22"/>
        </w:rPr>
        <w:t> </w:t>
      </w:r>
      <w:r w:rsidRPr="00FB3DF8">
        <w:rPr>
          <w:rFonts w:ascii="Book Antiqua" w:hAnsi="Book Antiqua"/>
          <w:i/>
          <w:sz w:val="22"/>
          <w:szCs w:val="22"/>
        </w:rPr>
        <w:t>rodičovský príspevok.</w:t>
      </w:r>
    </w:p>
    <w:p w:rsidR="007F7CE5" w:rsidRPr="00D72DE3" w:rsidP="008339D9">
      <w:pPr>
        <w:bidi w:val="0"/>
        <w:spacing w:before="120" w:line="276" w:lineRule="auto"/>
        <w:ind w:firstLine="708"/>
        <w:jc w:val="both"/>
        <w:rPr>
          <w:rFonts w:ascii="Book Antiqua" w:hAnsi="Book Antiqua"/>
          <w:i/>
          <w:sz w:val="22"/>
          <w:szCs w:val="22"/>
        </w:rPr>
      </w:pPr>
      <w:r w:rsidRPr="00FB3DF8">
        <w:rPr>
          <w:rFonts w:ascii="Book Antiqua" w:hAnsi="Book Antiqua"/>
          <w:i/>
          <w:sz w:val="22"/>
          <w:szCs w:val="22"/>
        </w:rPr>
        <w:t>Celkove sa podľa predloženého návrhu zákona predlžuje oprávneným osobám s</w:t>
      </w:r>
      <w:r w:rsidRPr="00FB3DF8" w:rsidR="008640D4">
        <w:rPr>
          <w:rFonts w:ascii="Book Antiqua" w:hAnsi="Book Antiqua"/>
          <w:i/>
          <w:sz w:val="22"/>
          <w:szCs w:val="22"/>
        </w:rPr>
        <w:t> </w:t>
      </w:r>
      <w:r w:rsidRPr="00FB3DF8">
        <w:rPr>
          <w:rFonts w:ascii="Book Antiqua" w:hAnsi="Book Antiqua"/>
          <w:i/>
          <w:sz w:val="22"/>
          <w:szCs w:val="22"/>
        </w:rPr>
        <w:t xml:space="preserve">nárokom na materské </w:t>
      </w:r>
      <w:r w:rsidRPr="00D72DE3">
        <w:rPr>
          <w:rFonts w:ascii="Book Antiqua" w:hAnsi="Book Antiqua"/>
          <w:i/>
          <w:sz w:val="22"/>
          <w:szCs w:val="22"/>
        </w:rPr>
        <w:t>poskytovanie rodičovského príspevku o</w:t>
      </w:r>
      <w:r w:rsidRPr="00D72DE3" w:rsidR="008640D4">
        <w:rPr>
          <w:rFonts w:ascii="Book Antiqua" w:hAnsi="Book Antiqua"/>
          <w:i/>
          <w:sz w:val="22"/>
          <w:szCs w:val="22"/>
        </w:rPr>
        <w:t> </w:t>
      </w:r>
      <w:r w:rsidRPr="00D72DE3">
        <w:rPr>
          <w:rFonts w:ascii="Book Antiqua" w:hAnsi="Book Antiqua"/>
          <w:i/>
          <w:sz w:val="22"/>
          <w:szCs w:val="22"/>
        </w:rPr>
        <w:t>6 mesiacov a</w:t>
      </w:r>
      <w:r w:rsidRPr="00D72DE3" w:rsidR="008640D4">
        <w:rPr>
          <w:rFonts w:ascii="Book Antiqua" w:hAnsi="Book Antiqua"/>
          <w:i/>
          <w:sz w:val="22"/>
          <w:szCs w:val="22"/>
        </w:rPr>
        <w:t> </w:t>
      </w:r>
      <w:r w:rsidRPr="00D72DE3">
        <w:rPr>
          <w:rFonts w:ascii="Book Antiqua" w:hAnsi="Book Antiqua"/>
          <w:i/>
          <w:sz w:val="22"/>
          <w:szCs w:val="22"/>
        </w:rPr>
        <w:t>s</w:t>
      </w:r>
      <w:r w:rsidRPr="00D72DE3" w:rsidR="008640D4">
        <w:rPr>
          <w:rFonts w:ascii="Book Antiqua" w:hAnsi="Book Antiqua"/>
          <w:i/>
          <w:sz w:val="22"/>
          <w:szCs w:val="22"/>
        </w:rPr>
        <w:t> </w:t>
      </w:r>
      <w:r w:rsidRPr="00D72DE3">
        <w:rPr>
          <w:rFonts w:ascii="Book Antiqua" w:hAnsi="Book Antiqua"/>
          <w:i/>
          <w:sz w:val="22"/>
          <w:szCs w:val="22"/>
        </w:rPr>
        <w:t>týmto číslom je vykonaný odhad dopadov na štátny rozpočet.</w:t>
      </w:r>
    </w:p>
    <w:p w:rsidR="00080DEE" w:rsidRPr="00080DEE" w:rsidP="008339D9">
      <w:pPr>
        <w:bidi w:val="0"/>
        <w:spacing w:before="120" w:line="276" w:lineRule="auto"/>
        <w:ind w:firstLine="708"/>
        <w:jc w:val="both"/>
        <w:rPr>
          <w:rFonts w:ascii="Book Antiqua" w:hAnsi="Book Antiqua"/>
          <w:i/>
          <w:sz w:val="22"/>
          <w:szCs w:val="22"/>
        </w:rPr>
      </w:pPr>
      <w:r w:rsidRPr="00D72DE3" w:rsidR="00D72DE3">
        <w:rPr>
          <w:rFonts w:ascii="Book Antiqua" w:hAnsi="Book Antiqua" w:cs="Arial"/>
          <w:i/>
          <w:color w:val="222222"/>
          <w:sz w:val="22"/>
          <w:szCs w:val="22"/>
          <w:shd w:val="clear" w:color="auto" w:fill="FFFFFF"/>
        </w:rPr>
        <w:t xml:space="preserve">Požadované nároky vo vzťahu k rozpočtu verejnej správy vyplývajúce z návrhu zákona </w:t>
      </w:r>
      <w:r w:rsidRPr="00D72DE3">
        <w:rPr>
          <w:rFonts w:ascii="Book Antiqua" w:hAnsi="Book Antiqua" w:cs="Arial"/>
          <w:i/>
          <w:color w:val="222222"/>
          <w:sz w:val="22"/>
          <w:szCs w:val="22"/>
          <w:shd w:val="clear" w:color="auto" w:fill="FFFFFF"/>
        </w:rPr>
        <w:t>navrhujeme finančne vykryť z dodatočných daňových a odvodových príjmov verejnej správy, ktoré vláda získa zavedením všetkých legislatívnych  opatrení naplánovaných na rok 2017. Plánovaná výška dodatočných príjmov na rok 2017 je 83 mil. eur, v roku 2018 ide o 131 mil. eur a v roku 2019 pôjde o sumu 114 mil. eur.</w:t>
      </w:r>
    </w:p>
    <w:p w:rsidR="007F7CE5" w:rsidRPr="00FB3DF8" w:rsidP="000A62BA">
      <w:pPr>
        <w:bidi w:val="0"/>
        <w:spacing w:before="120" w:line="276" w:lineRule="auto"/>
        <w:jc w:val="both"/>
        <w:rPr>
          <w:rFonts w:ascii="Book Antiqua" w:hAnsi="Book Antiqua"/>
          <w:sz w:val="22"/>
          <w:szCs w:val="22"/>
        </w:rPr>
      </w:pPr>
    </w:p>
    <w:p w:rsidR="007F7CE5" w:rsidRPr="00FB3DF8" w:rsidP="000A62BA">
      <w:pPr>
        <w:bidi w:val="0"/>
        <w:spacing w:before="120" w:line="276" w:lineRule="auto"/>
        <w:jc w:val="both"/>
        <w:rPr>
          <w:rFonts w:ascii="Book Antiqua" w:hAnsi="Book Antiqua" w:cs="Arial"/>
          <w:b/>
          <w:sz w:val="22"/>
          <w:szCs w:val="22"/>
        </w:rPr>
      </w:pPr>
      <w:r w:rsidRPr="00FB3DF8">
        <w:rPr>
          <w:rFonts w:ascii="Book Antiqua" w:hAnsi="Book Antiqua" w:cs="Arial"/>
          <w:b/>
          <w:sz w:val="22"/>
          <w:szCs w:val="22"/>
        </w:rPr>
        <w:t>A.3.2  Zhodnotenie dopadov na obyvate</w:t>
      </w:r>
      <w:r w:rsidRPr="00FB3DF8">
        <w:rPr>
          <w:rFonts w:ascii="Book Antiqua" w:hAnsi="Book Antiqua"/>
          <w:b/>
          <w:sz w:val="22"/>
          <w:szCs w:val="22"/>
        </w:rPr>
        <w:t>ľ</w:t>
      </w:r>
      <w:r w:rsidRPr="00FB3DF8">
        <w:rPr>
          <w:rFonts w:ascii="Book Antiqua" w:hAnsi="Book Antiqua" w:cs="Arial"/>
          <w:b/>
          <w:sz w:val="22"/>
          <w:szCs w:val="22"/>
        </w:rPr>
        <w:t>stvo</w:t>
      </w:r>
    </w:p>
    <w:p w:rsidR="007F7CE5" w:rsidRPr="00FB3DF8" w:rsidP="000A62BA">
      <w:pPr>
        <w:bidi w:val="0"/>
        <w:spacing w:before="120" w:line="276" w:lineRule="auto"/>
        <w:jc w:val="both"/>
        <w:rPr>
          <w:rFonts w:ascii="Book Antiqua" w:hAnsi="Book Antiqua"/>
          <w:i/>
          <w:sz w:val="22"/>
          <w:szCs w:val="22"/>
        </w:rPr>
      </w:pPr>
      <w:r w:rsidRPr="00FB3DF8">
        <w:rPr>
          <w:rFonts w:ascii="Book Antiqua" w:hAnsi="Book Antiqua" w:cs="Arial"/>
          <w:i/>
          <w:sz w:val="22"/>
          <w:szCs w:val="22"/>
        </w:rPr>
        <w:t>Návrh zákona má pozitívny vplyv na domácnosti osôb, ktoré majú nárok na materské. Príklady dopadov na osoby s</w:t>
      </w:r>
      <w:r w:rsidRPr="00FB3DF8" w:rsidR="008640D4">
        <w:rPr>
          <w:rFonts w:ascii="Book Antiqua" w:hAnsi="Book Antiqua" w:cs="Arial"/>
          <w:i/>
          <w:sz w:val="22"/>
          <w:szCs w:val="22"/>
        </w:rPr>
        <w:t> </w:t>
      </w:r>
      <w:r w:rsidRPr="00FB3DF8">
        <w:rPr>
          <w:rFonts w:ascii="Book Antiqua" w:hAnsi="Book Antiqua" w:cs="Arial"/>
          <w:i/>
          <w:sz w:val="22"/>
          <w:szCs w:val="22"/>
        </w:rPr>
        <w:t>vybranými sumami materského</w:t>
      </w:r>
      <w:r w:rsidRPr="00FB3DF8" w:rsidR="008640D4">
        <w:rPr>
          <w:rFonts w:ascii="Book Antiqua" w:hAnsi="Book Antiqua"/>
          <w:i/>
          <w:sz w:val="22"/>
          <w:szCs w:val="22"/>
        </w:rPr>
        <w:t xml:space="preserve"> sú nasledovné:</w:t>
      </w:r>
    </w:p>
    <w:tbl>
      <w:tblPr>
        <w:tblStyle w:val="TableNormal"/>
        <w:tblW w:w="8585" w:type="dxa"/>
        <w:tblInd w:w="-10" w:type="dxa"/>
        <w:tblLayout w:type="fixed"/>
        <w:tblCellMar>
          <w:left w:w="70" w:type="dxa"/>
          <w:right w:w="70" w:type="dxa"/>
        </w:tblCellMar>
        <w:tblLook w:val="04A0"/>
      </w:tblPr>
      <w:tblGrid>
        <w:gridCol w:w="383"/>
        <w:gridCol w:w="1398"/>
        <w:gridCol w:w="567"/>
        <w:gridCol w:w="567"/>
        <w:gridCol w:w="567"/>
        <w:gridCol w:w="567"/>
        <w:gridCol w:w="567"/>
        <w:gridCol w:w="567"/>
        <w:gridCol w:w="567"/>
        <w:gridCol w:w="567"/>
        <w:gridCol w:w="567"/>
        <w:gridCol w:w="567"/>
        <w:gridCol w:w="567"/>
        <w:gridCol w:w="567"/>
      </w:tblGrid>
      <w:tr>
        <w:tblPrEx>
          <w:tblW w:w="8585" w:type="dxa"/>
          <w:tblInd w:w="-10" w:type="dxa"/>
          <w:tblLayout w:type="fixed"/>
          <w:tblCellMar>
            <w:left w:w="70" w:type="dxa"/>
            <w:right w:w="70" w:type="dxa"/>
          </w:tblCellMar>
          <w:tblLook w:val="04A0"/>
        </w:tblPrEx>
        <w:trPr>
          <w:trHeight w:val="276"/>
        </w:trPr>
        <w:tc>
          <w:tcPr>
            <w:tcW w:w="383" w:type="dxa"/>
            <w:vMerge w:val="restart"/>
            <w:tcBorders>
              <w:top w:val="single" w:sz="8" w:space="0" w:color="auto"/>
              <w:left w:val="single" w:sz="8" w:space="0" w:color="auto"/>
              <w:bottom w:val="single" w:sz="8" w:space="0" w:color="000000"/>
              <w:right w:val="single" w:sz="8" w:space="0" w:color="auto"/>
            </w:tcBorders>
            <w:noWrap/>
            <w:textDirection w:val="tbRl"/>
            <w:vAlign w:val="center"/>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2018</w:t>
            </w:r>
          </w:p>
        </w:tc>
        <w:tc>
          <w:tcPr>
            <w:tcW w:w="1398" w:type="dxa"/>
            <w:tcBorders>
              <w:top w:val="single" w:sz="8" w:space="0" w:color="auto"/>
              <w:left w:val="nil"/>
              <w:bottom w:val="single" w:sz="4" w:space="0" w:color="auto"/>
              <w:right w:val="single" w:sz="8" w:space="0" w:color="auto"/>
            </w:tcBorders>
            <w:noWrap/>
            <w:textDirection w:val="lrTb"/>
            <w:vAlign w:val="bottom"/>
            <w:hideMark/>
          </w:tcPr>
          <w:p w:rsidR="007F7CE5" w:rsidRPr="00FB3DF8" w:rsidP="000A62BA">
            <w:pPr>
              <w:bidi w:val="0"/>
              <w:spacing w:before="120" w:line="276" w:lineRule="auto"/>
              <w:rPr>
                <w:rFonts w:ascii="Book Antiqua" w:hAnsi="Book Antiqua" w:cs="Arial"/>
                <w:color w:val="000000"/>
                <w:sz w:val="22"/>
                <w:szCs w:val="22"/>
              </w:rPr>
            </w:pPr>
            <w:r w:rsidRPr="00FB3DF8">
              <w:rPr>
                <w:rFonts w:ascii="Book Antiqua" w:hAnsi="Book Antiqua" w:cs="Arial"/>
                <w:color w:val="000000"/>
                <w:sz w:val="22"/>
                <w:szCs w:val="22"/>
              </w:rPr>
              <w:t>materské</w:t>
            </w:r>
          </w:p>
        </w:tc>
        <w:tc>
          <w:tcPr>
            <w:tcW w:w="567" w:type="dxa"/>
            <w:tcBorders>
              <w:top w:val="single" w:sz="8" w:space="0" w:color="auto"/>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100</w:t>
            </w:r>
          </w:p>
        </w:tc>
        <w:tc>
          <w:tcPr>
            <w:tcW w:w="567" w:type="dxa"/>
            <w:tcBorders>
              <w:top w:val="single" w:sz="8" w:space="0" w:color="auto"/>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120</w:t>
            </w:r>
          </w:p>
        </w:tc>
        <w:tc>
          <w:tcPr>
            <w:tcW w:w="567" w:type="dxa"/>
            <w:tcBorders>
              <w:top w:val="single" w:sz="8" w:space="0" w:color="auto"/>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140</w:t>
            </w:r>
          </w:p>
        </w:tc>
        <w:tc>
          <w:tcPr>
            <w:tcW w:w="567" w:type="dxa"/>
            <w:tcBorders>
              <w:top w:val="single" w:sz="8" w:space="0" w:color="auto"/>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160</w:t>
            </w:r>
          </w:p>
        </w:tc>
        <w:tc>
          <w:tcPr>
            <w:tcW w:w="567" w:type="dxa"/>
            <w:tcBorders>
              <w:top w:val="single" w:sz="8" w:space="0" w:color="auto"/>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180</w:t>
            </w:r>
          </w:p>
        </w:tc>
        <w:tc>
          <w:tcPr>
            <w:tcW w:w="567" w:type="dxa"/>
            <w:tcBorders>
              <w:top w:val="single" w:sz="8" w:space="0" w:color="auto"/>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200</w:t>
            </w:r>
          </w:p>
        </w:tc>
        <w:tc>
          <w:tcPr>
            <w:tcW w:w="567" w:type="dxa"/>
            <w:tcBorders>
              <w:top w:val="single" w:sz="8" w:space="0" w:color="auto"/>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250</w:t>
            </w:r>
          </w:p>
        </w:tc>
        <w:tc>
          <w:tcPr>
            <w:tcW w:w="567" w:type="dxa"/>
            <w:tcBorders>
              <w:top w:val="single" w:sz="8" w:space="0" w:color="auto"/>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300</w:t>
            </w:r>
          </w:p>
        </w:tc>
        <w:tc>
          <w:tcPr>
            <w:tcW w:w="567" w:type="dxa"/>
            <w:tcBorders>
              <w:top w:val="single" w:sz="8" w:space="0" w:color="auto"/>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400</w:t>
            </w:r>
          </w:p>
        </w:tc>
        <w:tc>
          <w:tcPr>
            <w:tcW w:w="567" w:type="dxa"/>
            <w:tcBorders>
              <w:top w:val="single" w:sz="8" w:space="0" w:color="auto"/>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500</w:t>
            </w:r>
          </w:p>
        </w:tc>
        <w:tc>
          <w:tcPr>
            <w:tcW w:w="567" w:type="dxa"/>
            <w:tcBorders>
              <w:top w:val="single" w:sz="8" w:space="0" w:color="auto"/>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600</w:t>
            </w:r>
          </w:p>
        </w:tc>
        <w:tc>
          <w:tcPr>
            <w:tcW w:w="567" w:type="dxa"/>
            <w:tcBorders>
              <w:top w:val="single" w:sz="8" w:space="0" w:color="auto"/>
              <w:left w:val="nil"/>
              <w:bottom w:val="single" w:sz="4" w:space="0" w:color="auto"/>
              <w:right w:val="single" w:sz="8"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700</w:t>
            </w:r>
          </w:p>
        </w:tc>
      </w:tr>
      <w:tr>
        <w:tblPrEx>
          <w:tblW w:w="8585" w:type="dxa"/>
          <w:tblInd w:w="-10" w:type="dxa"/>
          <w:tblLayout w:type="fixed"/>
          <w:tblCellMar>
            <w:left w:w="70" w:type="dxa"/>
            <w:right w:w="70" w:type="dxa"/>
          </w:tblCellMar>
          <w:tblLook w:val="04A0"/>
        </w:tblPrEx>
        <w:trPr>
          <w:trHeight w:val="276"/>
        </w:trPr>
        <w:tc>
          <w:tcPr>
            <w:tcW w:w="383" w:type="dxa"/>
            <w:vMerge/>
            <w:tcBorders>
              <w:top w:val="single" w:sz="8" w:space="0" w:color="auto"/>
              <w:left w:val="single" w:sz="8" w:space="0" w:color="auto"/>
              <w:bottom w:val="single" w:sz="8" w:space="0" w:color="000000"/>
              <w:right w:val="single" w:sz="8" w:space="0" w:color="auto"/>
            </w:tcBorders>
            <w:textDirection w:val="lrTb"/>
            <w:vAlign w:val="center"/>
            <w:hideMark/>
          </w:tcPr>
          <w:p w:rsidR="007F7CE5" w:rsidRPr="00FB3DF8" w:rsidP="000A62BA">
            <w:pPr>
              <w:bidi w:val="0"/>
              <w:spacing w:before="120" w:line="276" w:lineRule="auto"/>
              <w:rPr>
                <w:rFonts w:ascii="Book Antiqua" w:hAnsi="Book Antiqua" w:cs="Arial"/>
                <w:color w:val="000000"/>
                <w:sz w:val="22"/>
                <w:szCs w:val="22"/>
              </w:rPr>
            </w:pPr>
          </w:p>
        </w:tc>
        <w:tc>
          <w:tcPr>
            <w:tcW w:w="1398" w:type="dxa"/>
            <w:tcBorders>
              <w:top w:val="nil"/>
              <w:left w:val="nil"/>
              <w:bottom w:val="single" w:sz="4" w:space="0" w:color="auto"/>
              <w:right w:val="single" w:sz="8" w:space="0" w:color="auto"/>
            </w:tcBorders>
            <w:noWrap/>
            <w:textDirection w:val="lrTb"/>
            <w:vAlign w:val="bottom"/>
            <w:hideMark/>
          </w:tcPr>
          <w:p w:rsidR="007F7CE5" w:rsidRPr="00FB3DF8" w:rsidP="000A62BA">
            <w:pPr>
              <w:bidi w:val="0"/>
              <w:spacing w:before="120" w:line="276" w:lineRule="auto"/>
              <w:rPr>
                <w:rFonts w:ascii="Book Antiqua" w:hAnsi="Book Antiqua"/>
                <w:color w:val="000000"/>
                <w:sz w:val="22"/>
                <w:szCs w:val="22"/>
              </w:rPr>
            </w:pPr>
            <w:r w:rsidRPr="00FB3DF8">
              <w:rPr>
                <w:rFonts w:ascii="Book Antiqua" w:hAnsi="Book Antiqua"/>
                <w:color w:val="000000"/>
                <w:sz w:val="22"/>
                <w:szCs w:val="22"/>
              </w:rPr>
              <w:t>rodičovský príspevok navrhovaný</w:t>
            </w:r>
          </w:p>
        </w:tc>
        <w:tc>
          <w:tcPr>
            <w:tcW w:w="567" w:type="dxa"/>
            <w:tcBorders>
              <w:top w:val="nil"/>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137,50</w:t>
            </w:r>
          </w:p>
        </w:tc>
        <w:tc>
          <w:tcPr>
            <w:tcW w:w="567" w:type="dxa"/>
            <w:tcBorders>
              <w:top w:val="nil"/>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121,50</w:t>
            </w:r>
          </w:p>
        </w:tc>
        <w:tc>
          <w:tcPr>
            <w:tcW w:w="567" w:type="dxa"/>
            <w:tcBorders>
              <w:top w:val="nil"/>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105,5</w:t>
            </w:r>
            <w:r w:rsidRPr="00FB3DF8" w:rsidR="00A26339">
              <w:rPr>
                <w:rFonts w:ascii="Book Antiqua" w:hAnsi="Book Antiqua" w:cs="Arial"/>
                <w:color w:val="000000"/>
                <w:sz w:val="22"/>
                <w:szCs w:val="22"/>
              </w:rPr>
              <w:t>0</w:t>
            </w:r>
          </w:p>
        </w:tc>
        <w:tc>
          <w:tcPr>
            <w:tcW w:w="567" w:type="dxa"/>
            <w:tcBorders>
              <w:top w:val="nil"/>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89,5</w:t>
            </w:r>
          </w:p>
        </w:tc>
        <w:tc>
          <w:tcPr>
            <w:tcW w:w="567" w:type="dxa"/>
            <w:tcBorders>
              <w:top w:val="nil"/>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73,5</w:t>
            </w:r>
          </w:p>
        </w:tc>
        <w:tc>
          <w:tcPr>
            <w:tcW w:w="567" w:type="dxa"/>
            <w:tcBorders>
              <w:top w:val="nil"/>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57,5</w:t>
            </w:r>
          </w:p>
        </w:tc>
        <w:tc>
          <w:tcPr>
            <w:tcW w:w="567" w:type="dxa"/>
            <w:tcBorders>
              <w:top w:val="nil"/>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43,5</w:t>
            </w:r>
          </w:p>
        </w:tc>
        <w:tc>
          <w:tcPr>
            <w:tcW w:w="567" w:type="dxa"/>
            <w:tcBorders>
              <w:top w:val="nil"/>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43,5</w:t>
            </w:r>
          </w:p>
        </w:tc>
        <w:tc>
          <w:tcPr>
            <w:tcW w:w="567" w:type="dxa"/>
            <w:tcBorders>
              <w:top w:val="nil"/>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43,5</w:t>
            </w:r>
          </w:p>
        </w:tc>
        <w:tc>
          <w:tcPr>
            <w:tcW w:w="567" w:type="dxa"/>
            <w:tcBorders>
              <w:top w:val="nil"/>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43,5</w:t>
            </w:r>
          </w:p>
        </w:tc>
        <w:tc>
          <w:tcPr>
            <w:tcW w:w="567" w:type="dxa"/>
            <w:tcBorders>
              <w:top w:val="nil"/>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43,5</w:t>
            </w:r>
          </w:p>
        </w:tc>
        <w:tc>
          <w:tcPr>
            <w:tcW w:w="567" w:type="dxa"/>
            <w:tcBorders>
              <w:top w:val="nil"/>
              <w:left w:val="nil"/>
              <w:bottom w:val="single" w:sz="4" w:space="0" w:color="auto"/>
              <w:right w:val="single" w:sz="8"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43,5</w:t>
            </w:r>
          </w:p>
        </w:tc>
      </w:tr>
      <w:tr>
        <w:tblPrEx>
          <w:tblW w:w="8585" w:type="dxa"/>
          <w:tblInd w:w="-10" w:type="dxa"/>
          <w:tblLayout w:type="fixed"/>
          <w:tblCellMar>
            <w:left w:w="70" w:type="dxa"/>
            <w:right w:w="70" w:type="dxa"/>
          </w:tblCellMar>
          <w:tblLook w:val="04A0"/>
        </w:tblPrEx>
        <w:trPr>
          <w:trHeight w:val="276"/>
        </w:trPr>
        <w:tc>
          <w:tcPr>
            <w:tcW w:w="383" w:type="dxa"/>
            <w:vMerge/>
            <w:tcBorders>
              <w:top w:val="single" w:sz="8" w:space="0" w:color="auto"/>
              <w:left w:val="single" w:sz="8" w:space="0" w:color="auto"/>
              <w:bottom w:val="single" w:sz="8" w:space="0" w:color="000000"/>
              <w:right w:val="single" w:sz="8" w:space="0" w:color="auto"/>
            </w:tcBorders>
            <w:textDirection w:val="lrTb"/>
            <w:vAlign w:val="center"/>
            <w:hideMark/>
          </w:tcPr>
          <w:p w:rsidR="007F7CE5" w:rsidRPr="00FB3DF8" w:rsidP="000A62BA">
            <w:pPr>
              <w:bidi w:val="0"/>
              <w:spacing w:before="120" w:line="276" w:lineRule="auto"/>
              <w:rPr>
                <w:rFonts w:ascii="Book Antiqua" w:hAnsi="Book Antiqua" w:cs="Arial"/>
                <w:color w:val="000000"/>
                <w:sz w:val="22"/>
                <w:szCs w:val="22"/>
              </w:rPr>
            </w:pPr>
          </w:p>
        </w:tc>
        <w:tc>
          <w:tcPr>
            <w:tcW w:w="1398" w:type="dxa"/>
            <w:tcBorders>
              <w:top w:val="nil"/>
              <w:left w:val="nil"/>
              <w:bottom w:val="nil"/>
              <w:right w:val="single" w:sz="8" w:space="0" w:color="auto"/>
            </w:tcBorders>
            <w:noWrap/>
            <w:textDirection w:val="lrTb"/>
            <w:vAlign w:val="bottom"/>
            <w:hideMark/>
          </w:tcPr>
          <w:p w:rsidR="007F7CE5" w:rsidRPr="00FB3DF8" w:rsidP="000A62BA">
            <w:pPr>
              <w:bidi w:val="0"/>
              <w:spacing w:before="120" w:line="276" w:lineRule="auto"/>
              <w:rPr>
                <w:rFonts w:ascii="Book Antiqua" w:hAnsi="Book Antiqua"/>
                <w:color w:val="000000"/>
                <w:sz w:val="22"/>
                <w:szCs w:val="22"/>
              </w:rPr>
            </w:pPr>
            <w:r w:rsidRPr="00FB3DF8">
              <w:rPr>
                <w:rFonts w:ascii="Book Antiqua" w:hAnsi="Book Antiqua"/>
                <w:color w:val="000000"/>
                <w:sz w:val="22"/>
                <w:szCs w:val="22"/>
              </w:rPr>
              <w:t>rodičovský príspevok platný</w:t>
            </w:r>
          </w:p>
        </w:tc>
        <w:tc>
          <w:tcPr>
            <w:tcW w:w="567" w:type="dxa"/>
            <w:tcBorders>
              <w:top w:val="nil"/>
              <w:left w:val="nil"/>
              <w:bottom w:val="nil"/>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117,5</w:t>
            </w:r>
          </w:p>
        </w:tc>
        <w:tc>
          <w:tcPr>
            <w:tcW w:w="567" w:type="dxa"/>
            <w:tcBorders>
              <w:top w:val="nil"/>
              <w:left w:val="nil"/>
              <w:bottom w:val="nil"/>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97,5</w:t>
            </w:r>
          </w:p>
        </w:tc>
        <w:tc>
          <w:tcPr>
            <w:tcW w:w="567" w:type="dxa"/>
            <w:tcBorders>
              <w:top w:val="nil"/>
              <w:left w:val="nil"/>
              <w:bottom w:val="nil"/>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77,5</w:t>
            </w:r>
          </w:p>
        </w:tc>
        <w:tc>
          <w:tcPr>
            <w:tcW w:w="567" w:type="dxa"/>
            <w:tcBorders>
              <w:top w:val="nil"/>
              <w:left w:val="nil"/>
              <w:bottom w:val="nil"/>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57,5</w:t>
            </w:r>
          </w:p>
        </w:tc>
        <w:tc>
          <w:tcPr>
            <w:tcW w:w="567" w:type="dxa"/>
            <w:tcBorders>
              <w:top w:val="nil"/>
              <w:left w:val="nil"/>
              <w:bottom w:val="nil"/>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37,5</w:t>
            </w:r>
          </w:p>
        </w:tc>
        <w:tc>
          <w:tcPr>
            <w:tcW w:w="567" w:type="dxa"/>
            <w:tcBorders>
              <w:top w:val="nil"/>
              <w:left w:val="nil"/>
              <w:bottom w:val="nil"/>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17,5</w:t>
            </w:r>
          </w:p>
        </w:tc>
        <w:tc>
          <w:tcPr>
            <w:tcW w:w="567" w:type="dxa"/>
            <w:tcBorders>
              <w:top w:val="nil"/>
              <w:left w:val="nil"/>
              <w:bottom w:val="nil"/>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0</w:t>
            </w:r>
          </w:p>
        </w:tc>
        <w:tc>
          <w:tcPr>
            <w:tcW w:w="567" w:type="dxa"/>
            <w:tcBorders>
              <w:top w:val="nil"/>
              <w:left w:val="nil"/>
              <w:bottom w:val="nil"/>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0</w:t>
            </w:r>
          </w:p>
        </w:tc>
        <w:tc>
          <w:tcPr>
            <w:tcW w:w="567" w:type="dxa"/>
            <w:tcBorders>
              <w:top w:val="nil"/>
              <w:left w:val="nil"/>
              <w:bottom w:val="nil"/>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0</w:t>
            </w:r>
          </w:p>
        </w:tc>
        <w:tc>
          <w:tcPr>
            <w:tcW w:w="567" w:type="dxa"/>
            <w:tcBorders>
              <w:top w:val="nil"/>
              <w:left w:val="nil"/>
              <w:bottom w:val="nil"/>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0</w:t>
            </w:r>
          </w:p>
        </w:tc>
        <w:tc>
          <w:tcPr>
            <w:tcW w:w="567" w:type="dxa"/>
            <w:tcBorders>
              <w:top w:val="nil"/>
              <w:left w:val="nil"/>
              <w:bottom w:val="nil"/>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0</w:t>
            </w:r>
          </w:p>
        </w:tc>
        <w:tc>
          <w:tcPr>
            <w:tcW w:w="567" w:type="dxa"/>
            <w:tcBorders>
              <w:top w:val="nil"/>
              <w:left w:val="nil"/>
              <w:bottom w:val="nil"/>
              <w:right w:val="single" w:sz="8"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0</w:t>
            </w:r>
          </w:p>
        </w:tc>
      </w:tr>
      <w:tr>
        <w:tblPrEx>
          <w:tblW w:w="8585" w:type="dxa"/>
          <w:tblInd w:w="-10" w:type="dxa"/>
          <w:tblLayout w:type="fixed"/>
          <w:tblCellMar>
            <w:left w:w="70" w:type="dxa"/>
            <w:right w:w="70" w:type="dxa"/>
          </w:tblCellMar>
          <w:tblLook w:val="04A0"/>
        </w:tblPrEx>
        <w:trPr>
          <w:trHeight w:val="276"/>
        </w:trPr>
        <w:tc>
          <w:tcPr>
            <w:tcW w:w="383" w:type="dxa"/>
            <w:vMerge/>
            <w:tcBorders>
              <w:top w:val="single" w:sz="8" w:space="0" w:color="auto"/>
              <w:left w:val="single" w:sz="8" w:space="0" w:color="auto"/>
              <w:bottom w:val="single" w:sz="8" w:space="0" w:color="000000"/>
              <w:right w:val="single" w:sz="8" w:space="0" w:color="auto"/>
            </w:tcBorders>
            <w:textDirection w:val="lrTb"/>
            <w:vAlign w:val="center"/>
            <w:hideMark/>
          </w:tcPr>
          <w:p w:rsidR="007F7CE5" w:rsidRPr="00FB3DF8" w:rsidP="000A62BA">
            <w:pPr>
              <w:bidi w:val="0"/>
              <w:spacing w:before="120" w:line="276" w:lineRule="auto"/>
              <w:rPr>
                <w:rFonts w:ascii="Book Antiqua" w:hAnsi="Book Antiqua" w:cs="Arial"/>
                <w:color w:val="000000"/>
                <w:sz w:val="22"/>
                <w:szCs w:val="22"/>
              </w:rPr>
            </w:pPr>
          </w:p>
        </w:tc>
        <w:tc>
          <w:tcPr>
            <w:tcW w:w="1398" w:type="dxa"/>
            <w:tcBorders>
              <w:top w:val="single" w:sz="8" w:space="0" w:color="auto"/>
              <w:left w:val="nil"/>
              <w:bottom w:val="single" w:sz="8" w:space="0" w:color="auto"/>
              <w:right w:val="single" w:sz="8" w:space="0" w:color="auto"/>
            </w:tcBorders>
            <w:noWrap/>
            <w:textDirection w:val="lrTb"/>
            <w:vAlign w:val="bottom"/>
            <w:hideMark/>
          </w:tcPr>
          <w:p w:rsidR="007F7CE5" w:rsidRPr="00FB3DF8" w:rsidP="000A62BA">
            <w:pPr>
              <w:bidi w:val="0"/>
              <w:spacing w:before="120" w:line="276" w:lineRule="auto"/>
              <w:rPr>
                <w:rFonts w:ascii="Book Antiqua" w:hAnsi="Book Antiqua" w:cs="Arial"/>
                <w:b/>
                <w:bCs/>
                <w:sz w:val="22"/>
                <w:szCs w:val="22"/>
              </w:rPr>
            </w:pPr>
            <w:r w:rsidRPr="00FB3DF8">
              <w:rPr>
                <w:rFonts w:ascii="Book Antiqua" w:hAnsi="Book Antiqua" w:cs="Arial"/>
                <w:b/>
                <w:bCs/>
                <w:sz w:val="22"/>
                <w:szCs w:val="22"/>
              </w:rPr>
              <w:t>rozdiel</w:t>
            </w:r>
          </w:p>
        </w:tc>
        <w:tc>
          <w:tcPr>
            <w:tcW w:w="567" w:type="dxa"/>
            <w:tcBorders>
              <w:top w:val="single" w:sz="8" w:space="0" w:color="auto"/>
              <w:left w:val="nil"/>
              <w:bottom w:val="single" w:sz="8"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b/>
                <w:bCs/>
                <w:sz w:val="22"/>
                <w:szCs w:val="22"/>
              </w:rPr>
            </w:pPr>
            <w:r w:rsidRPr="00FB3DF8">
              <w:rPr>
                <w:rFonts w:ascii="Book Antiqua" w:hAnsi="Book Antiqua" w:cs="Arial"/>
                <w:b/>
                <w:bCs/>
                <w:sz w:val="22"/>
                <w:szCs w:val="22"/>
              </w:rPr>
              <w:t>20,0</w:t>
            </w:r>
          </w:p>
        </w:tc>
        <w:tc>
          <w:tcPr>
            <w:tcW w:w="567" w:type="dxa"/>
            <w:tcBorders>
              <w:top w:val="single" w:sz="8" w:space="0" w:color="auto"/>
              <w:left w:val="nil"/>
              <w:bottom w:val="single" w:sz="8"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b/>
                <w:bCs/>
                <w:sz w:val="22"/>
                <w:szCs w:val="22"/>
              </w:rPr>
            </w:pPr>
            <w:r w:rsidRPr="00FB3DF8">
              <w:rPr>
                <w:rFonts w:ascii="Book Antiqua" w:hAnsi="Book Antiqua" w:cs="Arial"/>
                <w:b/>
                <w:bCs/>
                <w:sz w:val="22"/>
                <w:szCs w:val="22"/>
              </w:rPr>
              <w:t>24,0</w:t>
            </w:r>
          </w:p>
        </w:tc>
        <w:tc>
          <w:tcPr>
            <w:tcW w:w="567" w:type="dxa"/>
            <w:tcBorders>
              <w:top w:val="single" w:sz="8" w:space="0" w:color="auto"/>
              <w:left w:val="nil"/>
              <w:bottom w:val="single" w:sz="8"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b/>
                <w:bCs/>
                <w:sz w:val="22"/>
                <w:szCs w:val="22"/>
              </w:rPr>
            </w:pPr>
            <w:r w:rsidRPr="00FB3DF8">
              <w:rPr>
                <w:rFonts w:ascii="Book Antiqua" w:hAnsi="Book Antiqua" w:cs="Arial"/>
                <w:b/>
                <w:bCs/>
                <w:sz w:val="22"/>
                <w:szCs w:val="22"/>
              </w:rPr>
              <w:t>28,0</w:t>
            </w:r>
          </w:p>
        </w:tc>
        <w:tc>
          <w:tcPr>
            <w:tcW w:w="567" w:type="dxa"/>
            <w:tcBorders>
              <w:top w:val="single" w:sz="8" w:space="0" w:color="auto"/>
              <w:left w:val="nil"/>
              <w:bottom w:val="single" w:sz="8"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b/>
                <w:bCs/>
                <w:sz w:val="22"/>
                <w:szCs w:val="22"/>
              </w:rPr>
            </w:pPr>
            <w:r w:rsidRPr="00FB3DF8">
              <w:rPr>
                <w:rFonts w:ascii="Book Antiqua" w:hAnsi="Book Antiqua" w:cs="Arial"/>
                <w:b/>
                <w:bCs/>
                <w:sz w:val="22"/>
                <w:szCs w:val="22"/>
              </w:rPr>
              <w:t>32,0</w:t>
            </w:r>
          </w:p>
        </w:tc>
        <w:tc>
          <w:tcPr>
            <w:tcW w:w="567" w:type="dxa"/>
            <w:tcBorders>
              <w:top w:val="single" w:sz="8" w:space="0" w:color="auto"/>
              <w:left w:val="nil"/>
              <w:bottom w:val="single" w:sz="8"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b/>
                <w:bCs/>
                <w:sz w:val="22"/>
                <w:szCs w:val="22"/>
              </w:rPr>
            </w:pPr>
            <w:r w:rsidRPr="00FB3DF8">
              <w:rPr>
                <w:rFonts w:ascii="Book Antiqua" w:hAnsi="Book Antiqua" w:cs="Arial"/>
                <w:b/>
                <w:bCs/>
                <w:sz w:val="22"/>
                <w:szCs w:val="22"/>
              </w:rPr>
              <w:t>36,0</w:t>
            </w:r>
          </w:p>
        </w:tc>
        <w:tc>
          <w:tcPr>
            <w:tcW w:w="567" w:type="dxa"/>
            <w:tcBorders>
              <w:top w:val="single" w:sz="8" w:space="0" w:color="auto"/>
              <w:left w:val="nil"/>
              <w:bottom w:val="single" w:sz="8"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b/>
                <w:bCs/>
                <w:sz w:val="22"/>
                <w:szCs w:val="22"/>
              </w:rPr>
            </w:pPr>
            <w:r w:rsidRPr="00FB3DF8">
              <w:rPr>
                <w:rFonts w:ascii="Book Antiqua" w:hAnsi="Book Antiqua" w:cs="Arial"/>
                <w:b/>
                <w:bCs/>
                <w:sz w:val="22"/>
                <w:szCs w:val="22"/>
              </w:rPr>
              <w:t>40,0</w:t>
            </w:r>
          </w:p>
        </w:tc>
        <w:tc>
          <w:tcPr>
            <w:tcW w:w="567" w:type="dxa"/>
            <w:tcBorders>
              <w:top w:val="single" w:sz="8" w:space="0" w:color="auto"/>
              <w:left w:val="nil"/>
              <w:bottom w:val="single" w:sz="8"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b/>
                <w:bCs/>
                <w:sz w:val="22"/>
                <w:szCs w:val="22"/>
              </w:rPr>
            </w:pPr>
            <w:r w:rsidRPr="00FB3DF8">
              <w:rPr>
                <w:rFonts w:ascii="Book Antiqua" w:hAnsi="Book Antiqua" w:cs="Arial"/>
                <w:b/>
                <w:bCs/>
                <w:sz w:val="22"/>
                <w:szCs w:val="22"/>
              </w:rPr>
              <w:t>43,5</w:t>
            </w:r>
          </w:p>
        </w:tc>
        <w:tc>
          <w:tcPr>
            <w:tcW w:w="567" w:type="dxa"/>
            <w:tcBorders>
              <w:top w:val="single" w:sz="8" w:space="0" w:color="auto"/>
              <w:left w:val="nil"/>
              <w:bottom w:val="single" w:sz="8"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b/>
                <w:bCs/>
                <w:sz w:val="22"/>
                <w:szCs w:val="22"/>
              </w:rPr>
            </w:pPr>
            <w:r w:rsidRPr="00FB3DF8">
              <w:rPr>
                <w:rFonts w:ascii="Book Antiqua" w:hAnsi="Book Antiqua" w:cs="Arial"/>
                <w:b/>
                <w:bCs/>
                <w:sz w:val="22"/>
                <w:szCs w:val="22"/>
              </w:rPr>
              <w:t>43,5</w:t>
            </w:r>
          </w:p>
        </w:tc>
        <w:tc>
          <w:tcPr>
            <w:tcW w:w="567" w:type="dxa"/>
            <w:tcBorders>
              <w:top w:val="single" w:sz="8" w:space="0" w:color="auto"/>
              <w:left w:val="nil"/>
              <w:bottom w:val="single" w:sz="8"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b/>
                <w:bCs/>
                <w:sz w:val="22"/>
                <w:szCs w:val="22"/>
              </w:rPr>
            </w:pPr>
            <w:r w:rsidRPr="00FB3DF8">
              <w:rPr>
                <w:rFonts w:ascii="Book Antiqua" w:hAnsi="Book Antiqua" w:cs="Arial"/>
                <w:b/>
                <w:bCs/>
                <w:sz w:val="22"/>
                <w:szCs w:val="22"/>
              </w:rPr>
              <w:t>43,5</w:t>
            </w:r>
          </w:p>
        </w:tc>
        <w:tc>
          <w:tcPr>
            <w:tcW w:w="567" w:type="dxa"/>
            <w:tcBorders>
              <w:top w:val="single" w:sz="8" w:space="0" w:color="auto"/>
              <w:left w:val="nil"/>
              <w:bottom w:val="single" w:sz="8"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b/>
                <w:bCs/>
                <w:sz w:val="22"/>
                <w:szCs w:val="22"/>
              </w:rPr>
            </w:pPr>
            <w:r w:rsidRPr="00FB3DF8">
              <w:rPr>
                <w:rFonts w:ascii="Book Antiqua" w:hAnsi="Book Antiqua" w:cs="Arial"/>
                <w:b/>
                <w:bCs/>
                <w:sz w:val="22"/>
                <w:szCs w:val="22"/>
              </w:rPr>
              <w:t>43,5</w:t>
            </w:r>
          </w:p>
        </w:tc>
        <w:tc>
          <w:tcPr>
            <w:tcW w:w="567" w:type="dxa"/>
            <w:tcBorders>
              <w:top w:val="single" w:sz="8" w:space="0" w:color="auto"/>
              <w:left w:val="nil"/>
              <w:bottom w:val="single" w:sz="8"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b/>
                <w:bCs/>
                <w:sz w:val="22"/>
                <w:szCs w:val="22"/>
              </w:rPr>
            </w:pPr>
            <w:r w:rsidRPr="00FB3DF8">
              <w:rPr>
                <w:rFonts w:ascii="Book Antiqua" w:hAnsi="Book Antiqua" w:cs="Arial"/>
                <w:b/>
                <w:bCs/>
                <w:sz w:val="22"/>
                <w:szCs w:val="22"/>
              </w:rPr>
              <w:t>43,5</w:t>
            </w:r>
          </w:p>
        </w:tc>
        <w:tc>
          <w:tcPr>
            <w:tcW w:w="567" w:type="dxa"/>
            <w:tcBorders>
              <w:top w:val="single" w:sz="8" w:space="0" w:color="auto"/>
              <w:left w:val="nil"/>
              <w:bottom w:val="single" w:sz="8" w:space="0" w:color="auto"/>
              <w:right w:val="single" w:sz="8"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b/>
                <w:bCs/>
                <w:sz w:val="22"/>
                <w:szCs w:val="22"/>
              </w:rPr>
            </w:pPr>
            <w:r w:rsidRPr="00FB3DF8">
              <w:rPr>
                <w:rFonts w:ascii="Book Antiqua" w:hAnsi="Book Antiqua" w:cs="Arial"/>
                <w:b/>
                <w:bCs/>
                <w:sz w:val="22"/>
                <w:szCs w:val="22"/>
              </w:rPr>
              <w:t>43,5</w:t>
            </w:r>
          </w:p>
        </w:tc>
      </w:tr>
    </w:tbl>
    <w:p w:rsidR="0012150F" w:rsidRPr="00FB3DF8" w:rsidP="000A62BA">
      <w:pPr>
        <w:bidi w:val="0"/>
        <w:spacing w:before="120" w:line="276" w:lineRule="auto"/>
        <w:jc w:val="both"/>
        <w:rPr>
          <w:rFonts w:ascii="Book Antiqua" w:hAnsi="Book Antiqua"/>
          <w:sz w:val="22"/>
          <w:szCs w:val="22"/>
        </w:rPr>
      </w:pPr>
    </w:p>
    <w:p w:rsidR="003B0671" w:rsidRPr="00FB3DF8">
      <w:pPr>
        <w:bidi w:val="0"/>
        <w:rPr>
          <w:rFonts w:ascii="Book Antiqua" w:hAnsi="Book Antiqua"/>
        </w:rPr>
        <w:sectPr w:rsidSect="0012150F">
          <w:pgSz w:w="11906" w:h="16838"/>
          <w:pgMar w:top="1417" w:right="1417" w:bottom="1417" w:left="1417" w:header="708" w:footer="708" w:gutter="0"/>
          <w:lnNumType w:distance="0"/>
          <w:cols w:space="708"/>
          <w:noEndnote w:val="0"/>
          <w:bidi w:val="0"/>
          <w:docGrid w:linePitch="360"/>
        </w:sectPr>
      </w:pPr>
    </w:p>
    <w:p w:rsidR="003B0671" w:rsidRPr="00FB3DF8">
      <w:pPr>
        <w:bidi w:val="0"/>
        <w:rPr>
          <w:rFonts w:ascii="Book Antiqua" w:hAnsi="Book Antiqua"/>
        </w:rPr>
      </w:pPr>
    </w:p>
    <w:tbl>
      <w:tblPr>
        <w:tblStyle w:val="TableNormal"/>
        <w:tblW w:w="12980" w:type="dxa"/>
        <w:tblInd w:w="-10" w:type="dxa"/>
        <w:tblLayout w:type="fixed"/>
        <w:tblCellMar>
          <w:left w:w="70" w:type="dxa"/>
          <w:right w:w="70" w:type="dxa"/>
        </w:tblCellMar>
        <w:tblLook w:val="04A0"/>
      </w:tblPr>
      <w:tblGrid>
        <w:gridCol w:w="589"/>
        <w:gridCol w:w="2468"/>
        <w:gridCol w:w="709"/>
        <w:gridCol w:w="709"/>
        <w:gridCol w:w="708"/>
        <w:gridCol w:w="709"/>
        <w:gridCol w:w="851"/>
        <w:gridCol w:w="992"/>
        <w:gridCol w:w="850"/>
        <w:gridCol w:w="851"/>
        <w:gridCol w:w="850"/>
        <w:gridCol w:w="851"/>
        <w:gridCol w:w="850"/>
        <w:gridCol w:w="993"/>
      </w:tblGrid>
      <w:tr>
        <w:tblPrEx>
          <w:tblW w:w="12980" w:type="dxa"/>
          <w:tblInd w:w="-10" w:type="dxa"/>
          <w:tblLayout w:type="fixed"/>
          <w:tblCellMar>
            <w:left w:w="70" w:type="dxa"/>
            <w:right w:w="70" w:type="dxa"/>
          </w:tblCellMar>
          <w:tblLook w:val="04A0"/>
        </w:tblPrEx>
        <w:trPr>
          <w:trHeight w:val="276"/>
        </w:trPr>
        <w:tc>
          <w:tcPr>
            <w:tcW w:w="589" w:type="dxa"/>
            <w:vMerge w:val="restart"/>
            <w:tcBorders>
              <w:top w:val="single" w:sz="8" w:space="0" w:color="auto"/>
              <w:left w:val="single" w:sz="8" w:space="0" w:color="auto"/>
              <w:bottom w:val="single" w:sz="8" w:space="0" w:color="000000"/>
              <w:right w:val="single" w:sz="8" w:space="0" w:color="auto"/>
            </w:tcBorders>
            <w:noWrap/>
            <w:textDirection w:val="tbRl"/>
            <w:vAlign w:val="center"/>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2019</w:t>
            </w:r>
          </w:p>
        </w:tc>
        <w:tc>
          <w:tcPr>
            <w:tcW w:w="2468" w:type="dxa"/>
            <w:tcBorders>
              <w:top w:val="single" w:sz="8" w:space="0" w:color="auto"/>
              <w:left w:val="nil"/>
              <w:bottom w:val="single" w:sz="4" w:space="0" w:color="auto"/>
              <w:right w:val="nil"/>
            </w:tcBorders>
            <w:noWrap/>
            <w:textDirection w:val="lrTb"/>
            <w:vAlign w:val="bottom"/>
            <w:hideMark/>
          </w:tcPr>
          <w:p w:rsidR="007F7CE5" w:rsidRPr="00FB3DF8" w:rsidP="003B0671">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materské</w:t>
            </w:r>
          </w:p>
        </w:tc>
        <w:tc>
          <w:tcPr>
            <w:tcW w:w="709" w:type="dxa"/>
            <w:tcBorders>
              <w:top w:val="single" w:sz="8" w:space="0" w:color="auto"/>
              <w:left w:val="single" w:sz="8" w:space="0" w:color="auto"/>
              <w:bottom w:val="single" w:sz="8"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100</w:t>
            </w:r>
          </w:p>
        </w:tc>
        <w:tc>
          <w:tcPr>
            <w:tcW w:w="709" w:type="dxa"/>
            <w:tcBorders>
              <w:top w:val="single" w:sz="8" w:space="0" w:color="auto"/>
              <w:left w:val="nil"/>
              <w:bottom w:val="single" w:sz="8"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120</w:t>
            </w:r>
          </w:p>
        </w:tc>
        <w:tc>
          <w:tcPr>
            <w:tcW w:w="708" w:type="dxa"/>
            <w:tcBorders>
              <w:top w:val="single" w:sz="8" w:space="0" w:color="auto"/>
              <w:left w:val="nil"/>
              <w:bottom w:val="single" w:sz="8"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140</w:t>
            </w:r>
          </w:p>
        </w:tc>
        <w:tc>
          <w:tcPr>
            <w:tcW w:w="709" w:type="dxa"/>
            <w:tcBorders>
              <w:top w:val="single" w:sz="8" w:space="0" w:color="auto"/>
              <w:left w:val="nil"/>
              <w:bottom w:val="single" w:sz="8"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160</w:t>
            </w:r>
          </w:p>
        </w:tc>
        <w:tc>
          <w:tcPr>
            <w:tcW w:w="851" w:type="dxa"/>
            <w:tcBorders>
              <w:top w:val="single" w:sz="8" w:space="0" w:color="auto"/>
              <w:left w:val="nil"/>
              <w:bottom w:val="single" w:sz="8"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180</w:t>
            </w:r>
          </w:p>
        </w:tc>
        <w:tc>
          <w:tcPr>
            <w:tcW w:w="992" w:type="dxa"/>
            <w:tcBorders>
              <w:top w:val="single" w:sz="8" w:space="0" w:color="auto"/>
              <w:left w:val="nil"/>
              <w:bottom w:val="single" w:sz="8"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200</w:t>
            </w:r>
          </w:p>
        </w:tc>
        <w:tc>
          <w:tcPr>
            <w:tcW w:w="850" w:type="dxa"/>
            <w:tcBorders>
              <w:top w:val="single" w:sz="8" w:space="0" w:color="auto"/>
              <w:left w:val="nil"/>
              <w:bottom w:val="single" w:sz="8"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250</w:t>
            </w:r>
          </w:p>
        </w:tc>
        <w:tc>
          <w:tcPr>
            <w:tcW w:w="851" w:type="dxa"/>
            <w:tcBorders>
              <w:top w:val="single" w:sz="8" w:space="0" w:color="auto"/>
              <w:left w:val="nil"/>
              <w:bottom w:val="single" w:sz="8"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300</w:t>
            </w:r>
          </w:p>
        </w:tc>
        <w:tc>
          <w:tcPr>
            <w:tcW w:w="850" w:type="dxa"/>
            <w:tcBorders>
              <w:top w:val="single" w:sz="8" w:space="0" w:color="auto"/>
              <w:left w:val="nil"/>
              <w:bottom w:val="single" w:sz="8"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400</w:t>
            </w:r>
          </w:p>
        </w:tc>
        <w:tc>
          <w:tcPr>
            <w:tcW w:w="851" w:type="dxa"/>
            <w:tcBorders>
              <w:top w:val="single" w:sz="8" w:space="0" w:color="auto"/>
              <w:left w:val="nil"/>
              <w:bottom w:val="single" w:sz="8"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500</w:t>
            </w:r>
          </w:p>
        </w:tc>
        <w:tc>
          <w:tcPr>
            <w:tcW w:w="850" w:type="dxa"/>
            <w:tcBorders>
              <w:top w:val="single" w:sz="8" w:space="0" w:color="auto"/>
              <w:left w:val="nil"/>
              <w:bottom w:val="single" w:sz="8"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600</w:t>
            </w:r>
          </w:p>
        </w:tc>
        <w:tc>
          <w:tcPr>
            <w:tcW w:w="993" w:type="dxa"/>
            <w:tcBorders>
              <w:top w:val="single" w:sz="8" w:space="0" w:color="auto"/>
              <w:left w:val="nil"/>
              <w:bottom w:val="single" w:sz="8" w:space="0" w:color="auto"/>
              <w:right w:val="single" w:sz="8"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700</w:t>
            </w:r>
          </w:p>
        </w:tc>
      </w:tr>
      <w:tr>
        <w:tblPrEx>
          <w:tblW w:w="12980" w:type="dxa"/>
          <w:tblInd w:w="-10" w:type="dxa"/>
          <w:tblLayout w:type="fixed"/>
          <w:tblCellMar>
            <w:left w:w="70" w:type="dxa"/>
            <w:right w:w="70" w:type="dxa"/>
          </w:tblCellMar>
          <w:tblLook w:val="04A0"/>
        </w:tblPrEx>
        <w:trPr>
          <w:trHeight w:val="276"/>
        </w:trPr>
        <w:tc>
          <w:tcPr>
            <w:tcW w:w="589" w:type="dxa"/>
            <w:vMerge/>
            <w:tcBorders>
              <w:top w:val="single" w:sz="8" w:space="0" w:color="auto"/>
              <w:left w:val="single" w:sz="8" w:space="0" w:color="auto"/>
              <w:bottom w:val="single" w:sz="8" w:space="0" w:color="000000"/>
              <w:right w:val="single" w:sz="8" w:space="0" w:color="auto"/>
            </w:tcBorders>
            <w:textDirection w:val="lrTb"/>
            <w:vAlign w:val="center"/>
            <w:hideMark/>
          </w:tcPr>
          <w:p w:rsidR="007F7CE5" w:rsidRPr="00FB3DF8" w:rsidP="003B0671">
            <w:pPr>
              <w:bidi w:val="0"/>
              <w:spacing w:before="120" w:line="276" w:lineRule="auto"/>
              <w:jc w:val="center"/>
              <w:rPr>
                <w:rFonts w:ascii="Book Antiqua" w:hAnsi="Book Antiqua" w:cs="Arial"/>
                <w:color w:val="000000"/>
                <w:sz w:val="22"/>
                <w:szCs w:val="22"/>
              </w:rPr>
            </w:pPr>
          </w:p>
        </w:tc>
        <w:tc>
          <w:tcPr>
            <w:tcW w:w="2468" w:type="dxa"/>
            <w:tcBorders>
              <w:top w:val="nil"/>
              <w:left w:val="nil"/>
              <w:bottom w:val="single" w:sz="4" w:space="0" w:color="auto"/>
              <w:right w:val="single" w:sz="8" w:space="0" w:color="auto"/>
            </w:tcBorders>
            <w:noWrap/>
            <w:textDirection w:val="lrTb"/>
            <w:vAlign w:val="bottom"/>
            <w:hideMark/>
          </w:tcPr>
          <w:p w:rsidR="007F7CE5" w:rsidRPr="00FB3DF8" w:rsidP="003B0671">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rodi</w:t>
            </w:r>
            <w:r w:rsidRPr="00FB3DF8">
              <w:rPr>
                <w:rFonts w:ascii="Book Antiqua" w:hAnsi="Book Antiqua"/>
                <w:color w:val="000000"/>
                <w:sz w:val="22"/>
                <w:szCs w:val="22"/>
              </w:rPr>
              <w:t>č</w:t>
            </w:r>
            <w:r w:rsidRPr="00FB3DF8">
              <w:rPr>
                <w:rFonts w:ascii="Book Antiqua" w:hAnsi="Book Antiqua" w:cs="Arial"/>
                <w:color w:val="000000"/>
                <w:sz w:val="22"/>
                <w:szCs w:val="22"/>
              </w:rPr>
              <w:t>ovský príspevok navrhovaný</w:t>
            </w:r>
          </w:p>
        </w:tc>
        <w:tc>
          <w:tcPr>
            <w:tcW w:w="709" w:type="dxa"/>
            <w:tcBorders>
              <w:top w:val="nil"/>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161,9</w:t>
            </w:r>
          </w:p>
        </w:tc>
        <w:tc>
          <w:tcPr>
            <w:tcW w:w="709" w:type="dxa"/>
            <w:tcBorders>
              <w:top w:val="nil"/>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149,9</w:t>
            </w:r>
          </w:p>
        </w:tc>
        <w:tc>
          <w:tcPr>
            <w:tcW w:w="708" w:type="dxa"/>
            <w:tcBorders>
              <w:top w:val="nil"/>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137,9</w:t>
            </w:r>
          </w:p>
        </w:tc>
        <w:tc>
          <w:tcPr>
            <w:tcW w:w="709" w:type="dxa"/>
            <w:tcBorders>
              <w:top w:val="nil"/>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125,9</w:t>
            </w:r>
          </w:p>
        </w:tc>
        <w:tc>
          <w:tcPr>
            <w:tcW w:w="851" w:type="dxa"/>
            <w:tcBorders>
              <w:top w:val="nil"/>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113,9</w:t>
            </w:r>
          </w:p>
        </w:tc>
        <w:tc>
          <w:tcPr>
            <w:tcW w:w="992" w:type="dxa"/>
            <w:tcBorders>
              <w:top w:val="nil"/>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101,9</w:t>
            </w:r>
          </w:p>
        </w:tc>
        <w:tc>
          <w:tcPr>
            <w:tcW w:w="850" w:type="dxa"/>
            <w:tcBorders>
              <w:top w:val="nil"/>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88,8</w:t>
            </w:r>
          </w:p>
        </w:tc>
        <w:tc>
          <w:tcPr>
            <w:tcW w:w="851" w:type="dxa"/>
            <w:tcBorders>
              <w:top w:val="nil"/>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88,8</w:t>
            </w:r>
          </w:p>
        </w:tc>
        <w:tc>
          <w:tcPr>
            <w:tcW w:w="850" w:type="dxa"/>
            <w:tcBorders>
              <w:top w:val="nil"/>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88,8</w:t>
            </w:r>
          </w:p>
        </w:tc>
        <w:tc>
          <w:tcPr>
            <w:tcW w:w="851" w:type="dxa"/>
            <w:tcBorders>
              <w:top w:val="nil"/>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88,8</w:t>
            </w:r>
          </w:p>
        </w:tc>
        <w:tc>
          <w:tcPr>
            <w:tcW w:w="850" w:type="dxa"/>
            <w:tcBorders>
              <w:top w:val="nil"/>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88,8</w:t>
            </w:r>
          </w:p>
        </w:tc>
        <w:tc>
          <w:tcPr>
            <w:tcW w:w="993" w:type="dxa"/>
            <w:tcBorders>
              <w:top w:val="nil"/>
              <w:left w:val="nil"/>
              <w:bottom w:val="single" w:sz="4" w:space="0" w:color="auto"/>
              <w:right w:val="single" w:sz="8"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88,8</w:t>
            </w:r>
          </w:p>
        </w:tc>
      </w:tr>
      <w:tr>
        <w:tblPrEx>
          <w:tblW w:w="12980" w:type="dxa"/>
          <w:tblInd w:w="-10" w:type="dxa"/>
          <w:tblLayout w:type="fixed"/>
          <w:tblCellMar>
            <w:left w:w="70" w:type="dxa"/>
            <w:right w:w="70" w:type="dxa"/>
          </w:tblCellMar>
          <w:tblLook w:val="04A0"/>
        </w:tblPrEx>
        <w:trPr>
          <w:trHeight w:val="276"/>
        </w:trPr>
        <w:tc>
          <w:tcPr>
            <w:tcW w:w="589" w:type="dxa"/>
            <w:vMerge/>
            <w:tcBorders>
              <w:top w:val="single" w:sz="8" w:space="0" w:color="auto"/>
              <w:left w:val="single" w:sz="8" w:space="0" w:color="auto"/>
              <w:bottom w:val="single" w:sz="8" w:space="0" w:color="000000"/>
              <w:right w:val="single" w:sz="8" w:space="0" w:color="auto"/>
            </w:tcBorders>
            <w:textDirection w:val="lrTb"/>
            <w:vAlign w:val="center"/>
            <w:hideMark/>
          </w:tcPr>
          <w:p w:rsidR="007F7CE5" w:rsidRPr="00FB3DF8" w:rsidP="003B0671">
            <w:pPr>
              <w:bidi w:val="0"/>
              <w:spacing w:before="120" w:line="276" w:lineRule="auto"/>
              <w:jc w:val="center"/>
              <w:rPr>
                <w:rFonts w:ascii="Book Antiqua" w:hAnsi="Book Antiqua" w:cs="Arial"/>
                <w:color w:val="000000"/>
                <w:sz w:val="22"/>
                <w:szCs w:val="22"/>
              </w:rPr>
            </w:pPr>
          </w:p>
        </w:tc>
        <w:tc>
          <w:tcPr>
            <w:tcW w:w="2468" w:type="dxa"/>
            <w:tcBorders>
              <w:top w:val="nil"/>
              <w:left w:val="nil"/>
              <w:bottom w:val="single" w:sz="4" w:space="0" w:color="auto"/>
              <w:right w:val="single" w:sz="8" w:space="0" w:color="auto"/>
            </w:tcBorders>
            <w:noWrap/>
            <w:textDirection w:val="lrTb"/>
            <w:vAlign w:val="bottom"/>
            <w:hideMark/>
          </w:tcPr>
          <w:p w:rsidR="007F7CE5" w:rsidRPr="00FB3DF8" w:rsidP="003B0671">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rodi</w:t>
            </w:r>
            <w:r w:rsidRPr="00FB3DF8">
              <w:rPr>
                <w:rFonts w:ascii="Book Antiqua" w:hAnsi="Book Antiqua"/>
                <w:color w:val="000000"/>
                <w:sz w:val="22"/>
                <w:szCs w:val="22"/>
              </w:rPr>
              <w:t>č</w:t>
            </w:r>
            <w:r w:rsidRPr="00FB3DF8">
              <w:rPr>
                <w:rFonts w:ascii="Book Antiqua" w:hAnsi="Book Antiqua" w:cs="Arial"/>
                <w:color w:val="000000"/>
                <w:sz w:val="22"/>
                <w:szCs w:val="22"/>
              </w:rPr>
              <w:t>ovský príspevok platný</w:t>
            </w:r>
          </w:p>
        </w:tc>
        <w:tc>
          <w:tcPr>
            <w:tcW w:w="709" w:type="dxa"/>
            <w:tcBorders>
              <w:top w:val="nil"/>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121,9</w:t>
            </w:r>
          </w:p>
        </w:tc>
        <w:tc>
          <w:tcPr>
            <w:tcW w:w="709" w:type="dxa"/>
            <w:tcBorders>
              <w:top w:val="nil"/>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101,9</w:t>
            </w:r>
          </w:p>
        </w:tc>
        <w:tc>
          <w:tcPr>
            <w:tcW w:w="708" w:type="dxa"/>
            <w:tcBorders>
              <w:top w:val="nil"/>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81,9</w:t>
            </w:r>
          </w:p>
        </w:tc>
        <w:tc>
          <w:tcPr>
            <w:tcW w:w="709" w:type="dxa"/>
            <w:tcBorders>
              <w:top w:val="nil"/>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61,9</w:t>
            </w:r>
          </w:p>
        </w:tc>
        <w:tc>
          <w:tcPr>
            <w:tcW w:w="851" w:type="dxa"/>
            <w:tcBorders>
              <w:top w:val="nil"/>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41,9</w:t>
            </w:r>
          </w:p>
        </w:tc>
        <w:tc>
          <w:tcPr>
            <w:tcW w:w="992" w:type="dxa"/>
            <w:tcBorders>
              <w:top w:val="nil"/>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21,9</w:t>
            </w:r>
          </w:p>
        </w:tc>
        <w:tc>
          <w:tcPr>
            <w:tcW w:w="850" w:type="dxa"/>
            <w:tcBorders>
              <w:top w:val="nil"/>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0</w:t>
            </w:r>
          </w:p>
        </w:tc>
        <w:tc>
          <w:tcPr>
            <w:tcW w:w="851" w:type="dxa"/>
            <w:tcBorders>
              <w:top w:val="nil"/>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0</w:t>
            </w:r>
          </w:p>
        </w:tc>
        <w:tc>
          <w:tcPr>
            <w:tcW w:w="850" w:type="dxa"/>
            <w:tcBorders>
              <w:top w:val="nil"/>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0</w:t>
            </w:r>
          </w:p>
        </w:tc>
        <w:tc>
          <w:tcPr>
            <w:tcW w:w="851" w:type="dxa"/>
            <w:tcBorders>
              <w:top w:val="nil"/>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0</w:t>
            </w:r>
          </w:p>
        </w:tc>
        <w:tc>
          <w:tcPr>
            <w:tcW w:w="850" w:type="dxa"/>
            <w:tcBorders>
              <w:top w:val="nil"/>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0</w:t>
            </w:r>
          </w:p>
        </w:tc>
        <w:tc>
          <w:tcPr>
            <w:tcW w:w="993" w:type="dxa"/>
            <w:tcBorders>
              <w:top w:val="nil"/>
              <w:left w:val="nil"/>
              <w:bottom w:val="single" w:sz="4" w:space="0" w:color="auto"/>
              <w:right w:val="single" w:sz="8"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0</w:t>
            </w:r>
          </w:p>
        </w:tc>
      </w:tr>
      <w:tr>
        <w:tblPrEx>
          <w:tblW w:w="12980" w:type="dxa"/>
          <w:tblInd w:w="-10" w:type="dxa"/>
          <w:tblLayout w:type="fixed"/>
          <w:tblCellMar>
            <w:left w:w="70" w:type="dxa"/>
            <w:right w:w="70" w:type="dxa"/>
          </w:tblCellMar>
          <w:tblLook w:val="04A0"/>
        </w:tblPrEx>
        <w:trPr>
          <w:trHeight w:val="276"/>
        </w:trPr>
        <w:tc>
          <w:tcPr>
            <w:tcW w:w="589" w:type="dxa"/>
            <w:vMerge/>
            <w:tcBorders>
              <w:top w:val="single" w:sz="8" w:space="0" w:color="auto"/>
              <w:left w:val="single" w:sz="8" w:space="0" w:color="auto"/>
              <w:bottom w:val="single" w:sz="8" w:space="0" w:color="000000"/>
              <w:right w:val="single" w:sz="8" w:space="0" w:color="auto"/>
            </w:tcBorders>
            <w:textDirection w:val="lrTb"/>
            <w:vAlign w:val="center"/>
            <w:hideMark/>
          </w:tcPr>
          <w:p w:rsidR="007F7CE5" w:rsidRPr="00FB3DF8" w:rsidP="003B0671">
            <w:pPr>
              <w:bidi w:val="0"/>
              <w:spacing w:before="120" w:line="276" w:lineRule="auto"/>
              <w:jc w:val="center"/>
              <w:rPr>
                <w:rFonts w:ascii="Book Antiqua" w:hAnsi="Book Antiqua" w:cs="Arial"/>
                <w:color w:val="000000"/>
                <w:sz w:val="22"/>
                <w:szCs w:val="22"/>
              </w:rPr>
            </w:pPr>
          </w:p>
        </w:tc>
        <w:tc>
          <w:tcPr>
            <w:tcW w:w="2468" w:type="dxa"/>
            <w:tcBorders>
              <w:top w:val="single" w:sz="8" w:space="0" w:color="auto"/>
              <w:left w:val="nil"/>
              <w:bottom w:val="single" w:sz="8" w:space="0" w:color="auto"/>
              <w:right w:val="single" w:sz="8" w:space="0" w:color="auto"/>
            </w:tcBorders>
            <w:noWrap/>
            <w:textDirection w:val="lrTb"/>
            <w:vAlign w:val="bottom"/>
            <w:hideMark/>
          </w:tcPr>
          <w:p w:rsidR="007F7CE5" w:rsidRPr="00FB3DF8" w:rsidP="003B0671">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rozdiel</w:t>
            </w:r>
          </w:p>
        </w:tc>
        <w:tc>
          <w:tcPr>
            <w:tcW w:w="709" w:type="dxa"/>
            <w:tcBorders>
              <w:top w:val="single" w:sz="8" w:space="0" w:color="auto"/>
              <w:left w:val="nil"/>
              <w:bottom w:val="single" w:sz="8"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40,0</w:t>
            </w:r>
          </w:p>
        </w:tc>
        <w:tc>
          <w:tcPr>
            <w:tcW w:w="709" w:type="dxa"/>
            <w:tcBorders>
              <w:top w:val="single" w:sz="8" w:space="0" w:color="auto"/>
              <w:left w:val="nil"/>
              <w:bottom w:val="single" w:sz="8"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48,0</w:t>
            </w:r>
          </w:p>
        </w:tc>
        <w:tc>
          <w:tcPr>
            <w:tcW w:w="708" w:type="dxa"/>
            <w:tcBorders>
              <w:top w:val="single" w:sz="8" w:space="0" w:color="auto"/>
              <w:left w:val="nil"/>
              <w:bottom w:val="single" w:sz="8"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56,0</w:t>
            </w:r>
          </w:p>
        </w:tc>
        <w:tc>
          <w:tcPr>
            <w:tcW w:w="709" w:type="dxa"/>
            <w:tcBorders>
              <w:top w:val="single" w:sz="8" w:space="0" w:color="auto"/>
              <w:left w:val="nil"/>
              <w:bottom w:val="single" w:sz="8"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64,0</w:t>
            </w:r>
          </w:p>
        </w:tc>
        <w:tc>
          <w:tcPr>
            <w:tcW w:w="851" w:type="dxa"/>
            <w:tcBorders>
              <w:top w:val="single" w:sz="8" w:space="0" w:color="auto"/>
              <w:left w:val="nil"/>
              <w:bottom w:val="single" w:sz="8"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72,0</w:t>
            </w:r>
          </w:p>
        </w:tc>
        <w:tc>
          <w:tcPr>
            <w:tcW w:w="992" w:type="dxa"/>
            <w:tcBorders>
              <w:top w:val="single" w:sz="8" w:space="0" w:color="auto"/>
              <w:left w:val="nil"/>
              <w:bottom w:val="single" w:sz="8"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80,0</w:t>
            </w:r>
          </w:p>
        </w:tc>
        <w:tc>
          <w:tcPr>
            <w:tcW w:w="850" w:type="dxa"/>
            <w:tcBorders>
              <w:top w:val="single" w:sz="8" w:space="0" w:color="auto"/>
              <w:left w:val="nil"/>
              <w:bottom w:val="single" w:sz="8"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88,8</w:t>
            </w:r>
          </w:p>
        </w:tc>
        <w:tc>
          <w:tcPr>
            <w:tcW w:w="851" w:type="dxa"/>
            <w:tcBorders>
              <w:top w:val="single" w:sz="8" w:space="0" w:color="auto"/>
              <w:left w:val="nil"/>
              <w:bottom w:val="single" w:sz="8"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88,8</w:t>
            </w:r>
          </w:p>
        </w:tc>
        <w:tc>
          <w:tcPr>
            <w:tcW w:w="850" w:type="dxa"/>
            <w:tcBorders>
              <w:top w:val="single" w:sz="8" w:space="0" w:color="auto"/>
              <w:left w:val="nil"/>
              <w:bottom w:val="single" w:sz="8"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88,8</w:t>
            </w:r>
          </w:p>
        </w:tc>
        <w:tc>
          <w:tcPr>
            <w:tcW w:w="851" w:type="dxa"/>
            <w:tcBorders>
              <w:top w:val="single" w:sz="8" w:space="0" w:color="auto"/>
              <w:left w:val="nil"/>
              <w:bottom w:val="single" w:sz="8"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88,8</w:t>
            </w:r>
          </w:p>
        </w:tc>
        <w:tc>
          <w:tcPr>
            <w:tcW w:w="850" w:type="dxa"/>
            <w:tcBorders>
              <w:top w:val="single" w:sz="8" w:space="0" w:color="auto"/>
              <w:left w:val="nil"/>
              <w:bottom w:val="single" w:sz="8"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88,8</w:t>
            </w:r>
          </w:p>
        </w:tc>
        <w:tc>
          <w:tcPr>
            <w:tcW w:w="993" w:type="dxa"/>
            <w:tcBorders>
              <w:top w:val="single" w:sz="8" w:space="0" w:color="auto"/>
              <w:left w:val="nil"/>
              <w:bottom w:val="single" w:sz="8" w:space="0" w:color="auto"/>
              <w:right w:val="single" w:sz="8"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88,8</w:t>
            </w:r>
          </w:p>
        </w:tc>
      </w:tr>
    </w:tbl>
    <w:p w:rsidR="007F7CE5" w:rsidRPr="00FB3DF8" w:rsidP="000A62BA">
      <w:pPr>
        <w:bidi w:val="0"/>
        <w:spacing w:before="120" w:line="276" w:lineRule="auto"/>
        <w:rPr>
          <w:rFonts w:ascii="Book Antiqua" w:hAnsi="Book Antiqua" w:cs="Arial"/>
          <w:b/>
          <w:sz w:val="22"/>
          <w:szCs w:val="22"/>
        </w:rPr>
      </w:pPr>
    </w:p>
    <w:tbl>
      <w:tblPr>
        <w:tblStyle w:val="TableNormal"/>
        <w:tblW w:w="12980" w:type="dxa"/>
        <w:tblInd w:w="-10" w:type="dxa"/>
        <w:tblLayout w:type="fixed"/>
        <w:tblCellMar>
          <w:left w:w="70" w:type="dxa"/>
          <w:right w:w="70" w:type="dxa"/>
        </w:tblCellMar>
        <w:tblLook w:val="04A0"/>
      </w:tblPr>
      <w:tblGrid>
        <w:gridCol w:w="572"/>
        <w:gridCol w:w="2500"/>
        <w:gridCol w:w="694"/>
        <w:gridCol w:w="709"/>
        <w:gridCol w:w="708"/>
        <w:gridCol w:w="709"/>
        <w:gridCol w:w="830"/>
        <w:gridCol w:w="1013"/>
        <w:gridCol w:w="850"/>
        <w:gridCol w:w="851"/>
        <w:gridCol w:w="850"/>
        <w:gridCol w:w="851"/>
        <w:gridCol w:w="850"/>
        <w:gridCol w:w="993"/>
      </w:tblGrid>
      <w:tr>
        <w:tblPrEx>
          <w:tblW w:w="12980" w:type="dxa"/>
          <w:tblInd w:w="-10" w:type="dxa"/>
          <w:tblLayout w:type="fixed"/>
          <w:tblCellMar>
            <w:left w:w="70" w:type="dxa"/>
            <w:right w:w="70" w:type="dxa"/>
          </w:tblCellMar>
          <w:tblLook w:val="04A0"/>
        </w:tblPrEx>
        <w:trPr>
          <w:trHeight w:val="276"/>
        </w:trPr>
        <w:tc>
          <w:tcPr>
            <w:tcW w:w="572" w:type="dxa"/>
            <w:vMerge w:val="restart"/>
            <w:tcBorders>
              <w:top w:val="single" w:sz="8" w:space="0" w:color="auto"/>
              <w:left w:val="single" w:sz="8" w:space="0" w:color="auto"/>
              <w:bottom w:val="single" w:sz="8" w:space="0" w:color="000000"/>
              <w:right w:val="single" w:sz="8" w:space="0" w:color="auto"/>
            </w:tcBorders>
            <w:noWrap/>
            <w:textDirection w:val="tbRl"/>
            <w:vAlign w:val="center"/>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2020</w:t>
            </w:r>
          </w:p>
        </w:tc>
        <w:tc>
          <w:tcPr>
            <w:tcW w:w="2500" w:type="dxa"/>
            <w:tcBorders>
              <w:top w:val="single" w:sz="8" w:space="0" w:color="auto"/>
              <w:left w:val="nil"/>
              <w:bottom w:val="single" w:sz="4" w:space="0" w:color="auto"/>
              <w:right w:val="nil"/>
            </w:tcBorders>
            <w:noWrap/>
            <w:textDirection w:val="lrTb"/>
            <w:vAlign w:val="bottom"/>
            <w:hideMark/>
          </w:tcPr>
          <w:p w:rsidR="007F7CE5" w:rsidRPr="00FB3DF8" w:rsidP="000A62BA">
            <w:pPr>
              <w:bidi w:val="0"/>
              <w:spacing w:before="120" w:line="276" w:lineRule="auto"/>
              <w:rPr>
                <w:rFonts w:ascii="Book Antiqua" w:hAnsi="Book Antiqua" w:cs="Arial"/>
                <w:color w:val="000000"/>
                <w:sz w:val="22"/>
                <w:szCs w:val="22"/>
              </w:rPr>
            </w:pPr>
            <w:r w:rsidRPr="00FB3DF8">
              <w:rPr>
                <w:rFonts w:ascii="Book Antiqua" w:hAnsi="Book Antiqua" w:cs="Arial"/>
                <w:color w:val="000000"/>
                <w:sz w:val="22"/>
                <w:szCs w:val="22"/>
              </w:rPr>
              <w:t>materské</w:t>
            </w:r>
          </w:p>
        </w:tc>
        <w:tc>
          <w:tcPr>
            <w:tcW w:w="694" w:type="dxa"/>
            <w:tcBorders>
              <w:top w:val="single" w:sz="8" w:space="0" w:color="auto"/>
              <w:left w:val="single" w:sz="8" w:space="0" w:color="auto"/>
              <w:bottom w:val="nil"/>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100</w:t>
            </w:r>
          </w:p>
        </w:tc>
        <w:tc>
          <w:tcPr>
            <w:tcW w:w="709" w:type="dxa"/>
            <w:tcBorders>
              <w:top w:val="single" w:sz="8" w:space="0" w:color="auto"/>
              <w:left w:val="nil"/>
              <w:bottom w:val="nil"/>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120</w:t>
            </w:r>
          </w:p>
        </w:tc>
        <w:tc>
          <w:tcPr>
            <w:tcW w:w="708" w:type="dxa"/>
            <w:tcBorders>
              <w:top w:val="single" w:sz="8" w:space="0" w:color="auto"/>
              <w:left w:val="nil"/>
              <w:bottom w:val="nil"/>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140</w:t>
            </w:r>
          </w:p>
        </w:tc>
        <w:tc>
          <w:tcPr>
            <w:tcW w:w="709" w:type="dxa"/>
            <w:tcBorders>
              <w:top w:val="single" w:sz="8" w:space="0" w:color="auto"/>
              <w:left w:val="nil"/>
              <w:bottom w:val="nil"/>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160</w:t>
            </w:r>
          </w:p>
        </w:tc>
        <w:tc>
          <w:tcPr>
            <w:tcW w:w="830" w:type="dxa"/>
            <w:tcBorders>
              <w:top w:val="single" w:sz="8" w:space="0" w:color="auto"/>
              <w:left w:val="nil"/>
              <w:bottom w:val="nil"/>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180</w:t>
            </w:r>
          </w:p>
        </w:tc>
        <w:tc>
          <w:tcPr>
            <w:tcW w:w="1013" w:type="dxa"/>
            <w:tcBorders>
              <w:top w:val="single" w:sz="8" w:space="0" w:color="auto"/>
              <w:left w:val="nil"/>
              <w:bottom w:val="nil"/>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200</w:t>
            </w:r>
          </w:p>
        </w:tc>
        <w:tc>
          <w:tcPr>
            <w:tcW w:w="850" w:type="dxa"/>
            <w:tcBorders>
              <w:top w:val="single" w:sz="8" w:space="0" w:color="auto"/>
              <w:left w:val="nil"/>
              <w:bottom w:val="nil"/>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250</w:t>
            </w:r>
          </w:p>
        </w:tc>
        <w:tc>
          <w:tcPr>
            <w:tcW w:w="851" w:type="dxa"/>
            <w:tcBorders>
              <w:top w:val="single" w:sz="8" w:space="0" w:color="auto"/>
              <w:left w:val="nil"/>
              <w:bottom w:val="nil"/>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300</w:t>
            </w:r>
          </w:p>
        </w:tc>
        <w:tc>
          <w:tcPr>
            <w:tcW w:w="850" w:type="dxa"/>
            <w:tcBorders>
              <w:top w:val="single" w:sz="8" w:space="0" w:color="auto"/>
              <w:left w:val="nil"/>
              <w:bottom w:val="nil"/>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400</w:t>
            </w:r>
          </w:p>
        </w:tc>
        <w:tc>
          <w:tcPr>
            <w:tcW w:w="851" w:type="dxa"/>
            <w:tcBorders>
              <w:top w:val="single" w:sz="8" w:space="0" w:color="auto"/>
              <w:left w:val="nil"/>
              <w:bottom w:val="nil"/>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500</w:t>
            </w:r>
          </w:p>
        </w:tc>
        <w:tc>
          <w:tcPr>
            <w:tcW w:w="850" w:type="dxa"/>
            <w:tcBorders>
              <w:top w:val="single" w:sz="8" w:space="0" w:color="auto"/>
              <w:left w:val="nil"/>
              <w:bottom w:val="nil"/>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600</w:t>
            </w:r>
          </w:p>
        </w:tc>
        <w:tc>
          <w:tcPr>
            <w:tcW w:w="993" w:type="dxa"/>
            <w:tcBorders>
              <w:top w:val="single" w:sz="8" w:space="0" w:color="auto"/>
              <w:left w:val="nil"/>
              <w:bottom w:val="nil"/>
              <w:right w:val="single" w:sz="8"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700</w:t>
            </w:r>
          </w:p>
        </w:tc>
      </w:tr>
      <w:tr>
        <w:tblPrEx>
          <w:tblW w:w="12980" w:type="dxa"/>
          <w:tblInd w:w="-10" w:type="dxa"/>
          <w:tblLayout w:type="fixed"/>
          <w:tblCellMar>
            <w:left w:w="70" w:type="dxa"/>
            <w:right w:w="70" w:type="dxa"/>
          </w:tblCellMar>
          <w:tblLook w:val="04A0"/>
        </w:tblPrEx>
        <w:trPr>
          <w:trHeight w:val="276"/>
        </w:trPr>
        <w:tc>
          <w:tcPr>
            <w:tcW w:w="572" w:type="dxa"/>
            <w:vMerge/>
            <w:tcBorders>
              <w:top w:val="single" w:sz="8" w:space="0" w:color="auto"/>
              <w:left w:val="single" w:sz="8" w:space="0" w:color="auto"/>
              <w:bottom w:val="single" w:sz="8" w:space="0" w:color="000000"/>
              <w:right w:val="single" w:sz="8" w:space="0" w:color="auto"/>
            </w:tcBorders>
            <w:textDirection w:val="lrTb"/>
            <w:vAlign w:val="center"/>
            <w:hideMark/>
          </w:tcPr>
          <w:p w:rsidR="007F7CE5" w:rsidRPr="00FB3DF8" w:rsidP="000A62BA">
            <w:pPr>
              <w:bidi w:val="0"/>
              <w:spacing w:before="120" w:line="276" w:lineRule="auto"/>
              <w:rPr>
                <w:rFonts w:ascii="Book Antiqua" w:hAnsi="Book Antiqua" w:cs="Arial"/>
                <w:color w:val="000000"/>
                <w:sz w:val="22"/>
                <w:szCs w:val="22"/>
              </w:rPr>
            </w:pPr>
          </w:p>
        </w:tc>
        <w:tc>
          <w:tcPr>
            <w:tcW w:w="2500" w:type="dxa"/>
            <w:tcBorders>
              <w:top w:val="nil"/>
              <w:left w:val="nil"/>
              <w:bottom w:val="single" w:sz="4" w:space="0" w:color="auto"/>
              <w:right w:val="nil"/>
            </w:tcBorders>
            <w:noWrap/>
            <w:textDirection w:val="lrTb"/>
            <w:vAlign w:val="bottom"/>
            <w:hideMark/>
          </w:tcPr>
          <w:p w:rsidR="007F7CE5" w:rsidRPr="00FB3DF8" w:rsidP="000A62BA">
            <w:pPr>
              <w:bidi w:val="0"/>
              <w:spacing w:before="120" w:line="276" w:lineRule="auto"/>
              <w:rPr>
                <w:rFonts w:ascii="Book Antiqua" w:hAnsi="Book Antiqua"/>
                <w:color w:val="000000"/>
                <w:sz w:val="22"/>
                <w:szCs w:val="22"/>
              </w:rPr>
            </w:pPr>
            <w:r w:rsidRPr="00FB3DF8">
              <w:rPr>
                <w:rFonts w:ascii="Book Antiqua" w:hAnsi="Book Antiqua"/>
                <w:color w:val="000000"/>
                <w:sz w:val="22"/>
                <w:szCs w:val="22"/>
              </w:rPr>
              <w:t>rodičovský príspevok navrhovaný</w:t>
            </w:r>
          </w:p>
        </w:tc>
        <w:tc>
          <w:tcPr>
            <w:tcW w:w="694" w:type="dxa"/>
            <w:tcBorders>
              <w:top w:val="single" w:sz="8" w:space="0" w:color="auto"/>
              <w:left w:val="single" w:sz="8" w:space="0" w:color="auto"/>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186,4</w:t>
            </w:r>
          </w:p>
        </w:tc>
        <w:tc>
          <w:tcPr>
            <w:tcW w:w="709" w:type="dxa"/>
            <w:tcBorders>
              <w:top w:val="single" w:sz="8" w:space="0" w:color="auto"/>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178,4</w:t>
            </w:r>
          </w:p>
        </w:tc>
        <w:tc>
          <w:tcPr>
            <w:tcW w:w="708" w:type="dxa"/>
            <w:tcBorders>
              <w:top w:val="single" w:sz="8" w:space="0" w:color="auto"/>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170,4</w:t>
            </w:r>
          </w:p>
        </w:tc>
        <w:tc>
          <w:tcPr>
            <w:tcW w:w="709" w:type="dxa"/>
            <w:tcBorders>
              <w:top w:val="single" w:sz="8" w:space="0" w:color="auto"/>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162,4</w:t>
            </w:r>
          </w:p>
        </w:tc>
        <w:tc>
          <w:tcPr>
            <w:tcW w:w="830" w:type="dxa"/>
            <w:tcBorders>
              <w:top w:val="single" w:sz="8" w:space="0" w:color="auto"/>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154,4</w:t>
            </w:r>
          </w:p>
        </w:tc>
        <w:tc>
          <w:tcPr>
            <w:tcW w:w="1013" w:type="dxa"/>
            <w:tcBorders>
              <w:top w:val="single" w:sz="8" w:space="0" w:color="auto"/>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146,4</w:t>
            </w:r>
          </w:p>
        </w:tc>
        <w:tc>
          <w:tcPr>
            <w:tcW w:w="850" w:type="dxa"/>
            <w:tcBorders>
              <w:top w:val="single" w:sz="8" w:space="0" w:color="auto"/>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135,9</w:t>
            </w:r>
          </w:p>
        </w:tc>
        <w:tc>
          <w:tcPr>
            <w:tcW w:w="851" w:type="dxa"/>
            <w:tcBorders>
              <w:top w:val="single" w:sz="8" w:space="0" w:color="auto"/>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135,9</w:t>
            </w:r>
          </w:p>
        </w:tc>
        <w:tc>
          <w:tcPr>
            <w:tcW w:w="850" w:type="dxa"/>
            <w:tcBorders>
              <w:top w:val="single" w:sz="8" w:space="0" w:color="auto"/>
              <w:left w:val="nil"/>
              <w:bottom w:val="nil"/>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135,9</w:t>
            </w:r>
          </w:p>
        </w:tc>
        <w:tc>
          <w:tcPr>
            <w:tcW w:w="851" w:type="dxa"/>
            <w:tcBorders>
              <w:top w:val="single" w:sz="8" w:space="0" w:color="auto"/>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135,9</w:t>
            </w:r>
          </w:p>
        </w:tc>
        <w:tc>
          <w:tcPr>
            <w:tcW w:w="850" w:type="dxa"/>
            <w:tcBorders>
              <w:top w:val="single" w:sz="8" w:space="0" w:color="auto"/>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135,9</w:t>
            </w:r>
          </w:p>
        </w:tc>
        <w:tc>
          <w:tcPr>
            <w:tcW w:w="993" w:type="dxa"/>
            <w:tcBorders>
              <w:top w:val="single" w:sz="8" w:space="0" w:color="auto"/>
              <w:left w:val="nil"/>
              <w:bottom w:val="single" w:sz="4" w:space="0" w:color="auto"/>
              <w:right w:val="single" w:sz="8"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135,9</w:t>
            </w:r>
          </w:p>
        </w:tc>
      </w:tr>
      <w:tr>
        <w:tblPrEx>
          <w:tblW w:w="12980" w:type="dxa"/>
          <w:tblInd w:w="-10" w:type="dxa"/>
          <w:tblLayout w:type="fixed"/>
          <w:tblCellMar>
            <w:left w:w="70" w:type="dxa"/>
            <w:right w:w="70" w:type="dxa"/>
          </w:tblCellMar>
          <w:tblLook w:val="04A0"/>
        </w:tblPrEx>
        <w:trPr>
          <w:trHeight w:val="276"/>
        </w:trPr>
        <w:tc>
          <w:tcPr>
            <w:tcW w:w="572" w:type="dxa"/>
            <w:vMerge/>
            <w:tcBorders>
              <w:top w:val="single" w:sz="8" w:space="0" w:color="auto"/>
              <w:left w:val="single" w:sz="8" w:space="0" w:color="auto"/>
              <w:bottom w:val="single" w:sz="8" w:space="0" w:color="000000"/>
              <w:right w:val="single" w:sz="8" w:space="0" w:color="auto"/>
            </w:tcBorders>
            <w:textDirection w:val="lrTb"/>
            <w:vAlign w:val="center"/>
            <w:hideMark/>
          </w:tcPr>
          <w:p w:rsidR="007F7CE5" w:rsidRPr="00FB3DF8" w:rsidP="000A62BA">
            <w:pPr>
              <w:bidi w:val="0"/>
              <w:spacing w:before="120" w:line="276" w:lineRule="auto"/>
              <w:rPr>
                <w:rFonts w:ascii="Book Antiqua" w:hAnsi="Book Antiqua" w:cs="Arial"/>
                <w:color w:val="000000"/>
                <w:sz w:val="22"/>
                <w:szCs w:val="22"/>
              </w:rPr>
            </w:pPr>
          </w:p>
        </w:tc>
        <w:tc>
          <w:tcPr>
            <w:tcW w:w="2500" w:type="dxa"/>
            <w:tcBorders>
              <w:top w:val="nil"/>
              <w:left w:val="nil"/>
              <w:bottom w:val="single" w:sz="4" w:space="0" w:color="auto"/>
              <w:right w:val="nil"/>
            </w:tcBorders>
            <w:noWrap/>
            <w:textDirection w:val="lrTb"/>
            <w:vAlign w:val="bottom"/>
            <w:hideMark/>
          </w:tcPr>
          <w:p w:rsidR="007F7CE5" w:rsidRPr="00FB3DF8" w:rsidP="000A62BA">
            <w:pPr>
              <w:bidi w:val="0"/>
              <w:spacing w:before="120" w:line="276" w:lineRule="auto"/>
              <w:rPr>
                <w:rFonts w:ascii="Book Antiqua" w:hAnsi="Book Antiqua"/>
                <w:color w:val="000000"/>
                <w:sz w:val="22"/>
                <w:szCs w:val="22"/>
              </w:rPr>
            </w:pPr>
            <w:r w:rsidRPr="00FB3DF8">
              <w:rPr>
                <w:rFonts w:ascii="Book Antiqua" w:hAnsi="Book Antiqua"/>
                <w:color w:val="000000"/>
                <w:sz w:val="22"/>
                <w:szCs w:val="22"/>
              </w:rPr>
              <w:t>rodičovský príspevok platný</w:t>
            </w:r>
          </w:p>
        </w:tc>
        <w:tc>
          <w:tcPr>
            <w:tcW w:w="694" w:type="dxa"/>
            <w:tcBorders>
              <w:top w:val="nil"/>
              <w:left w:val="single" w:sz="8" w:space="0" w:color="auto"/>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126,4</w:t>
            </w:r>
          </w:p>
        </w:tc>
        <w:tc>
          <w:tcPr>
            <w:tcW w:w="709" w:type="dxa"/>
            <w:tcBorders>
              <w:top w:val="nil"/>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106,4</w:t>
            </w:r>
          </w:p>
        </w:tc>
        <w:tc>
          <w:tcPr>
            <w:tcW w:w="708" w:type="dxa"/>
            <w:tcBorders>
              <w:top w:val="nil"/>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86,4</w:t>
            </w:r>
          </w:p>
        </w:tc>
        <w:tc>
          <w:tcPr>
            <w:tcW w:w="709" w:type="dxa"/>
            <w:tcBorders>
              <w:top w:val="nil"/>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61,9</w:t>
            </w:r>
          </w:p>
        </w:tc>
        <w:tc>
          <w:tcPr>
            <w:tcW w:w="830" w:type="dxa"/>
            <w:tcBorders>
              <w:top w:val="nil"/>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46,4</w:t>
            </w:r>
          </w:p>
        </w:tc>
        <w:tc>
          <w:tcPr>
            <w:tcW w:w="1013" w:type="dxa"/>
            <w:tcBorders>
              <w:top w:val="nil"/>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26,4</w:t>
            </w:r>
          </w:p>
        </w:tc>
        <w:tc>
          <w:tcPr>
            <w:tcW w:w="850" w:type="dxa"/>
            <w:tcBorders>
              <w:top w:val="nil"/>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0,0</w:t>
            </w:r>
          </w:p>
        </w:tc>
        <w:tc>
          <w:tcPr>
            <w:tcW w:w="851" w:type="dxa"/>
            <w:tcBorders>
              <w:top w:val="nil"/>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0,0</w:t>
            </w:r>
          </w:p>
        </w:tc>
        <w:tc>
          <w:tcPr>
            <w:tcW w:w="850" w:type="dxa"/>
            <w:tcBorders>
              <w:top w:val="single" w:sz="4" w:space="0" w:color="auto"/>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0,0</w:t>
            </w:r>
          </w:p>
        </w:tc>
        <w:tc>
          <w:tcPr>
            <w:tcW w:w="851" w:type="dxa"/>
            <w:tcBorders>
              <w:top w:val="nil"/>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0,0</w:t>
            </w:r>
          </w:p>
        </w:tc>
        <w:tc>
          <w:tcPr>
            <w:tcW w:w="850" w:type="dxa"/>
            <w:tcBorders>
              <w:top w:val="nil"/>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0,0</w:t>
            </w:r>
          </w:p>
        </w:tc>
        <w:tc>
          <w:tcPr>
            <w:tcW w:w="993" w:type="dxa"/>
            <w:tcBorders>
              <w:top w:val="nil"/>
              <w:left w:val="nil"/>
              <w:bottom w:val="single" w:sz="4" w:space="0" w:color="auto"/>
              <w:right w:val="single" w:sz="8"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0,0</w:t>
            </w:r>
          </w:p>
        </w:tc>
      </w:tr>
      <w:tr>
        <w:tblPrEx>
          <w:tblW w:w="12980" w:type="dxa"/>
          <w:tblInd w:w="-10" w:type="dxa"/>
          <w:tblLayout w:type="fixed"/>
          <w:tblCellMar>
            <w:left w:w="70" w:type="dxa"/>
            <w:right w:w="70" w:type="dxa"/>
          </w:tblCellMar>
          <w:tblLook w:val="04A0"/>
        </w:tblPrEx>
        <w:trPr>
          <w:trHeight w:val="276"/>
        </w:trPr>
        <w:tc>
          <w:tcPr>
            <w:tcW w:w="572" w:type="dxa"/>
            <w:vMerge/>
            <w:tcBorders>
              <w:top w:val="single" w:sz="8" w:space="0" w:color="auto"/>
              <w:left w:val="single" w:sz="8" w:space="0" w:color="auto"/>
              <w:bottom w:val="single" w:sz="8" w:space="0" w:color="000000"/>
              <w:right w:val="single" w:sz="8" w:space="0" w:color="auto"/>
            </w:tcBorders>
            <w:textDirection w:val="lrTb"/>
            <w:vAlign w:val="center"/>
            <w:hideMark/>
          </w:tcPr>
          <w:p w:rsidR="007F7CE5" w:rsidRPr="00FB3DF8" w:rsidP="000A62BA">
            <w:pPr>
              <w:bidi w:val="0"/>
              <w:spacing w:before="120" w:line="276" w:lineRule="auto"/>
              <w:rPr>
                <w:rFonts w:ascii="Book Antiqua" w:hAnsi="Book Antiqua" w:cs="Arial"/>
                <w:color w:val="000000"/>
                <w:sz w:val="22"/>
                <w:szCs w:val="22"/>
              </w:rPr>
            </w:pPr>
          </w:p>
        </w:tc>
        <w:tc>
          <w:tcPr>
            <w:tcW w:w="2500" w:type="dxa"/>
            <w:tcBorders>
              <w:top w:val="single" w:sz="8" w:space="0" w:color="auto"/>
              <w:left w:val="nil"/>
              <w:bottom w:val="single" w:sz="8" w:space="0" w:color="auto"/>
              <w:right w:val="single" w:sz="8" w:space="0" w:color="auto"/>
            </w:tcBorders>
            <w:noWrap/>
            <w:textDirection w:val="lrTb"/>
            <w:vAlign w:val="bottom"/>
            <w:hideMark/>
          </w:tcPr>
          <w:p w:rsidR="007F7CE5" w:rsidRPr="00FB3DF8" w:rsidP="000A62BA">
            <w:pPr>
              <w:bidi w:val="0"/>
              <w:spacing w:before="120" w:line="276" w:lineRule="auto"/>
              <w:rPr>
                <w:rFonts w:ascii="Book Antiqua" w:hAnsi="Book Antiqua" w:cs="Arial"/>
                <w:b/>
                <w:bCs/>
                <w:sz w:val="22"/>
                <w:szCs w:val="22"/>
              </w:rPr>
            </w:pPr>
            <w:r w:rsidRPr="00FB3DF8">
              <w:rPr>
                <w:rFonts w:ascii="Book Antiqua" w:hAnsi="Book Antiqua" w:cs="Arial"/>
                <w:b/>
                <w:bCs/>
                <w:sz w:val="22"/>
                <w:szCs w:val="22"/>
              </w:rPr>
              <w:t>rozdiel</w:t>
            </w:r>
          </w:p>
        </w:tc>
        <w:tc>
          <w:tcPr>
            <w:tcW w:w="694" w:type="dxa"/>
            <w:tcBorders>
              <w:top w:val="single" w:sz="8" w:space="0" w:color="auto"/>
              <w:left w:val="nil"/>
              <w:bottom w:val="single" w:sz="8"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b/>
                <w:bCs/>
                <w:sz w:val="22"/>
                <w:szCs w:val="22"/>
              </w:rPr>
            </w:pPr>
            <w:r w:rsidRPr="00FB3DF8">
              <w:rPr>
                <w:rFonts w:ascii="Book Antiqua" w:hAnsi="Book Antiqua" w:cs="Arial"/>
                <w:b/>
                <w:bCs/>
                <w:sz w:val="22"/>
                <w:szCs w:val="22"/>
              </w:rPr>
              <w:t>60,0</w:t>
            </w:r>
          </w:p>
        </w:tc>
        <w:tc>
          <w:tcPr>
            <w:tcW w:w="709" w:type="dxa"/>
            <w:tcBorders>
              <w:top w:val="single" w:sz="8" w:space="0" w:color="auto"/>
              <w:left w:val="nil"/>
              <w:bottom w:val="single" w:sz="8"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b/>
                <w:bCs/>
                <w:sz w:val="22"/>
                <w:szCs w:val="22"/>
              </w:rPr>
            </w:pPr>
            <w:r w:rsidRPr="00FB3DF8">
              <w:rPr>
                <w:rFonts w:ascii="Book Antiqua" w:hAnsi="Book Antiqua" w:cs="Arial"/>
                <w:b/>
                <w:bCs/>
                <w:sz w:val="22"/>
                <w:szCs w:val="22"/>
              </w:rPr>
              <w:t>72,0</w:t>
            </w:r>
          </w:p>
        </w:tc>
        <w:tc>
          <w:tcPr>
            <w:tcW w:w="708" w:type="dxa"/>
            <w:tcBorders>
              <w:top w:val="single" w:sz="8" w:space="0" w:color="auto"/>
              <w:left w:val="nil"/>
              <w:bottom w:val="single" w:sz="8"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b/>
                <w:bCs/>
                <w:sz w:val="22"/>
                <w:szCs w:val="22"/>
              </w:rPr>
            </w:pPr>
            <w:r w:rsidRPr="00FB3DF8">
              <w:rPr>
                <w:rFonts w:ascii="Book Antiqua" w:hAnsi="Book Antiqua" w:cs="Arial"/>
                <w:b/>
                <w:bCs/>
                <w:sz w:val="22"/>
                <w:szCs w:val="22"/>
              </w:rPr>
              <w:t>84,0</w:t>
            </w:r>
          </w:p>
        </w:tc>
        <w:tc>
          <w:tcPr>
            <w:tcW w:w="709" w:type="dxa"/>
            <w:tcBorders>
              <w:top w:val="single" w:sz="8" w:space="0" w:color="auto"/>
              <w:left w:val="nil"/>
              <w:bottom w:val="single" w:sz="8"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b/>
                <w:bCs/>
                <w:sz w:val="22"/>
                <w:szCs w:val="22"/>
              </w:rPr>
            </w:pPr>
            <w:r w:rsidRPr="00FB3DF8">
              <w:rPr>
                <w:rFonts w:ascii="Book Antiqua" w:hAnsi="Book Antiqua" w:cs="Arial"/>
                <w:b/>
                <w:bCs/>
                <w:sz w:val="22"/>
                <w:szCs w:val="22"/>
              </w:rPr>
              <w:t>100,5</w:t>
            </w:r>
          </w:p>
        </w:tc>
        <w:tc>
          <w:tcPr>
            <w:tcW w:w="830" w:type="dxa"/>
            <w:tcBorders>
              <w:top w:val="single" w:sz="8" w:space="0" w:color="auto"/>
              <w:left w:val="nil"/>
              <w:bottom w:val="single" w:sz="8"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b/>
                <w:bCs/>
                <w:sz w:val="22"/>
                <w:szCs w:val="22"/>
              </w:rPr>
            </w:pPr>
            <w:r w:rsidRPr="00FB3DF8">
              <w:rPr>
                <w:rFonts w:ascii="Book Antiqua" w:hAnsi="Book Antiqua" w:cs="Arial"/>
                <w:b/>
                <w:bCs/>
                <w:sz w:val="22"/>
                <w:szCs w:val="22"/>
              </w:rPr>
              <w:t>108,0</w:t>
            </w:r>
          </w:p>
        </w:tc>
        <w:tc>
          <w:tcPr>
            <w:tcW w:w="1013" w:type="dxa"/>
            <w:tcBorders>
              <w:top w:val="single" w:sz="8" w:space="0" w:color="auto"/>
              <w:left w:val="nil"/>
              <w:bottom w:val="single" w:sz="8"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b/>
                <w:bCs/>
                <w:sz w:val="22"/>
                <w:szCs w:val="22"/>
              </w:rPr>
            </w:pPr>
            <w:r w:rsidRPr="00FB3DF8">
              <w:rPr>
                <w:rFonts w:ascii="Book Antiqua" w:hAnsi="Book Antiqua" w:cs="Arial"/>
                <w:b/>
                <w:bCs/>
                <w:sz w:val="22"/>
                <w:szCs w:val="22"/>
              </w:rPr>
              <w:t>120,0</w:t>
            </w:r>
          </w:p>
        </w:tc>
        <w:tc>
          <w:tcPr>
            <w:tcW w:w="850" w:type="dxa"/>
            <w:tcBorders>
              <w:top w:val="single" w:sz="8" w:space="0" w:color="auto"/>
              <w:left w:val="nil"/>
              <w:bottom w:val="single" w:sz="8"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b/>
                <w:bCs/>
                <w:sz w:val="22"/>
                <w:szCs w:val="22"/>
              </w:rPr>
            </w:pPr>
            <w:r w:rsidRPr="00FB3DF8">
              <w:rPr>
                <w:rFonts w:ascii="Book Antiqua" w:hAnsi="Book Antiqua" w:cs="Arial"/>
                <w:b/>
                <w:bCs/>
                <w:sz w:val="22"/>
                <w:szCs w:val="22"/>
              </w:rPr>
              <w:t>135,9</w:t>
            </w:r>
          </w:p>
        </w:tc>
        <w:tc>
          <w:tcPr>
            <w:tcW w:w="851" w:type="dxa"/>
            <w:tcBorders>
              <w:top w:val="single" w:sz="8" w:space="0" w:color="auto"/>
              <w:left w:val="nil"/>
              <w:bottom w:val="single" w:sz="8"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b/>
                <w:bCs/>
                <w:sz w:val="22"/>
                <w:szCs w:val="22"/>
              </w:rPr>
            </w:pPr>
            <w:r w:rsidRPr="00FB3DF8">
              <w:rPr>
                <w:rFonts w:ascii="Book Antiqua" w:hAnsi="Book Antiqua" w:cs="Arial"/>
                <w:b/>
                <w:bCs/>
                <w:sz w:val="22"/>
                <w:szCs w:val="22"/>
              </w:rPr>
              <w:t>135,9</w:t>
            </w:r>
          </w:p>
        </w:tc>
        <w:tc>
          <w:tcPr>
            <w:tcW w:w="850" w:type="dxa"/>
            <w:tcBorders>
              <w:top w:val="single" w:sz="8" w:space="0" w:color="auto"/>
              <w:left w:val="nil"/>
              <w:bottom w:val="single" w:sz="8"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b/>
                <w:bCs/>
                <w:sz w:val="22"/>
                <w:szCs w:val="22"/>
              </w:rPr>
            </w:pPr>
            <w:r w:rsidRPr="00FB3DF8">
              <w:rPr>
                <w:rFonts w:ascii="Book Antiqua" w:hAnsi="Book Antiqua" w:cs="Arial"/>
                <w:b/>
                <w:bCs/>
                <w:sz w:val="22"/>
                <w:szCs w:val="22"/>
              </w:rPr>
              <w:t>135,9</w:t>
            </w:r>
          </w:p>
        </w:tc>
        <w:tc>
          <w:tcPr>
            <w:tcW w:w="851" w:type="dxa"/>
            <w:tcBorders>
              <w:top w:val="single" w:sz="8" w:space="0" w:color="auto"/>
              <w:left w:val="nil"/>
              <w:bottom w:val="single" w:sz="8"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b/>
                <w:bCs/>
                <w:sz w:val="22"/>
                <w:szCs w:val="22"/>
              </w:rPr>
            </w:pPr>
            <w:r w:rsidRPr="00FB3DF8">
              <w:rPr>
                <w:rFonts w:ascii="Book Antiqua" w:hAnsi="Book Antiqua" w:cs="Arial"/>
                <w:b/>
                <w:bCs/>
                <w:sz w:val="22"/>
                <w:szCs w:val="22"/>
              </w:rPr>
              <w:t>135,9</w:t>
            </w:r>
          </w:p>
        </w:tc>
        <w:tc>
          <w:tcPr>
            <w:tcW w:w="850" w:type="dxa"/>
            <w:tcBorders>
              <w:top w:val="single" w:sz="8" w:space="0" w:color="auto"/>
              <w:left w:val="nil"/>
              <w:bottom w:val="single" w:sz="8"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b/>
                <w:bCs/>
                <w:sz w:val="22"/>
                <w:szCs w:val="22"/>
              </w:rPr>
            </w:pPr>
            <w:r w:rsidRPr="00FB3DF8">
              <w:rPr>
                <w:rFonts w:ascii="Book Antiqua" w:hAnsi="Book Antiqua" w:cs="Arial"/>
                <w:b/>
                <w:bCs/>
                <w:sz w:val="22"/>
                <w:szCs w:val="22"/>
              </w:rPr>
              <w:t>135,9</w:t>
            </w:r>
          </w:p>
        </w:tc>
        <w:tc>
          <w:tcPr>
            <w:tcW w:w="993" w:type="dxa"/>
            <w:tcBorders>
              <w:top w:val="single" w:sz="8" w:space="0" w:color="auto"/>
              <w:left w:val="nil"/>
              <w:bottom w:val="single" w:sz="8" w:space="0" w:color="auto"/>
              <w:right w:val="single" w:sz="8"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b/>
                <w:bCs/>
                <w:sz w:val="22"/>
                <w:szCs w:val="22"/>
              </w:rPr>
            </w:pPr>
            <w:r w:rsidRPr="00FB3DF8">
              <w:rPr>
                <w:rFonts w:ascii="Book Antiqua" w:hAnsi="Book Antiqua" w:cs="Arial"/>
                <w:b/>
                <w:bCs/>
                <w:sz w:val="22"/>
                <w:szCs w:val="22"/>
              </w:rPr>
              <w:t>135,9</w:t>
            </w:r>
          </w:p>
        </w:tc>
      </w:tr>
    </w:tbl>
    <w:p w:rsidR="007F7CE5" w:rsidRPr="00FB3DF8" w:rsidP="000A62BA">
      <w:pPr>
        <w:bidi w:val="0"/>
        <w:spacing w:before="120" w:line="276" w:lineRule="auto"/>
        <w:rPr>
          <w:rFonts w:ascii="Book Antiqua" w:hAnsi="Book Antiqua" w:cs="Arial"/>
          <w:b/>
          <w:sz w:val="22"/>
          <w:szCs w:val="22"/>
        </w:rPr>
      </w:pPr>
    </w:p>
    <w:tbl>
      <w:tblPr>
        <w:tblStyle w:val="TableNormal"/>
        <w:tblW w:w="12980" w:type="dxa"/>
        <w:tblInd w:w="-10" w:type="dxa"/>
        <w:tblLayout w:type="fixed"/>
        <w:tblCellMar>
          <w:left w:w="70" w:type="dxa"/>
          <w:right w:w="70" w:type="dxa"/>
        </w:tblCellMar>
        <w:tblLook w:val="04A0"/>
      </w:tblPr>
      <w:tblGrid>
        <w:gridCol w:w="572"/>
        <w:gridCol w:w="2500"/>
        <w:gridCol w:w="694"/>
        <w:gridCol w:w="709"/>
        <w:gridCol w:w="708"/>
        <w:gridCol w:w="709"/>
        <w:gridCol w:w="851"/>
        <w:gridCol w:w="992"/>
        <w:gridCol w:w="850"/>
        <w:gridCol w:w="851"/>
        <w:gridCol w:w="850"/>
        <w:gridCol w:w="851"/>
        <w:gridCol w:w="850"/>
        <w:gridCol w:w="993"/>
      </w:tblGrid>
      <w:tr>
        <w:tblPrEx>
          <w:tblW w:w="12980" w:type="dxa"/>
          <w:tblInd w:w="-10" w:type="dxa"/>
          <w:tblLayout w:type="fixed"/>
          <w:tblCellMar>
            <w:left w:w="70" w:type="dxa"/>
            <w:right w:w="70" w:type="dxa"/>
          </w:tblCellMar>
          <w:tblLook w:val="04A0"/>
        </w:tblPrEx>
        <w:trPr>
          <w:trHeight w:val="276"/>
        </w:trPr>
        <w:tc>
          <w:tcPr>
            <w:tcW w:w="572" w:type="dxa"/>
            <w:vMerge w:val="restart"/>
            <w:tcBorders>
              <w:top w:val="single" w:sz="8" w:space="0" w:color="auto"/>
              <w:left w:val="single" w:sz="8" w:space="0" w:color="auto"/>
              <w:bottom w:val="single" w:sz="8" w:space="0" w:color="000000"/>
              <w:right w:val="single" w:sz="8" w:space="0" w:color="auto"/>
            </w:tcBorders>
            <w:noWrap/>
            <w:textDirection w:val="tbRl"/>
            <w:vAlign w:val="center"/>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2021</w:t>
            </w:r>
          </w:p>
        </w:tc>
        <w:tc>
          <w:tcPr>
            <w:tcW w:w="2500" w:type="dxa"/>
            <w:tcBorders>
              <w:top w:val="single" w:sz="8" w:space="0" w:color="auto"/>
              <w:left w:val="nil"/>
              <w:bottom w:val="single" w:sz="4" w:space="0" w:color="auto"/>
              <w:right w:val="nil"/>
            </w:tcBorders>
            <w:noWrap/>
            <w:textDirection w:val="lrTb"/>
            <w:vAlign w:val="bottom"/>
            <w:hideMark/>
          </w:tcPr>
          <w:p w:rsidR="007F7CE5" w:rsidRPr="00FB3DF8" w:rsidP="000A62BA">
            <w:pPr>
              <w:bidi w:val="0"/>
              <w:spacing w:before="120" w:line="276" w:lineRule="auto"/>
              <w:rPr>
                <w:rFonts w:ascii="Book Antiqua" w:hAnsi="Book Antiqua" w:cs="Arial"/>
                <w:color w:val="000000"/>
                <w:sz w:val="22"/>
                <w:szCs w:val="22"/>
              </w:rPr>
            </w:pPr>
            <w:r w:rsidRPr="00FB3DF8">
              <w:rPr>
                <w:rFonts w:ascii="Book Antiqua" w:hAnsi="Book Antiqua" w:cs="Arial"/>
                <w:color w:val="000000"/>
                <w:sz w:val="22"/>
                <w:szCs w:val="22"/>
              </w:rPr>
              <w:t>materské</w:t>
            </w:r>
          </w:p>
        </w:tc>
        <w:tc>
          <w:tcPr>
            <w:tcW w:w="694" w:type="dxa"/>
            <w:tcBorders>
              <w:top w:val="single" w:sz="8" w:space="0" w:color="auto"/>
              <w:left w:val="single" w:sz="8" w:space="0" w:color="auto"/>
              <w:bottom w:val="nil"/>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100</w:t>
            </w:r>
          </w:p>
        </w:tc>
        <w:tc>
          <w:tcPr>
            <w:tcW w:w="709" w:type="dxa"/>
            <w:tcBorders>
              <w:top w:val="single" w:sz="8" w:space="0" w:color="auto"/>
              <w:left w:val="nil"/>
              <w:bottom w:val="nil"/>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120</w:t>
            </w:r>
          </w:p>
        </w:tc>
        <w:tc>
          <w:tcPr>
            <w:tcW w:w="708" w:type="dxa"/>
            <w:tcBorders>
              <w:top w:val="single" w:sz="8" w:space="0" w:color="auto"/>
              <w:left w:val="nil"/>
              <w:bottom w:val="nil"/>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140</w:t>
            </w:r>
          </w:p>
        </w:tc>
        <w:tc>
          <w:tcPr>
            <w:tcW w:w="709" w:type="dxa"/>
            <w:tcBorders>
              <w:top w:val="single" w:sz="8" w:space="0" w:color="auto"/>
              <w:left w:val="nil"/>
              <w:bottom w:val="nil"/>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160</w:t>
            </w:r>
          </w:p>
        </w:tc>
        <w:tc>
          <w:tcPr>
            <w:tcW w:w="851" w:type="dxa"/>
            <w:tcBorders>
              <w:top w:val="single" w:sz="8" w:space="0" w:color="auto"/>
              <w:left w:val="nil"/>
              <w:bottom w:val="nil"/>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180</w:t>
            </w:r>
          </w:p>
        </w:tc>
        <w:tc>
          <w:tcPr>
            <w:tcW w:w="992" w:type="dxa"/>
            <w:tcBorders>
              <w:top w:val="single" w:sz="8" w:space="0" w:color="auto"/>
              <w:left w:val="nil"/>
              <w:bottom w:val="nil"/>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200</w:t>
            </w:r>
          </w:p>
        </w:tc>
        <w:tc>
          <w:tcPr>
            <w:tcW w:w="850" w:type="dxa"/>
            <w:tcBorders>
              <w:top w:val="single" w:sz="8" w:space="0" w:color="auto"/>
              <w:left w:val="nil"/>
              <w:bottom w:val="nil"/>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250</w:t>
            </w:r>
          </w:p>
        </w:tc>
        <w:tc>
          <w:tcPr>
            <w:tcW w:w="851" w:type="dxa"/>
            <w:tcBorders>
              <w:top w:val="single" w:sz="8" w:space="0" w:color="auto"/>
              <w:left w:val="nil"/>
              <w:bottom w:val="nil"/>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300</w:t>
            </w:r>
          </w:p>
        </w:tc>
        <w:tc>
          <w:tcPr>
            <w:tcW w:w="850" w:type="dxa"/>
            <w:tcBorders>
              <w:top w:val="single" w:sz="8" w:space="0" w:color="auto"/>
              <w:left w:val="nil"/>
              <w:bottom w:val="nil"/>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400</w:t>
            </w:r>
          </w:p>
        </w:tc>
        <w:tc>
          <w:tcPr>
            <w:tcW w:w="851" w:type="dxa"/>
            <w:tcBorders>
              <w:top w:val="single" w:sz="8" w:space="0" w:color="auto"/>
              <w:left w:val="nil"/>
              <w:bottom w:val="nil"/>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500</w:t>
            </w:r>
          </w:p>
        </w:tc>
        <w:tc>
          <w:tcPr>
            <w:tcW w:w="850" w:type="dxa"/>
            <w:tcBorders>
              <w:top w:val="single" w:sz="8" w:space="0" w:color="auto"/>
              <w:left w:val="nil"/>
              <w:bottom w:val="nil"/>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600</w:t>
            </w:r>
          </w:p>
        </w:tc>
        <w:tc>
          <w:tcPr>
            <w:tcW w:w="993" w:type="dxa"/>
            <w:tcBorders>
              <w:top w:val="single" w:sz="8" w:space="0" w:color="auto"/>
              <w:left w:val="nil"/>
              <w:bottom w:val="nil"/>
              <w:right w:val="single" w:sz="8"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700</w:t>
            </w:r>
          </w:p>
        </w:tc>
      </w:tr>
      <w:tr>
        <w:tblPrEx>
          <w:tblW w:w="12980" w:type="dxa"/>
          <w:tblInd w:w="-10" w:type="dxa"/>
          <w:tblLayout w:type="fixed"/>
          <w:tblCellMar>
            <w:left w:w="70" w:type="dxa"/>
            <w:right w:w="70" w:type="dxa"/>
          </w:tblCellMar>
          <w:tblLook w:val="04A0"/>
        </w:tblPrEx>
        <w:trPr>
          <w:trHeight w:val="264"/>
        </w:trPr>
        <w:tc>
          <w:tcPr>
            <w:tcW w:w="572" w:type="dxa"/>
            <w:vMerge/>
            <w:tcBorders>
              <w:top w:val="single" w:sz="8" w:space="0" w:color="auto"/>
              <w:left w:val="single" w:sz="8" w:space="0" w:color="auto"/>
              <w:bottom w:val="single" w:sz="8" w:space="0" w:color="000000"/>
              <w:right w:val="single" w:sz="8" w:space="0" w:color="auto"/>
            </w:tcBorders>
            <w:textDirection w:val="lrTb"/>
            <w:vAlign w:val="center"/>
            <w:hideMark/>
          </w:tcPr>
          <w:p w:rsidR="007F7CE5" w:rsidRPr="00FB3DF8" w:rsidP="000A62BA">
            <w:pPr>
              <w:bidi w:val="0"/>
              <w:spacing w:before="120" w:line="276" w:lineRule="auto"/>
              <w:rPr>
                <w:rFonts w:ascii="Book Antiqua" w:hAnsi="Book Antiqua" w:cs="Arial"/>
                <w:color w:val="000000"/>
                <w:sz w:val="22"/>
                <w:szCs w:val="22"/>
              </w:rPr>
            </w:pPr>
          </w:p>
        </w:tc>
        <w:tc>
          <w:tcPr>
            <w:tcW w:w="2500" w:type="dxa"/>
            <w:tcBorders>
              <w:top w:val="nil"/>
              <w:left w:val="nil"/>
              <w:bottom w:val="single" w:sz="4" w:space="0" w:color="auto"/>
              <w:right w:val="nil"/>
            </w:tcBorders>
            <w:noWrap/>
            <w:textDirection w:val="lrTb"/>
            <w:vAlign w:val="bottom"/>
            <w:hideMark/>
          </w:tcPr>
          <w:p w:rsidR="007F7CE5" w:rsidRPr="00FB3DF8" w:rsidP="000A62BA">
            <w:pPr>
              <w:bidi w:val="0"/>
              <w:spacing w:before="120" w:line="276" w:lineRule="auto"/>
              <w:rPr>
                <w:rFonts w:ascii="Book Antiqua" w:hAnsi="Book Antiqua"/>
                <w:color w:val="000000"/>
                <w:sz w:val="22"/>
                <w:szCs w:val="22"/>
              </w:rPr>
            </w:pPr>
            <w:r w:rsidRPr="00FB3DF8">
              <w:rPr>
                <w:rFonts w:ascii="Book Antiqua" w:hAnsi="Book Antiqua"/>
                <w:color w:val="000000"/>
                <w:sz w:val="22"/>
                <w:szCs w:val="22"/>
              </w:rPr>
              <w:t>rodičovský príspevok navrhovaný</w:t>
            </w:r>
          </w:p>
        </w:tc>
        <w:tc>
          <w:tcPr>
            <w:tcW w:w="694" w:type="dxa"/>
            <w:tcBorders>
              <w:top w:val="single" w:sz="8" w:space="0" w:color="auto"/>
              <w:left w:val="single" w:sz="8" w:space="0" w:color="auto"/>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211,0</w:t>
            </w:r>
          </w:p>
        </w:tc>
        <w:tc>
          <w:tcPr>
            <w:tcW w:w="709" w:type="dxa"/>
            <w:tcBorders>
              <w:top w:val="single" w:sz="8" w:space="0" w:color="auto"/>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207,0</w:t>
            </w:r>
          </w:p>
        </w:tc>
        <w:tc>
          <w:tcPr>
            <w:tcW w:w="708" w:type="dxa"/>
            <w:tcBorders>
              <w:top w:val="single" w:sz="8" w:space="0" w:color="auto"/>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203,0</w:t>
            </w:r>
          </w:p>
        </w:tc>
        <w:tc>
          <w:tcPr>
            <w:tcW w:w="709" w:type="dxa"/>
            <w:tcBorders>
              <w:top w:val="single" w:sz="8" w:space="0" w:color="auto"/>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199,0</w:t>
            </w:r>
          </w:p>
        </w:tc>
        <w:tc>
          <w:tcPr>
            <w:tcW w:w="851" w:type="dxa"/>
            <w:tcBorders>
              <w:top w:val="single" w:sz="8" w:space="0" w:color="auto"/>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195,0</w:t>
            </w:r>
          </w:p>
        </w:tc>
        <w:tc>
          <w:tcPr>
            <w:tcW w:w="992" w:type="dxa"/>
            <w:tcBorders>
              <w:top w:val="single" w:sz="8" w:space="0" w:color="auto"/>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191,0</w:t>
            </w:r>
          </w:p>
        </w:tc>
        <w:tc>
          <w:tcPr>
            <w:tcW w:w="850" w:type="dxa"/>
            <w:tcBorders>
              <w:top w:val="single" w:sz="8" w:space="0" w:color="auto"/>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184,8</w:t>
            </w:r>
          </w:p>
        </w:tc>
        <w:tc>
          <w:tcPr>
            <w:tcW w:w="851" w:type="dxa"/>
            <w:tcBorders>
              <w:top w:val="single" w:sz="8" w:space="0" w:color="auto"/>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184,8</w:t>
            </w:r>
          </w:p>
        </w:tc>
        <w:tc>
          <w:tcPr>
            <w:tcW w:w="850" w:type="dxa"/>
            <w:tcBorders>
              <w:top w:val="single" w:sz="8" w:space="0" w:color="auto"/>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184,8</w:t>
            </w:r>
          </w:p>
        </w:tc>
        <w:tc>
          <w:tcPr>
            <w:tcW w:w="851" w:type="dxa"/>
            <w:tcBorders>
              <w:top w:val="single" w:sz="8" w:space="0" w:color="auto"/>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184,8</w:t>
            </w:r>
          </w:p>
        </w:tc>
        <w:tc>
          <w:tcPr>
            <w:tcW w:w="850" w:type="dxa"/>
            <w:tcBorders>
              <w:top w:val="single" w:sz="8" w:space="0" w:color="auto"/>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184,8</w:t>
            </w:r>
          </w:p>
        </w:tc>
        <w:tc>
          <w:tcPr>
            <w:tcW w:w="993" w:type="dxa"/>
            <w:tcBorders>
              <w:top w:val="single" w:sz="8" w:space="0" w:color="auto"/>
              <w:left w:val="nil"/>
              <w:bottom w:val="single" w:sz="4" w:space="0" w:color="auto"/>
              <w:right w:val="single" w:sz="8"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184,8</w:t>
            </w:r>
          </w:p>
        </w:tc>
      </w:tr>
      <w:tr>
        <w:tblPrEx>
          <w:tblW w:w="12980" w:type="dxa"/>
          <w:tblInd w:w="-10" w:type="dxa"/>
          <w:tblLayout w:type="fixed"/>
          <w:tblCellMar>
            <w:left w:w="70" w:type="dxa"/>
            <w:right w:w="70" w:type="dxa"/>
          </w:tblCellMar>
          <w:tblLook w:val="04A0"/>
        </w:tblPrEx>
        <w:trPr>
          <w:trHeight w:val="276"/>
        </w:trPr>
        <w:tc>
          <w:tcPr>
            <w:tcW w:w="572" w:type="dxa"/>
            <w:vMerge/>
            <w:tcBorders>
              <w:top w:val="single" w:sz="8" w:space="0" w:color="auto"/>
              <w:left w:val="single" w:sz="8" w:space="0" w:color="auto"/>
              <w:bottom w:val="single" w:sz="8" w:space="0" w:color="000000"/>
              <w:right w:val="single" w:sz="8" w:space="0" w:color="auto"/>
            </w:tcBorders>
            <w:textDirection w:val="lrTb"/>
            <w:vAlign w:val="center"/>
            <w:hideMark/>
          </w:tcPr>
          <w:p w:rsidR="007F7CE5" w:rsidRPr="00FB3DF8" w:rsidP="000A62BA">
            <w:pPr>
              <w:bidi w:val="0"/>
              <w:spacing w:before="120" w:line="276" w:lineRule="auto"/>
              <w:rPr>
                <w:rFonts w:ascii="Book Antiqua" w:hAnsi="Book Antiqua" w:cs="Arial"/>
                <w:color w:val="000000"/>
                <w:sz w:val="22"/>
                <w:szCs w:val="22"/>
              </w:rPr>
            </w:pPr>
          </w:p>
        </w:tc>
        <w:tc>
          <w:tcPr>
            <w:tcW w:w="2500" w:type="dxa"/>
            <w:tcBorders>
              <w:top w:val="nil"/>
              <w:left w:val="nil"/>
              <w:bottom w:val="single" w:sz="4" w:space="0" w:color="auto"/>
              <w:right w:val="nil"/>
            </w:tcBorders>
            <w:noWrap/>
            <w:textDirection w:val="lrTb"/>
            <w:vAlign w:val="bottom"/>
            <w:hideMark/>
          </w:tcPr>
          <w:p w:rsidR="007F7CE5" w:rsidRPr="00FB3DF8" w:rsidP="000A62BA">
            <w:pPr>
              <w:bidi w:val="0"/>
              <w:spacing w:before="120" w:line="276" w:lineRule="auto"/>
              <w:rPr>
                <w:rFonts w:ascii="Book Antiqua" w:hAnsi="Book Antiqua"/>
                <w:color w:val="000000"/>
                <w:sz w:val="22"/>
                <w:szCs w:val="22"/>
              </w:rPr>
            </w:pPr>
            <w:r w:rsidRPr="00FB3DF8">
              <w:rPr>
                <w:rFonts w:ascii="Book Antiqua" w:hAnsi="Book Antiqua"/>
                <w:color w:val="000000"/>
                <w:sz w:val="22"/>
                <w:szCs w:val="22"/>
              </w:rPr>
              <w:t>rodičovský príspevok platný</w:t>
            </w:r>
          </w:p>
        </w:tc>
        <w:tc>
          <w:tcPr>
            <w:tcW w:w="694" w:type="dxa"/>
            <w:tcBorders>
              <w:top w:val="nil"/>
              <w:left w:val="single" w:sz="8" w:space="0" w:color="auto"/>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131,0</w:t>
            </w:r>
          </w:p>
        </w:tc>
        <w:tc>
          <w:tcPr>
            <w:tcW w:w="709" w:type="dxa"/>
            <w:tcBorders>
              <w:top w:val="nil"/>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111,0</w:t>
            </w:r>
          </w:p>
        </w:tc>
        <w:tc>
          <w:tcPr>
            <w:tcW w:w="708" w:type="dxa"/>
            <w:tcBorders>
              <w:top w:val="nil"/>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91,0</w:t>
            </w:r>
          </w:p>
        </w:tc>
        <w:tc>
          <w:tcPr>
            <w:tcW w:w="709" w:type="dxa"/>
            <w:tcBorders>
              <w:top w:val="nil"/>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61,9</w:t>
            </w:r>
          </w:p>
        </w:tc>
        <w:tc>
          <w:tcPr>
            <w:tcW w:w="851" w:type="dxa"/>
            <w:tcBorders>
              <w:top w:val="nil"/>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46,4</w:t>
            </w:r>
          </w:p>
        </w:tc>
        <w:tc>
          <w:tcPr>
            <w:tcW w:w="992" w:type="dxa"/>
            <w:tcBorders>
              <w:top w:val="nil"/>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31,0</w:t>
            </w:r>
          </w:p>
        </w:tc>
        <w:tc>
          <w:tcPr>
            <w:tcW w:w="850" w:type="dxa"/>
            <w:tcBorders>
              <w:top w:val="nil"/>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0,0</w:t>
            </w:r>
          </w:p>
        </w:tc>
        <w:tc>
          <w:tcPr>
            <w:tcW w:w="851" w:type="dxa"/>
            <w:tcBorders>
              <w:top w:val="nil"/>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0,0</w:t>
            </w:r>
          </w:p>
        </w:tc>
        <w:tc>
          <w:tcPr>
            <w:tcW w:w="850" w:type="dxa"/>
            <w:tcBorders>
              <w:top w:val="nil"/>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0,0</w:t>
            </w:r>
          </w:p>
        </w:tc>
        <w:tc>
          <w:tcPr>
            <w:tcW w:w="851" w:type="dxa"/>
            <w:tcBorders>
              <w:top w:val="nil"/>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0,0</w:t>
            </w:r>
          </w:p>
        </w:tc>
        <w:tc>
          <w:tcPr>
            <w:tcW w:w="850" w:type="dxa"/>
            <w:tcBorders>
              <w:top w:val="nil"/>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0,0</w:t>
            </w:r>
          </w:p>
        </w:tc>
        <w:tc>
          <w:tcPr>
            <w:tcW w:w="993" w:type="dxa"/>
            <w:tcBorders>
              <w:top w:val="nil"/>
              <w:left w:val="nil"/>
              <w:bottom w:val="single" w:sz="4" w:space="0" w:color="auto"/>
              <w:right w:val="single" w:sz="8"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0,0</w:t>
            </w:r>
          </w:p>
        </w:tc>
      </w:tr>
      <w:tr>
        <w:tblPrEx>
          <w:tblW w:w="12980" w:type="dxa"/>
          <w:tblInd w:w="-10" w:type="dxa"/>
          <w:tblLayout w:type="fixed"/>
          <w:tblCellMar>
            <w:left w:w="70" w:type="dxa"/>
            <w:right w:w="70" w:type="dxa"/>
          </w:tblCellMar>
          <w:tblLook w:val="04A0"/>
        </w:tblPrEx>
        <w:trPr>
          <w:trHeight w:val="276"/>
        </w:trPr>
        <w:tc>
          <w:tcPr>
            <w:tcW w:w="572" w:type="dxa"/>
            <w:vMerge/>
            <w:tcBorders>
              <w:top w:val="single" w:sz="8" w:space="0" w:color="auto"/>
              <w:left w:val="single" w:sz="8" w:space="0" w:color="auto"/>
              <w:bottom w:val="single" w:sz="8" w:space="0" w:color="000000"/>
              <w:right w:val="single" w:sz="8" w:space="0" w:color="auto"/>
            </w:tcBorders>
            <w:textDirection w:val="lrTb"/>
            <w:vAlign w:val="center"/>
            <w:hideMark/>
          </w:tcPr>
          <w:p w:rsidR="007F7CE5" w:rsidRPr="00FB3DF8" w:rsidP="000A62BA">
            <w:pPr>
              <w:bidi w:val="0"/>
              <w:spacing w:before="120" w:line="276" w:lineRule="auto"/>
              <w:rPr>
                <w:rFonts w:ascii="Book Antiqua" w:hAnsi="Book Antiqua" w:cs="Arial"/>
                <w:color w:val="000000"/>
                <w:sz w:val="22"/>
                <w:szCs w:val="22"/>
              </w:rPr>
            </w:pPr>
          </w:p>
        </w:tc>
        <w:tc>
          <w:tcPr>
            <w:tcW w:w="2500" w:type="dxa"/>
            <w:tcBorders>
              <w:top w:val="single" w:sz="8" w:space="0" w:color="auto"/>
              <w:left w:val="nil"/>
              <w:bottom w:val="single" w:sz="8" w:space="0" w:color="auto"/>
              <w:right w:val="single" w:sz="8" w:space="0" w:color="auto"/>
            </w:tcBorders>
            <w:noWrap/>
            <w:textDirection w:val="lrTb"/>
            <w:vAlign w:val="bottom"/>
            <w:hideMark/>
          </w:tcPr>
          <w:p w:rsidR="007F7CE5" w:rsidRPr="00FB3DF8" w:rsidP="000A62BA">
            <w:pPr>
              <w:bidi w:val="0"/>
              <w:spacing w:before="120" w:line="276" w:lineRule="auto"/>
              <w:rPr>
                <w:rFonts w:ascii="Book Antiqua" w:hAnsi="Book Antiqua" w:cs="Arial"/>
                <w:b/>
                <w:bCs/>
                <w:sz w:val="22"/>
                <w:szCs w:val="22"/>
              </w:rPr>
            </w:pPr>
            <w:r w:rsidRPr="00FB3DF8">
              <w:rPr>
                <w:rFonts w:ascii="Book Antiqua" w:hAnsi="Book Antiqua" w:cs="Arial"/>
                <w:b/>
                <w:bCs/>
                <w:sz w:val="22"/>
                <w:szCs w:val="22"/>
              </w:rPr>
              <w:t>rozdiel</w:t>
            </w:r>
          </w:p>
        </w:tc>
        <w:tc>
          <w:tcPr>
            <w:tcW w:w="694" w:type="dxa"/>
            <w:tcBorders>
              <w:top w:val="single" w:sz="8" w:space="0" w:color="auto"/>
              <w:left w:val="nil"/>
              <w:bottom w:val="single" w:sz="8"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b/>
                <w:bCs/>
                <w:sz w:val="22"/>
                <w:szCs w:val="22"/>
              </w:rPr>
            </w:pPr>
            <w:r w:rsidRPr="00FB3DF8">
              <w:rPr>
                <w:rFonts w:ascii="Book Antiqua" w:hAnsi="Book Antiqua" w:cs="Arial"/>
                <w:b/>
                <w:bCs/>
                <w:sz w:val="22"/>
                <w:szCs w:val="22"/>
              </w:rPr>
              <w:t>80,0</w:t>
            </w:r>
          </w:p>
        </w:tc>
        <w:tc>
          <w:tcPr>
            <w:tcW w:w="709" w:type="dxa"/>
            <w:tcBorders>
              <w:top w:val="single" w:sz="8" w:space="0" w:color="auto"/>
              <w:left w:val="nil"/>
              <w:bottom w:val="single" w:sz="8"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b/>
                <w:bCs/>
                <w:sz w:val="22"/>
                <w:szCs w:val="22"/>
              </w:rPr>
            </w:pPr>
            <w:r w:rsidRPr="00FB3DF8">
              <w:rPr>
                <w:rFonts w:ascii="Book Antiqua" w:hAnsi="Book Antiqua" w:cs="Arial"/>
                <w:b/>
                <w:bCs/>
                <w:sz w:val="22"/>
                <w:szCs w:val="22"/>
              </w:rPr>
              <w:t>96,0</w:t>
            </w:r>
          </w:p>
        </w:tc>
        <w:tc>
          <w:tcPr>
            <w:tcW w:w="708" w:type="dxa"/>
            <w:tcBorders>
              <w:top w:val="single" w:sz="8" w:space="0" w:color="auto"/>
              <w:left w:val="nil"/>
              <w:bottom w:val="single" w:sz="8"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b/>
                <w:bCs/>
                <w:sz w:val="22"/>
                <w:szCs w:val="22"/>
              </w:rPr>
            </w:pPr>
            <w:r w:rsidRPr="00FB3DF8">
              <w:rPr>
                <w:rFonts w:ascii="Book Antiqua" w:hAnsi="Book Antiqua" w:cs="Arial"/>
                <w:b/>
                <w:bCs/>
                <w:sz w:val="22"/>
                <w:szCs w:val="22"/>
              </w:rPr>
              <w:t>112,0</w:t>
            </w:r>
          </w:p>
        </w:tc>
        <w:tc>
          <w:tcPr>
            <w:tcW w:w="709" w:type="dxa"/>
            <w:tcBorders>
              <w:top w:val="single" w:sz="8" w:space="0" w:color="auto"/>
              <w:left w:val="nil"/>
              <w:bottom w:val="single" w:sz="8"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b/>
                <w:bCs/>
                <w:sz w:val="22"/>
                <w:szCs w:val="22"/>
              </w:rPr>
            </w:pPr>
            <w:r w:rsidRPr="00FB3DF8">
              <w:rPr>
                <w:rFonts w:ascii="Book Antiqua" w:hAnsi="Book Antiqua" w:cs="Arial"/>
                <w:b/>
                <w:bCs/>
                <w:sz w:val="22"/>
                <w:szCs w:val="22"/>
              </w:rPr>
              <w:t>137,1</w:t>
            </w:r>
          </w:p>
        </w:tc>
        <w:tc>
          <w:tcPr>
            <w:tcW w:w="851" w:type="dxa"/>
            <w:tcBorders>
              <w:top w:val="single" w:sz="8" w:space="0" w:color="auto"/>
              <w:left w:val="nil"/>
              <w:bottom w:val="single" w:sz="8"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b/>
                <w:bCs/>
                <w:sz w:val="22"/>
                <w:szCs w:val="22"/>
              </w:rPr>
            </w:pPr>
            <w:r w:rsidRPr="00FB3DF8">
              <w:rPr>
                <w:rFonts w:ascii="Book Antiqua" w:hAnsi="Book Antiqua" w:cs="Arial"/>
                <w:b/>
                <w:bCs/>
                <w:sz w:val="22"/>
                <w:szCs w:val="22"/>
              </w:rPr>
              <w:t>148,6</w:t>
            </w:r>
          </w:p>
        </w:tc>
        <w:tc>
          <w:tcPr>
            <w:tcW w:w="992" w:type="dxa"/>
            <w:tcBorders>
              <w:top w:val="single" w:sz="8" w:space="0" w:color="auto"/>
              <w:left w:val="nil"/>
              <w:bottom w:val="single" w:sz="8"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b/>
                <w:bCs/>
                <w:sz w:val="22"/>
                <w:szCs w:val="22"/>
              </w:rPr>
            </w:pPr>
            <w:r w:rsidRPr="00FB3DF8">
              <w:rPr>
                <w:rFonts w:ascii="Book Antiqua" w:hAnsi="Book Antiqua" w:cs="Arial"/>
                <w:b/>
                <w:bCs/>
                <w:sz w:val="22"/>
                <w:szCs w:val="22"/>
              </w:rPr>
              <w:t>160,0</w:t>
            </w:r>
          </w:p>
        </w:tc>
        <w:tc>
          <w:tcPr>
            <w:tcW w:w="850" w:type="dxa"/>
            <w:tcBorders>
              <w:top w:val="single" w:sz="8" w:space="0" w:color="auto"/>
              <w:left w:val="nil"/>
              <w:bottom w:val="single" w:sz="8"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b/>
                <w:bCs/>
                <w:sz w:val="22"/>
                <w:szCs w:val="22"/>
              </w:rPr>
            </w:pPr>
            <w:r w:rsidRPr="00FB3DF8">
              <w:rPr>
                <w:rFonts w:ascii="Book Antiqua" w:hAnsi="Book Antiqua" w:cs="Arial"/>
                <w:b/>
                <w:bCs/>
                <w:sz w:val="22"/>
                <w:szCs w:val="22"/>
              </w:rPr>
              <w:t>184,8</w:t>
            </w:r>
          </w:p>
        </w:tc>
        <w:tc>
          <w:tcPr>
            <w:tcW w:w="851" w:type="dxa"/>
            <w:tcBorders>
              <w:top w:val="single" w:sz="8" w:space="0" w:color="auto"/>
              <w:left w:val="nil"/>
              <w:bottom w:val="single" w:sz="8"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b/>
                <w:bCs/>
                <w:sz w:val="22"/>
                <w:szCs w:val="22"/>
              </w:rPr>
            </w:pPr>
            <w:r w:rsidRPr="00FB3DF8">
              <w:rPr>
                <w:rFonts w:ascii="Book Antiqua" w:hAnsi="Book Antiqua" w:cs="Arial"/>
                <w:b/>
                <w:bCs/>
                <w:sz w:val="22"/>
                <w:szCs w:val="22"/>
              </w:rPr>
              <w:t>184,8</w:t>
            </w:r>
          </w:p>
        </w:tc>
        <w:tc>
          <w:tcPr>
            <w:tcW w:w="850" w:type="dxa"/>
            <w:tcBorders>
              <w:top w:val="single" w:sz="8" w:space="0" w:color="auto"/>
              <w:left w:val="nil"/>
              <w:bottom w:val="single" w:sz="8"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b/>
                <w:bCs/>
                <w:sz w:val="22"/>
                <w:szCs w:val="22"/>
              </w:rPr>
            </w:pPr>
            <w:r w:rsidRPr="00FB3DF8">
              <w:rPr>
                <w:rFonts w:ascii="Book Antiqua" w:hAnsi="Book Antiqua" w:cs="Arial"/>
                <w:b/>
                <w:bCs/>
                <w:sz w:val="22"/>
                <w:szCs w:val="22"/>
              </w:rPr>
              <w:t>184,8</w:t>
            </w:r>
          </w:p>
        </w:tc>
        <w:tc>
          <w:tcPr>
            <w:tcW w:w="851" w:type="dxa"/>
            <w:tcBorders>
              <w:top w:val="single" w:sz="8" w:space="0" w:color="auto"/>
              <w:left w:val="nil"/>
              <w:bottom w:val="single" w:sz="8"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b/>
                <w:bCs/>
                <w:sz w:val="22"/>
                <w:szCs w:val="22"/>
              </w:rPr>
            </w:pPr>
            <w:r w:rsidRPr="00FB3DF8">
              <w:rPr>
                <w:rFonts w:ascii="Book Antiqua" w:hAnsi="Book Antiqua" w:cs="Arial"/>
                <w:b/>
                <w:bCs/>
                <w:sz w:val="22"/>
                <w:szCs w:val="22"/>
              </w:rPr>
              <w:t>184,8</w:t>
            </w:r>
          </w:p>
        </w:tc>
        <w:tc>
          <w:tcPr>
            <w:tcW w:w="850" w:type="dxa"/>
            <w:tcBorders>
              <w:top w:val="single" w:sz="8" w:space="0" w:color="auto"/>
              <w:left w:val="nil"/>
              <w:bottom w:val="single" w:sz="8"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b/>
                <w:bCs/>
                <w:sz w:val="22"/>
                <w:szCs w:val="22"/>
              </w:rPr>
            </w:pPr>
            <w:r w:rsidRPr="00FB3DF8">
              <w:rPr>
                <w:rFonts w:ascii="Book Antiqua" w:hAnsi="Book Antiqua" w:cs="Arial"/>
                <w:b/>
                <w:bCs/>
                <w:sz w:val="22"/>
                <w:szCs w:val="22"/>
              </w:rPr>
              <w:t>184,8</w:t>
            </w:r>
          </w:p>
        </w:tc>
        <w:tc>
          <w:tcPr>
            <w:tcW w:w="993" w:type="dxa"/>
            <w:tcBorders>
              <w:top w:val="single" w:sz="8" w:space="0" w:color="auto"/>
              <w:left w:val="nil"/>
              <w:bottom w:val="single" w:sz="8" w:space="0" w:color="auto"/>
              <w:right w:val="single" w:sz="8"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b/>
                <w:bCs/>
                <w:sz w:val="22"/>
                <w:szCs w:val="22"/>
              </w:rPr>
            </w:pPr>
            <w:r w:rsidRPr="00FB3DF8">
              <w:rPr>
                <w:rFonts w:ascii="Book Antiqua" w:hAnsi="Book Antiqua" w:cs="Arial"/>
                <w:b/>
                <w:bCs/>
                <w:sz w:val="22"/>
                <w:szCs w:val="22"/>
              </w:rPr>
              <w:t>184,8</w:t>
            </w:r>
          </w:p>
        </w:tc>
      </w:tr>
    </w:tbl>
    <w:p w:rsidR="007F7CE5" w:rsidRPr="00FB3DF8" w:rsidP="000A62BA">
      <w:pPr>
        <w:bidi w:val="0"/>
        <w:spacing w:before="120" w:line="276" w:lineRule="auto"/>
        <w:rPr>
          <w:rFonts w:ascii="Book Antiqua" w:hAnsi="Book Antiqua" w:cs="Arial"/>
          <w:b/>
          <w:sz w:val="22"/>
          <w:szCs w:val="22"/>
        </w:rPr>
      </w:pPr>
    </w:p>
    <w:tbl>
      <w:tblPr>
        <w:tblStyle w:val="TableNormal"/>
        <w:tblW w:w="12980" w:type="dxa"/>
        <w:tblInd w:w="-10" w:type="dxa"/>
        <w:tblLayout w:type="fixed"/>
        <w:tblCellMar>
          <w:left w:w="70" w:type="dxa"/>
          <w:right w:w="70" w:type="dxa"/>
        </w:tblCellMar>
        <w:tblLook w:val="04A0"/>
      </w:tblPr>
      <w:tblGrid>
        <w:gridCol w:w="572"/>
        <w:gridCol w:w="2500"/>
        <w:gridCol w:w="694"/>
        <w:gridCol w:w="709"/>
        <w:gridCol w:w="708"/>
        <w:gridCol w:w="709"/>
        <w:gridCol w:w="851"/>
        <w:gridCol w:w="992"/>
        <w:gridCol w:w="850"/>
        <w:gridCol w:w="851"/>
        <w:gridCol w:w="850"/>
        <w:gridCol w:w="851"/>
        <w:gridCol w:w="850"/>
        <w:gridCol w:w="993"/>
      </w:tblGrid>
      <w:tr>
        <w:tblPrEx>
          <w:tblW w:w="12980" w:type="dxa"/>
          <w:tblInd w:w="-10" w:type="dxa"/>
          <w:tblLayout w:type="fixed"/>
          <w:tblCellMar>
            <w:left w:w="70" w:type="dxa"/>
            <w:right w:w="70" w:type="dxa"/>
          </w:tblCellMar>
          <w:tblLook w:val="04A0"/>
        </w:tblPrEx>
        <w:trPr>
          <w:trHeight w:val="276"/>
        </w:trPr>
        <w:tc>
          <w:tcPr>
            <w:tcW w:w="572" w:type="dxa"/>
            <w:vMerge w:val="restart"/>
            <w:tcBorders>
              <w:top w:val="single" w:sz="8" w:space="0" w:color="auto"/>
              <w:left w:val="single" w:sz="8" w:space="0" w:color="auto"/>
              <w:bottom w:val="single" w:sz="8" w:space="0" w:color="000000"/>
              <w:right w:val="single" w:sz="8" w:space="0" w:color="auto"/>
            </w:tcBorders>
            <w:noWrap/>
            <w:textDirection w:val="tbRl"/>
            <w:vAlign w:val="center"/>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2022</w:t>
            </w:r>
          </w:p>
        </w:tc>
        <w:tc>
          <w:tcPr>
            <w:tcW w:w="2500" w:type="dxa"/>
            <w:tcBorders>
              <w:top w:val="single" w:sz="8" w:space="0" w:color="auto"/>
              <w:left w:val="nil"/>
              <w:bottom w:val="single" w:sz="4" w:space="0" w:color="auto"/>
              <w:right w:val="nil"/>
            </w:tcBorders>
            <w:noWrap/>
            <w:textDirection w:val="lrTb"/>
            <w:vAlign w:val="bottom"/>
            <w:hideMark/>
          </w:tcPr>
          <w:p w:rsidR="007F7CE5" w:rsidRPr="00FB3DF8" w:rsidP="000A62BA">
            <w:pPr>
              <w:bidi w:val="0"/>
              <w:spacing w:before="120" w:line="276" w:lineRule="auto"/>
              <w:rPr>
                <w:rFonts w:ascii="Book Antiqua" w:hAnsi="Book Antiqua" w:cs="Arial"/>
                <w:color w:val="000000"/>
                <w:sz w:val="22"/>
                <w:szCs w:val="22"/>
              </w:rPr>
            </w:pPr>
            <w:r w:rsidRPr="00FB3DF8">
              <w:rPr>
                <w:rFonts w:ascii="Book Antiqua" w:hAnsi="Book Antiqua" w:cs="Arial"/>
                <w:color w:val="000000"/>
                <w:sz w:val="22"/>
                <w:szCs w:val="22"/>
              </w:rPr>
              <w:t>materské</w:t>
            </w:r>
          </w:p>
        </w:tc>
        <w:tc>
          <w:tcPr>
            <w:tcW w:w="694" w:type="dxa"/>
            <w:tcBorders>
              <w:top w:val="single" w:sz="8" w:space="0" w:color="auto"/>
              <w:left w:val="single" w:sz="8" w:space="0" w:color="auto"/>
              <w:bottom w:val="nil"/>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100</w:t>
            </w:r>
          </w:p>
        </w:tc>
        <w:tc>
          <w:tcPr>
            <w:tcW w:w="709" w:type="dxa"/>
            <w:tcBorders>
              <w:top w:val="single" w:sz="8" w:space="0" w:color="auto"/>
              <w:left w:val="nil"/>
              <w:bottom w:val="nil"/>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120</w:t>
            </w:r>
          </w:p>
        </w:tc>
        <w:tc>
          <w:tcPr>
            <w:tcW w:w="708" w:type="dxa"/>
            <w:tcBorders>
              <w:top w:val="single" w:sz="8" w:space="0" w:color="auto"/>
              <w:left w:val="nil"/>
              <w:bottom w:val="nil"/>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140</w:t>
            </w:r>
          </w:p>
        </w:tc>
        <w:tc>
          <w:tcPr>
            <w:tcW w:w="709" w:type="dxa"/>
            <w:tcBorders>
              <w:top w:val="single" w:sz="8" w:space="0" w:color="auto"/>
              <w:left w:val="nil"/>
              <w:bottom w:val="nil"/>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160</w:t>
            </w:r>
          </w:p>
        </w:tc>
        <w:tc>
          <w:tcPr>
            <w:tcW w:w="851" w:type="dxa"/>
            <w:tcBorders>
              <w:top w:val="single" w:sz="8" w:space="0" w:color="auto"/>
              <w:left w:val="nil"/>
              <w:bottom w:val="nil"/>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180</w:t>
            </w:r>
          </w:p>
        </w:tc>
        <w:tc>
          <w:tcPr>
            <w:tcW w:w="992" w:type="dxa"/>
            <w:tcBorders>
              <w:top w:val="single" w:sz="8" w:space="0" w:color="auto"/>
              <w:left w:val="nil"/>
              <w:bottom w:val="nil"/>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200</w:t>
            </w:r>
          </w:p>
        </w:tc>
        <w:tc>
          <w:tcPr>
            <w:tcW w:w="850" w:type="dxa"/>
            <w:tcBorders>
              <w:top w:val="single" w:sz="8" w:space="0" w:color="auto"/>
              <w:left w:val="nil"/>
              <w:bottom w:val="nil"/>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250</w:t>
            </w:r>
          </w:p>
        </w:tc>
        <w:tc>
          <w:tcPr>
            <w:tcW w:w="851" w:type="dxa"/>
            <w:tcBorders>
              <w:top w:val="single" w:sz="8" w:space="0" w:color="auto"/>
              <w:left w:val="nil"/>
              <w:bottom w:val="nil"/>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300</w:t>
            </w:r>
          </w:p>
        </w:tc>
        <w:tc>
          <w:tcPr>
            <w:tcW w:w="850" w:type="dxa"/>
            <w:tcBorders>
              <w:top w:val="single" w:sz="8" w:space="0" w:color="auto"/>
              <w:left w:val="nil"/>
              <w:bottom w:val="nil"/>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400</w:t>
            </w:r>
          </w:p>
        </w:tc>
        <w:tc>
          <w:tcPr>
            <w:tcW w:w="851" w:type="dxa"/>
            <w:tcBorders>
              <w:top w:val="single" w:sz="8" w:space="0" w:color="auto"/>
              <w:left w:val="nil"/>
              <w:bottom w:val="nil"/>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500</w:t>
            </w:r>
          </w:p>
        </w:tc>
        <w:tc>
          <w:tcPr>
            <w:tcW w:w="850" w:type="dxa"/>
            <w:tcBorders>
              <w:top w:val="single" w:sz="8" w:space="0" w:color="auto"/>
              <w:left w:val="nil"/>
              <w:bottom w:val="nil"/>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600</w:t>
            </w:r>
          </w:p>
        </w:tc>
        <w:tc>
          <w:tcPr>
            <w:tcW w:w="993" w:type="dxa"/>
            <w:tcBorders>
              <w:top w:val="single" w:sz="8" w:space="0" w:color="auto"/>
              <w:left w:val="nil"/>
              <w:bottom w:val="nil"/>
              <w:right w:val="single" w:sz="8"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700</w:t>
            </w:r>
          </w:p>
        </w:tc>
      </w:tr>
      <w:tr>
        <w:tblPrEx>
          <w:tblW w:w="12980" w:type="dxa"/>
          <w:tblInd w:w="-10" w:type="dxa"/>
          <w:tblLayout w:type="fixed"/>
          <w:tblCellMar>
            <w:left w:w="70" w:type="dxa"/>
            <w:right w:w="70" w:type="dxa"/>
          </w:tblCellMar>
          <w:tblLook w:val="04A0"/>
        </w:tblPrEx>
        <w:trPr>
          <w:trHeight w:val="264"/>
        </w:trPr>
        <w:tc>
          <w:tcPr>
            <w:tcW w:w="572" w:type="dxa"/>
            <w:vMerge/>
            <w:tcBorders>
              <w:top w:val="single" w:sz="8" w:space="0" w:color="auto"/>
              <w:left w:val="single" w:sz="8" w:space="0" w:color="auto"/>
              <w:bottom w:val="single" w:sz="8" w:space="0" w:color="000000"/>
              <w:right w:val="single" w:sz="8" w:space="0" w:color="auto"/>
            </w:tcBorders>
            <w:textDirection w:val="lrTb"/>
            <w:vAlign w:val="center"/>
            <w:hideMark/>
          </w:tcPr>
          <w:p w:rsidR="007F7CE5" w:rsidRPr="00FB3DF8" w:rsidP="000A62BA">
            <w:pPr>
              <w:bidi w:val="0"/>
              <w:spacing w:before="120" w:line="276" w:lineRule="auto"/>
              <w:rPr>
                <w:rFonts w:ascii="Book Antiqua" w:hAnsi="Book Antiqua" w:cs="Arial"/>
                <w:color w:val="000000"/>
                <w:sz w:val="22"/>
                <w:szCs w:val="22"/>
              </w:rPr>
            </w:pPr>
          </w:p>
        </w:tc>
        <w:tc>
          <w:tcPr>
            <w:tcW w:w="2500" w:type="dxa"/>
            <w:tcBorders>
              <w:top w:val="nil"/>
              <w:left w:val="nil"/>
              <w:bottom w:val="single" w:sz="4" w:space="0" w:color="auto"/>
              <w:right w:val="nil"/>
            </w:tcBorders>
            <w:noWrap/>
            <w:textDirection w:val="lrTb"/>
            <w:vAlign w:val="bottom"/>
            <w:hideMark/>
          </w:tcPr>
          <w:p w:rsidR="007F7CE5" w:rsidRPr="00FB3DF8" w:rsidP="000A62BA">
            <w:pPr>
              <w:bidi w:val="0"/>
              <w:spacing w:before="120" w:line="276" w:lineRule="auto"/>
              <w:rPr>
                <w:rFonts w:ascii="Book Antiqua" w:hAnsi="Book Antiqua"/>
                <w:color w:val="000000"/>
                <w:sz w:val="22"/>
                <w:szCs w:val="22"/>
              </w:rPr>
            </w:pPr>
            <w:r w:rsidRPr="00FB3DF8">
              <w:rPr>
                <w:rFonts w:ascii="Book Antiqua" w:hAnsi="Book Antiqua"/>
                <w:color w:val="000000"/>
                <w:sz w:val="22"/>
                <w:szCs w:val="22"/>
              </w:rPr>
              <w:t>rodičovský príspevok navrhovaný</w:t>
            </w:r>
          </w:p>
        </w:tc>
        <w:tc>
          <w:tcPr>
            <w:tcW w:w="694" w:type="dxa"/>
            <w:tcBorders>
              <w:top w:val="single" w:sz="8" w:space="0" w:color="auto"/>
              <w:left w:val="single" w:sz="8" w:space="0" w:color="auto"/>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235,7</w:t>
            </w:r>
          </w:p>
        </w:tc>
        <w:tc>
          <w:tcPr>
            <w:tcW w:w="709" w:type="dxa"/>
            <w:tcBorders>
              <w:top w:val="single" w:sz="8" w:space="0" w:color="auto"/>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235,7</w:t>
            </w:r>
          </w:p>
        </w:tc>
        <w:tc>
          <w:tcPr>
            <w:tcW w:w="708" w:type="dxa"/>
            <w:tcBorders>
              <w:top w:val="single" w:sz="8" w:space="0" w:color="auto"/>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235,7</w:t>
            </w:r>
          </w:p>
        </w:tc>
        <w:tc>
          <w:tcPr>
            <w:tcW w:w="709" w:type="dxa"/>
            <w:tcBorders>
              <w:top w:val="single" w:sz="8" w:space="0" w:color="auto"/>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235,7</w:t>
            </w:r>
          </w:p>
        </w:tc>
        <w:tc>
          <w:tcPr>
            <w:tcW w:w="851" w:type="dxa"/>
            <w:tcBorders>
              <w:top w:val="single" w:sz="8" w:space="0" w:color="auto"/>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235,7</w:t>
            </w:r>
          </w:p>
        </w:tc>
        <w:tc>
          <w:tcPr>
            <w:tcW w:w="992" w:type="dxa"/>
            <w:tcBorders>
              <w:top w:val="single" w:sz="8" w:space="0" w:color="auto"/>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235,7</w:t>
            </w:r>
          </w:p>
        </w:tc>
        <w:tc>
          <w:tcPr>
            <w:tcW w:w="850" w:type="dxa"/>
            <w:tcBorders>
              <w:top w:val="single" w:sz="8" w:space="0" w:color="auto"/>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235,7</w:t>
            </w:r>
          </w:p>
        </w:tc>
        <w:tc>
          <w:tcPr>
            <w:tcW w:w="851" w:type="dxa"/>
            <w:tcBorders>
              <w:top w:val="single" w:sz="8" w:space="0" w:color="auto"/>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235,7</w:t>
            </w:r>
          </w:p>
        </w:tc>
        <w:tc>
          <w:tcPr>
            <w:tcW w:w="850" w:type="dxa"/>
            <w:tcBorders>
              <w:top w:val="single" w:sz="8" w:space="0" w:color="auto"/>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235,7</w:t>
            </w:r>
          </w:p>
        </w:tc>
        <w:tc>
          <w:tcPr>
            <w:tcW w:w="851" w:type="dxa"/>
            <w:tcBorders>
              <w:top w:val="single" w:sz="8" w:space="0" w:color="auto"/>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235,7</w:t>
            </w:r>
          </w:p>
        </w:tc>
        <w:tc>
          <w:tcPr>
            <w:tcW w:w="850" w:type="dxa"/>
            <w:tcBorders>
              <w:top w:val="single" w:sz="8" w:space="0" w:color="auto"/>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235,7</w:t>
            </w:r>
          </w:p>
        </w:tc>
        <w:tc>
          <w:tcPr>
            <w:tcW w:w="993" w:type="dxa"/>
            <w:tcBorders>
              <w:top w:val="single" w:sz="8" w:space="0" w:color="auto"/>
              <w:left w:val="nil"/>
              <w:bottom w:val="single" w:sz="4" w:space="0" w:color="auto"/>
              <w:right w:val="single" w:sz="8"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235,7</w:t>
            </w:r>
          </w:p>
        </w:tc>
      </w:tr>
      <w:tr>
        <w:tblPrEx>
          <w:tblW w:w="12980" w:type="dxa"/>
          <w:tblInd w:w="-10" w:type="dxa"/>
          <w:tblLayout w:type="fixed"/>
          <w:tblCellMar>
            <w:left w:w="70" w:type="dxa"/>
            <w:right w:w="70" w:type="dxa"/>
          </w:tblCellMar>
          <w:tblLook w:val="04A0"/>
        </w:tblPrEx>
        <w:trPr>
          <w:trHeight w:val="276"/>
        </w:trPr>
        <w:tc>
          <w:tcPr>
            <w:tcW w:w="572" w:type="dxa"/>
            <w:vMerge/>
            <w:tcBorders>
              <w:top w:val="single" w:sz="8" w:space="0" w:color="auto"/>
              <w:left w:val="single" w:sz="8" w:space="0" w:color="auto"/>
              <w:bottom w:val="single" w:sz="8" w:space="0" w:color="000000"/>
              <w:right w:val="single" w:sz="8" w:space="0" w:color="auto"/>
            </w:tcBorders>
            <w:textDirection w:val="lrTb"/>
            <w:vAlign w:val="center"/>
            <w:hideMark/>
          </w:tcPr>
          <w:p w:rsidR="007F7CE5" w:rsidRPr="00FB3DF8" w:rsidP="000A62BA">
            <w:pPr>
              <w:bidi w:val="0"/>
              <w:spacing w:before="120" w:line="276" w:lineRule="auto"/>
              <w:rPr>
                <w:rFonts w:ascii="Book Antiqua" w:hAnsi="Book Antiqua" w:cs="Arial"/>
                <w:color w:val="000000"/>
                <w:sz w:val="22"/>
                <w:szCs w:val="22"/>
              </w:rPr>
            </w:pPr>
          </w:p>
        </w:tc>
        <w:tc>
          <w:tcPr>
            <w:tcW w:w="2500" w:type="dxa"/>
            <w:tcBorders>
              <w:top w:val="nil"/>
              <w:left w:val="nil"/>
              <w:bottom w:val="single" w:sz="4" w:space="0" w:color="auto"/>
              <w:right w:val="nil"/>
            </w:tcBorders>
            <w:noWrap/>
            <w:textDirection w:val="lrTb"/>
            <w:vAlign w:val="bottom"/>
            <w:hideMark/>
          </w:tcPr>
          <w:p w:rsidR="007F7CE5" w:rsidRPr="00FB3DF8" w:rsidP="000A62BA">
            <w:pPr>
              <w:bidi w:val="0"/>
              <w:spacing w:before="120" w:line="276" w:lineRule="auto"/>
              <w:rPr>
                <w:rFonts w:ascii="Book Antiqua" w:hAnsi="Book Antiqua"/>
                <w:color w:val="000000"/>
                <w:sz w:val="22"/>
                <w:szCs w:val="22"/>
              </w:rPr>
            </w:pPr>
            <w:r w:rsidRPr="00FB3DF8">
              <w:rPr>
                <w:rFonts w:ascii="Book Antiqua" w:hAnsi="Book Antiqua"/>
                <w:color w:val="000000"/>
                <w:sz w:val="22"/>
                <w:szCs w:val="22"/>
              </w:rPr>
              <w:t>rodičovský príspevok platný</w:t>
            </w:r>
          </w:p>
        </w:tc>
        <w:tc>
          <w:tcPr>
            <w:tcW w:w="694" w:type="dxa"/>
            <w:tcBorders>
              <w:top w:val="nil"/>
              <w:left w:val="single" w:sz="8" w:space="0" w:color="auto"/>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135,7</w:t>
            </w:r>
          </w:p>
        </w:tc>
        <w:tc>
          <w:tcPr>
            <w:tcW w:w="709" w:type="dxa"/>
            <w:tcBorders>
              <w:top w:val="nil"/>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115,7</w:t>
            </w:r>
          </w:p>
        </w:tc>
        <w:tc>
          <w:tcPr>
            <w:tcW w:w="708" w:type="dxa"/>
            <w:tcBorders>
              <w:top w:val="nil"/>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95,7</w:t>
            </w:r>
          </w:p>
        </w:tc>
        <w:tc>
          <w:tcPr>
            <w:tcW w:w="709" w:type="dxa"/>
            <w:tcBorders>
              <w:top w:val="nil"/>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75,7</w:t>
            </w:r>
          </w:p>
        </w:tc>
        <w:tc>
          <w:tcPr>
            <w:tcW w:w="851" w:type="dxa"/>
            <w:tcBorders>
              <w:top w:val="nil"/>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55,7</w:t>
            </w:r>
          </w:p>
        </w:tc>
        <w:tc>
          <w:tcPr>
            <w:tcW w:w="992" w:type="dxa"/>
            <w:tcBorders>
              <w:top w:val="nil"/>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35,7</w:t>
            </w:r>
          </w:p>
        </w:tc>
        <w:tc>
          <w:tcPr>
            <w:tcW w:w="850" w:type="dxa"/>
            <w:tcBorders>
              <w:top w:val="nil"/>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0,0</w:t>
            </w:r>
          </w:p>
        </w:tc>
        <w:tc>
          <w:tcPr>
            <w:tcW w:w="851" w:type="dxa"/>
            <w:tcBorders>
              <w:top w:val="nil"/>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0,0</w:t>
            </w:r>
          </w:p>
        </w:tc>
        <w:tc>
          <w:tcPr>
            <w:tcW w:w="850" w:type="dxa"/>
            <w:tcBorders>
              <w:top w:val="nil"/>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0,0</w:t>
            </w:r>
          </w:p>
        </w:tc>
        <w:tc>
          <w:tcPr>
            <w:tcW w:w="851" w:type="dxa"/>
            <w:tcBorders>
              <w:top w:val="nil"/>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0,0</w:t>
            </w:r>
          </w:p>
        </w:tc>
        <w:tc>
          <w:tcPr>
            <w:tcW w:w="850" w:type="dxa"/>
            <w:tcBorders>
              <w:top w:val="nil"/>
              <w:left w:val="nil"/>
              <w:bottom w:val="single" w:sz="4"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0,0</w:t>
            </w:r>
          </w:p>
        </w:tc>
        <w:tc>
          <w:tcPr>
            <w:tcW w:w="993" w:type="dxa"/>
            <w:tcBorders>
              <w:top w:val="nil"/>
              <w:left w:val="nil"/>
              <w:bottom w:val="single" w:sz="4" w:space="0" w:color="auto"/>
              <w:right w:val="single" w:sz="8"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color w:val="000000"/>
                <w:sz w:val="22"/>
                <w:szCs w:val="22"/>
              </w:rPr>
            </w:pPr>
            <w:r w:rsidRPr="00FB3DF8">
              <w:rPr>
                <w:rFonts w:ascii="Book Antiqua" w:hAnsi="Book Antiqua" w:cs="Arial"/>
                <w:color w:val="000000"/>
                <w:sz w:val="22"/>
                <w:szCs w:val="22"/>
              </w:rPr>
              <w:t>0,0</w:t>
            </w:r>
          </w:p>
        </w:tc>
      </w:tr>
      <w:tr>
        <w:tblPrEx>
          <w:tblW w:w="12980" w:type="dxa"/>
          <w:tblInd w:w="-10" w:type="dxa"/>
          <w:tblLayout w:type="fixed"/>
          <w:tblCellMar>
            <w:left w:w="70" w:type="dxa"/>
            <w:right w:w="70" w:type="dxa"/>
          </w:tblCellMar>
          <w:tblLook w:val="04A0"/>
        </w:tblPrEx>
        <w:trPr>
          <w:trHeight w:val="276"/>
        </w:trPr>
        <w:tc>
          <w:tcPr>
            <w:tcW w:w="572" w:type="dxa"/>
            <w:vMerge/>
            <w:tcBorders>
              <w:top w:val="single" w:sz="8" w:space="0" w:color="auto"/>
              <w:left w:val="single" w:sz="8" w:space="0" w:color="auto"/>
              <w:bottom w:val="single" w:sz="8" w:space="0" w:color="000000"/>
              <w:right w:val="single" w:sz="8" w:space="0" w:color="auto"/>
            </w:tcBorders>
            <w:textDirection w:val="lrTb"/>
            <w:vAlign w:val="center"/>
            <w:hideMark/>
          </w:tcPr>
          <w:p w:rsidR="007F7CE5" w:rsidRPr="00FB3DF8" w:rsidP="000A62BA">
            <w:pPr>
              <w:bidi w:val="0"/>
              <w:spacing w:before="120" w:line="276" w:lineRule="auto"/>
              <w:rPr>
                <w:rFonts w:ascii="Book Antiqua" w:hAnsi="Book Antiqua" w:cs="Arial"/>
                <w:color w:val="000000"/>
                <w:sz w:val="22"/>
                <w:szCs w:val="22"/>
              </w:rPr>
            </w:pPr>
          </w:p>
        </w:tc>
        <w:tc>
          <w:tcPr>
            <w:tcW w:w="2500" w:type="dxa"/>
            <w:tcBorders>
              <w:top w:val="single" w:sz="8" w:space="0" w:color="auto"/>
              <w:left w:val="nil"/>
              <w:bottom w:val="single" w:sz="8" w:space="0" w:color="auto"/>
              <w:right w:val="single" w:sz="8" w:space="0" w:color="auto"/>
            </w:tcBorders>
            <w:noWrap/>
            <w:textDirection w:val="lrTb"/>
            <w:vAlign w:val="bottom"/>
            <w:hideMark/>
          </w:tcPr>
          <w:p w:rsidR="007F7CE5" w:rsidRPr="00FB3DF8" w:rsidP="000A62BA">
            <w:pPr>
              <w:bidi w:val="0"/>
              <w:spacing w:before="120" w:line="276" w:lineRule="auto"/>
              <w:rPr>
                <w:rFonts w:ascii="Book Antiqua" w:hAnsi="Book Antiqua" w:cs="Arial"/>
                <w:b/>
                <w:bCs/>
                <w:sz w:val="22"/>
                <w:szCs w:val="22"/>
              </w:rPr>
            </w:pPr>
            <w:r w:rsidRPr="00FB3DF8">
              <w:rPr>
                <w:rFonts w:ascii="Book Antiqua" w:hAnsi="Book Antiqua" w:cs="Arial"/>
                <w:b/>
                <w:bCs/>
                <w:sz w:val="22"/>
                <w:szCs w:val="22"/>
              </w:rPr>
              <w:t>rozdiel</w:t>
            </w:r>
          </w:p>
        </w:tc>
        <w:tc>
          <w:tcPr>
            <w:tcW w:w="694" w:type="dxa"/>
            <w:tcBorders>
              <w:top w:val="single" w:sz="8" w:space="0" w:color="auto"/>
              <w:left w:val="nil"/>
              <w:bottom w:val="single" w:sz="8"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b/>
                <w:bCs/>
                <w:sz w:val="22"/>
                <w:szCs w:val="22"/>
              </w:rPr>
            </w:pPr>
            <w:r w:rsidRPr="00FB3DF8">
              <w:rPr>
                <w:rFonts w:ascii="Book Antiqua" w:hAnsi="Book Antiqua" w:cs="Arial"/>
                <w:b/>
                <w:bCs/>
                <w:sz w:val="22"/>
                <w:szCs w:val="22"/>
              </w:rPr>
              <w:t>100,0</w:t>
            </w:r>
          </w:p>
        </w:tc>
        <w:tc>
          <w:tcPr>
            <w:tcW w:w="709" w:type="dxa"/>
            <w:tcBorders>
              <w:top w:val="single" w:sz="8" w:space="0" w:color="auto"/>
              <w:left w:val="nil"/>
              <w:bottom w:val="single" w:sz="8"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b/>
                <w:bCs/>
                <w:sz w:val="22"/>
                <w:szCs w:val="22"/>
              </w:rPr>
            </w:pPr>
            <w:r w:rsidRPr="00FB3DF8">
              <w:rPr>
                <w:rFonts w:ascii="Book Antiqua" w:hAnsi="Book Antiqua" w:cs="Arial"/>
                <w:b/>
                <w:bCs/>
                <w:sz w:val="22"/>
                <w:szCs w:val="22"/>
              </w:rPr>
              <w:t>120,0</w:t>
            </w:r>
          </w:p>
        </w:tc>
        <w:tc>
          <w:tcPr>
            <w:tcW w:w="708" w:type="dxa"/>
            <w:tcBorders>
              <w:top w:val="single" w:sz="8" w:space="0" w:color="auto"/>
              <w:left w:val="nil"/>
              <w:bottom w:val="single" w:sz="8"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b/>
                <w:bCs/>
                <w:sz w:val="22"/>
                <w:szCs w:val="22"/>
              </w:rPr>
            </w:pPr>
            <w:r w:rsidRPr="00FB3DF8">
              <w:rPr>
                <w:rFonts w:ascii="Book Antiqua" w:hAnsi="Book Antiqua" w:cs="Arial"/>
                <w:b/>
                <w:bCs/>
                <w:sz w:val="22"/>
                <w:szCs w:val="22"/>
              </w:rPr>
              <w:t>140,0</w:t>
            </w:r>
          </w:p>
        </w:tc>
        <w:tc>
          <w:tcPr>
            <w:tcW w:w="709" w:type="dxa"/>
            <w:tcBorders>
              <w:top w:val="single" w:sz="8" w:space="0" w:color="auto"/>
              <w:left w:val="nil"/>
              <w:bottom w:val="single" w:sz="8"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b/>
                <w:bCs/>
                <w:sz w:val="22"/>
                <w:szCs w:val="22"/>
              </w:rPr>
            </w:pPr>
            <w:r w:rsidRPr="00FB3DF8">
              <w:rPr>
                <w:rFonts w:ascii="Book Antiqua" w:hAnsi="Book Antiqua" w:cs="Arial"/>
                <w:b/>
                <w:bCs/>
                <w:sz w:val="22"/>
                <w:szCs w:val="22"/>
              </w:rPr>
              <w:t>160,0</w:t>
            </w:r>
          </w:p>
        </w:tc>
        <w:tc>
          <w:tcPr>
            <w:tcW w:w="851" w:type="dxa"/>
            <w:tcBorders>
              <w:top w:val="single" w:sz="8" w:space="0" w:color="auto"/>
              <w:left w:val="nil"/>
              <w:bottom w:val="single" w:sz="8"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b/>
                <w:bCs/>
                <w:sz w:val="22"/>
                <w:szCs w:val="22"/>
              </w:rPr>
            </w:pPr>
            <w:r w:rsidRPr="00FB3DF8">
              <w:rPr>
                <w:rFonts w:ascii="Book Antiqua" w:hAnsi="Book Antiqua" w:cs="Arial"/>
                <w:b/>
                <w:bCs/>
                <w:sz w:val="22"/>
                <w:szCs w:val="22"/>
              </w:rPr>
              <w:t>180,0</w:t>
            </w:r>
          </w:p>
        </w:tc>
        <w:tc>
          <w:tcPr>
            <w:tcW w:w="992" w:type="dxa"/>
            <w:tcBorders>
              <w:top w:val="single" w:sz="8" w:space="0" w:color="auto"/>
              <w:left w:val="nil"/>
              <w:bottom w:val="single" w:sz="8"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b/>
                <w:bCs/>
                <w:sz w:val="22"/>
                <w:szCs w:val="22"/>
              </w:rPr>
            </w:pPr>
            <w:r w:rsidRPr="00FB3DF8">
              <w:rPr>
                <w:rFonts w:ascii="Book Antiqua" w:hAnsi="Book Antiqua" w:cs="Arial"/>
                <w:b/>
                <w:bCs/>
                <w:sz w:val="22"/>
                <w:szCs w:val="22"/>
              </w:rPr>
              <w:t>200,0</w:t>
            </w:r>
          </w:p>
        </w:tc>
        <w:tc>
          <w:tcPr>
            <w:tcW w:w="850" w:type="dxa"/>
            <w:tcBorders>
              <w:top w:val="single" w:sz="8" w:space="0" w:color="auto"/>
              <w:left w:val="nil"/>
              <w:bottom w:val="single" w:sz="8"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b/>
                <w:bCs/>
                <w:sz w:val="22"/>
                <w:szCs w:val="22"/>
              </w:rPr>
            </w:pPr>
            <w:r w:rsidRPr="00FB3DF8">
              <w:rPr>
                <w:rFonts w:ascii="Book Antiqua" w:hAnsi="Book Antiqua" w:cs="Arial"/>
                <w:b/>
                <w:bCs/>
                <w:sz w:val="22"/>
                <w:szCs w:val="22"/>
              </w:rPr>
              <w:t>235,7</w:t>
            </w:r>
          </w:p>
        </w:tc>
        <w:tc>
          <w:tcPr>
            <w:tcW w:w="851" w:type="dxa"/>
            <w:tcBorders>
              <w:top w:val="single" w:sz="8" w:space="0" w:color="auto"/>
              <w:left w:val="nil"/>
              <w:bottom w:val="single" w:sz="8"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b/>
                <w:bCs/>
                <w:sz w:val="22"/>
                <w:szCs w:val="22"/>
              </w:rPr>
            </w:pPr>
            <w:r w:rsidRPr="00FB3DF8">
              <w:rPr>
                <w:rFonts w:ascii="Book Antiqua" w:hAnsi="Book Antiqua" w:cs="Arial"/>
                <w:b/>
                <w:bCs/>
                <w:sz w:val="22"/>
                <w:szCs w:val="22"/>
              </w:rPr>
              <w:t>235,7</w:t>
            </w:r>
          </w:p>
        </w:tc>
        <w:tc>
          <w:tcPr>
            <w:tcW w:w="850" w:type="dxa"/>
            <w:tcBorders>
              <w:top w:val="single" w:sz="8" w:space="0" w:color="auto"/>
              <w:left w:val="nil"/>
              <w:bottom w:val="single" w:sz="8"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b/>
                <w:bCs/>
                <w:sz w:val="22"/>
                <w:szCs w:val="22"/>
              </w:rPr>
            </w:pPr>
            <w:r w:rsidRPr="00FB3DF8">
              <w:rPr>
                <w:rFonts w:ascii="Book Antiqua" w:hAnsi="Book Antiqua" w:cs="Arial"/>
                <w:b/>
                <w:bCs/>
                <w:sz w:val="22"/>
                <w:szCs w:val="22"/>
              </w:rPr>
              <w:t>235,7</w:t>
            </w:r>
          </w:p>
        </w:tc>
        <w:tc>
          <w:tcPr>
            <w:tcW w:w="851" w:type="dxa"/>
            <w:tcBorders>
              <w:top w:val="single" w:sz="8" w:space="0" w:color="auto"/>
              <w:left w:val="nil"/>
              <w:bottom w:val="single" w:sz="8"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b/>
                <w:bCs/>
                <w:sz w:val="22"/>
                <w:szCs w:val="22"/>
              </w:rPr>
            </w:pPr>
            <w:r w:rsidRPr="00FB3DF8">
              <w:rPr>
                <w:rFonts w:ascii="Book Antiqua" w:hAnsi="Book Antiqua" w:cs="Arial"/>
                <w:b/>
                <w:bCs/>
                <w:sz w:val="22"/>
                <w:szCs w:val="22"/>
              </w:rPr>
              <w:t>235,7</w:t>
            </w:r>
          </w:p>
        </w:tc>
        <w:tc>
          <w:tcPr>
            <w:tcW w:w="850" w:type="dxa"/>
            <w:tcBorders>
              <w:top w:val="single" w:sz="8" w:space="0" w:color="auto"/>
              <w:left w:val="nil"/>
              <w:bottom w:val="single" w:sz="8" w:space="0" w:color="auto"/>
              <w:right w:val="single" w:sz="4"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b/>
                <w:bCs/>
                <w:sz w:val="22"/>
                <w:szCs w:val="22"/>
              </w:rPr>
            </w:pPr>
            <w:r w:rsidRPr="00FB3DF8">
              <w:rPr>
                <w:rFonts w:ascii="Book Antiqua" w:hAnsi="Book Antiqua" w:cs="Arial"/>
                <w:b/>
                <w:bCs/>
                <w:sz w:val="22"/>
                <w:szCs w:val="22"/>
              </w:rPr>
              <w:t>235,7</w:t>
            </w:r>
          </w:p>
        </w:tc>
        <w:tc>
          <w:tcPr>
            <w:tcW w:w="993" w:type="dxa"/>
            <w:tcBorders>
              <w:top w:val="single" w:sz="8" w:space="0" w:color="auto"/>
              <w:left w:val="nil"/>
              <w:bottom w:val="single" w:sz="8" w:space="0" w:color="auto"/>
              <w:right w:val="single" w:sz="8" w:space="0" w:color="auto"/>
            </w:tcBorders>
            <w:noWrap/>
            <w:textDirection w:val="lrTb"/>
            <w:vAlign w:val="bottom"/>
            <w:hideMark/>
          </w:tcPr>
          <w:p w:rsidR="007F7CE5" w:rsidRPr="00FB3DF8" w:rsidP="000A62BA">
            <w:pPr>
              <w:bidi w:val="0"/>
              <w:spacing w:before="120" w:line="276" w:lineRule="auto"/>
              <w:jc w:val="center"/>
              <w:rPr>
                <w:rFonts w:ascii="Book Antiqua" w:hAnsi="Book Antiqua" w:cs="Arial"/>
                <w:b/>
                <w:bCs/>
                <w:sz w:val="22"/>
                <w:szCs w:val="22"/>
              </w:rPr>
            </w:pPr>
            <w:r w:rsidRPr="00FB3DF8">
              <w:rPr>
                <w:rFonts w:ascii="Book Antiqua" w:hAnsi="Book Antiqua" w:cs="Arial"/>
                <w:b/>
                <w:bCs/>
                <w:sz w:val="22"/>
                <w:szCs w:val="22"/>
              </w:rPr>
              <w:t>235,7</w:t>
            </w:r>
          </w:p>
        </w:tc>
      </w:tr>
    </w:tbl>
    <w:p w:rsidR="003B0671" w:rsidRPr="00FB3DF8" w:rsidP="000A62BA">
      <w:pPr>
        <w:bidi w:val="0"/>
        <w:spacing w:before="120" w:line="276" w:lineRule="auto"/>
        <w:jc w:val="both"/>
        <w:rPr>
          <w:rFonts w:ascii="Book Antiqua" w:hAnsi="Book Antiqua"/>
          <w:b/>
          <w:bCs/>
          <w:color w:val="000000"/>
          <w:sz w:val="22"/>
          <w:szCs w:val="22"/>
        </w:rPr>
      </w:pPr>
    </w:p>
    <w:p w:rsidR="00852AF8" w:rsidRPr="00FB3DF8" w:rsidP="000A62BA">
      <w:pPr>
        <w:bidi w:val="0"/>
        <w:spacing w:before="120" w:line="276" w:lineRule="auto"/>
        <w:jc w:val="both"/>
        <w:rPr>
          <w:rFonts w:ascii="Book Antiqua" w:hAnsi="Book Antiqua"/>
          <w:b/>
          <w:bCs/>
          <w:color w:val="000000"/>
          <w:sz w:val="22"/>
          <w:szCs w:val="22"/>
        </w:rPr>
      </w:pPr>
    </w:p>
    <w:p w:rsidR="00852AF8" w:rsidRPr="00FB3DF8" w:rsidP="000A62BA">
      <w:pPr>
        <w:bidi w:val="0"/>
        <w:spacing w:before="120" w:line="276" w:lineRule="auto"/>
        <w:jc w:val="both"/>
        <w:rPr>
          <w:rFonts w:ascii="Book Antiqua" w:hAnsi="Book Antiqua"/>
          <w:b/>
          <w:bCs/>
          <w:color w:val="000000"/>
          <w:sz w:val="22"/>
          <w:szCs w:val="22"/>
        </w:rPr>
        <w:sectPr w:rsidSect="003B0671">
          <w:pgSz w:w="16838" w:h="11906" w:orient="landscape"/>
          <w:pgMar w:top="1417" w:right="1417" w:bottom="1417" w:left="1417" w:header="708" w:footer="708" w:gutter="0"/>
          <w:lnNumType w:distance="0"/>
          <w:cols w:space="708"/>
          <w:noEndnote w:val="0"/>
          <w:bidi w:val="0"/>
          <w:docGrid w:linePitch="360"/>
        </w:sectPr>
      </w:pPr>
    </w:p>
    <w:p w:rsidR="003B0671" w:rsidRPr="00FB3DF8" w:rsidP="000A62BA">
      <w:pPr>
        <w:bidi w:val="0"/>
        <w:spacing w:before="120" w:line="276" w:lineRule="auto"/>
        <w:jc w:val="both"/>
        <w:rPr>
          <w:rFonts w:ascii="Book Antiqua" w:hAnsi="Book Antiqua"/>
          <w:b/>
          <w:bCs/>
          <w:color w:val="000000"/>
          <w:sz w:val="22"/>
          <w:szCs w:val="22"/>
        </w:rPr>
      </w:pPr>
      <w:r w:rsidRPr="00FB3DF8" w:rsidR="00EB0847">
        <w:rPr>
          <w:rFonts w:ascii="Book Antiqua" w:hAnsi="Book Antiqua"/>
          <w:b/>
          <w:bCs/>
          <w:color w:val="000000"/>
          <w:sz w:val="22"/>
          <w:szCs w:val="22"/>
        </w:rPr>
        <w:t>A.4. Alternatívne riešenia</w:t>
      </w:r>
    </w:p>
    <w:p w:rsidR="00EB0847" w:rsidRPr="00FB3DF8" w:rsidP="000A62BA">
      <w:pPr>
        <w:bidi w:val="0"/>
        <w:spacing w:before="120" w:line="276" w:lineRule="auto"/>
        <w:jc w:val="both"/>
        <w:rPr>
          <w:rFonts w:ascii="Book Antiqua" w:hAnsi="Book Antiqua"/>
          <w:b/>
          <w:bCs/>
          <w:color w:val="000000"/>
          <w:sz w:val="22"/>
          <w:szCs w:val="22"/>
        </w:rPr>
      </w:pPr>
      <w:r w:rsidRPr="00FB3DF8">
        <w:rPr>
          <w:rFonts w:ascii="Book Antiqua" w:hAnsi="Book Antiqua"/>
          <w:i/>
          <w:color w:val="000000"/>
          <w:sz w:val="22"/>
          <w:szCs w:val="22"/>
        </w:rPr>
        <w:t>bezpredmetné </w:t>
      </w:r>
    </w:p>
    <w:p w:rsidR="00D74EC7" w:rsidRPr="00FB3DF8" w:rsidP="000A62BA">
      <w:pPr>
        <w:bidi w:val="0"/>
        <w:spacing w:before="120" w:line="276" w:lineRule="auto"/>
        <w:jc w:val="both"/>
        <w:rPr>
          <w:rFonts w:ascii="Book Antiqua" w:hAnsi="Book Antiqua"/>
          <w:b/>
          <w:bCs/>
          <w:i/>
          <w:color w:val="000000"/>
          <w:sz w:val="22"/>
          <w:szCs w:val="22"/>
        </w:rPr>
      </w:pPr>
    </w:p>
    <w:p w:rsidR="00EB0847" w:rsidRPr="00FB3DF8" w:rsidP="000A62BA">
      <w:pPr>
        <w:pStyle w:val="NormalWeb"/>
        <w:bidi w:val="0"/>
        <w:spacing w:before="120" w:beforeAutospacing="0" w:after="0" w:afterAutospacing="0" w:line="276" w:lineRule="auto"/>
        <w:ind w:left="567" w:hanging="567"/>
        <w:jc w:val="both"/>
        <w:rPr>
          <w:rFonts w:ascii="Book Antiqua" w:hAnsi="Book Antiqua"/>
          <w:sz w:val="22"/>
          <w:szCs w:val="22"/>
        </w:rPr>
      </w:pPr>
      <w:r w:rsidRPr="00FB3DF8">
        <w:rPr>
          <w:rFonts w:ascii="Book Antiqua" w:hAnsi="Book Antiqua"/>
          <w:b/>
          <w:bCs/>
          <w:sz w:val="22"/>
          <w:szCs w:val="22"/>
        </w:rPr>
        <w:t xml:space="preserve">A.5. </w:t>
        <w:tab/>
        <w:t>Stanovisko gestorov</w:t>
      </w:r>
    </w:p>
    <w:p w:rsidR="00A402AC" w:rsidRPr="00FB3DF8" w:rsidP="000A62BA">
      <w:pPr>
        <w:pStyle w:val="NormalWeb"/>
        <w:bidi w:val="0"/>
        <w:spacing w:before="120" w:beforeAutospacing="0" w:after="0" w:afterAutospacing="0" w:line="276" w:lineRule="auto"/>
        <w:jc w:val="both"/>
        <w:rPr>
          <w:rFonts w:ascii="Book Antiqua" w:hAnsi="Book Antiqua"/>
          <w:sz w:val="22"/>
          <w:szCs w:val="22"/>
        </w:rPr>
      </w:pPr>
      <w:r w:rsidRPr="00FB3DF8" w:rsidR="00EB0847">
        <w:rPr>
          <w:rFonts w:ascii="Book Antiqua" w:hAnsi="Book Antiqua"/>
          <w:i/>
          <w:iCs/>
          <w:color w:val="000000"/>
          <w:sz w:val="22"/>
          <w:szCs w:val="22"/>
        </w:rPr>
        <w:t>Návrh zákona bol zaslaný na vyjadrenie Ministerstvu financií SR a stanovisko tohto ministerstva tvorí súčasť predkladaného materiálu.</w:t>
      </w:r>
    </w:p>
    <w:sectPr w:rsidSect="0012150F">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Segoe UI">
    <w:altName w:val="Athelas Italic"/>
    <w:panose1 w:val="00000000000000000000"/>
    <w:charset w:val="EE"/>
    <w:family w:val="swiss"/>
    <w:pitch w:val="variable"/>
    <w:sig w:usb0="00000000" w:usb1="00000000" w:usb2="00000000" w:usb3="00000000" w:csb0="000001FF" w:csb1="00000000"/>
  </w:font>
  <w:font w:name="Cambria">
    <w:altName w:val="Palatino Linotype"/>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Book Antiqua">
    <w:altName w:val="Book Antiqua"/>
    <w:panose1 w:val="02040602050305030304"/>
    <w:charset w:val="EE"/>
    <w:family w:val="roman"/>
    <w:pitch w:val="variable"/>
    <w:sig w:usb0="00000000" w:usb1="00000000" w:usb2="00000000" w:usb3="00000000" w:csb0="0000009F" w:csb1="00000000"/>
  </w:font>
  <w:font w:name="Times">
    <w:panose1 w:val="00000000000000000000"/>
    <w:charset w:val="EE"/>
    <w:family w:val="roman"/>
    <w:pitch w:val="variable"/>
    <w:sig w:usb0="00000000" w:usb1="00000000" w:usb2="00000000" w:usb3="00000000" w:csb0="000001FF" w:csb1="00000000"/>
  </w:font>
  <w:font w:name="Lucida Grande">
    <w:altName w:val="Arial"/>
    <w:panose1 w:val="020B0600040502020204"/>
    <w:charset w:val="00"/>
    <w:family w:val="auto"/>
    <w:pitch w:val="variable"/>
    <w:sig w:usb0="00000000" w:usb1="00000000" w:usb2="00000000" w:usb3="00000000" w:csb0="00000001" w:csb1="00000000"/>
  </w:font>
  <w:font w:name="Calibri Light">
    <w:panose1 w:val="020F03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F19D5"/>
    <w:multiLevelType w:val="hybridMultilevel"/>
    <w:tmpl w:val="90A6B90A"/>
    <w:lvl w:ilvl="0">
      <w:start w:val="1"/>
      <w:numFmt w:val="bullet"/>
      <w:lvlText w:val=""/>
      <w:lvlJc w:val="left"/>
      <w:pPr>
        <w:ind w:left="1434" w:hanging="360"/>
      </w:pPr>
      <w:rPr>
        <w:rFonts w:ascii="Symbol" w:hAnsi="Symbol" w:hint="default"/>
      </w:rPr>
    </w:lvl>
    <w:lvl w:ilvl="1">
      <w:start w:val="1"/>
      <w:numFmt w:val="bullet"/>
      <w:lvlText w:val="o"/>
      <w:lvlJc w:val="left"/>
      <w:pPr>
        <w:ind w:left="2154" w:hanging="360"/>
      </w:pPr>
      <w:rPr>
        <w:rFonts w:ascii="Courier New" w:hAnsi="Courier New" w:hint="default"/>
      </w:rPr>
    </w:lvl>
    <w:lvl w:ilvl="2">
      <w:start w:val="1"/>
      <w:numFmt w:val="bullet"/>
      <w:lvlText w:val=""/>
      <w:lvlJc w:val="left"/>
      <w:pPr>
        <w:ind w:left="2874" w:hanging="360"/>
      </w:pPr>
      <w:rPr>
        <w:rFonts w:ascii="Wingdings" w:hAnsi="Wingdings" w:hint="default"/>
      </w:rPr>
    </w:lvl>
    <w:lvl w:ilvl="3">
      <w:start w:val="1"/>
      <w:numFmt w:val="bullet"/>
      <w:lvlText w:val=""/>
      <w:lvlJc w:val="left"/>
      <w:pPr>
        <w:ind w:left="3594" w:hanging="360"/>
      </w:pPr>
      <w:rPr>
        <w:rFonts w:ascii="Symbol" w:hAnsi="Symbol" w:hint="default"/>
      </w:rPr>
    </w:lvl>
    <w:lvl w:ilvl="4">
      <w:start w:val="1"/>
      <w:numFmt w:val="bullet"/>
      <w:lvlText w:val="o"/>
      <w:lvlJc w:val="left"/>
      <w:pPr>
        <w:ind w:left="4314" w:hanging="360"/>
      </w:pPr>
      <w:rPr>
        <w:rFonts w:ascii="Courier New" w:hAnsi="Courier New" w:hint="default"/>
      </w:rPr>
    </w:lvl>
    <w:lvl w:ilvl="5">
      <w:start w:val="1"/>
      <w:numFmt w:val="bullet"/>
      <w:lvlText w:val=""/>
      <w:lvlJc w:val="left"/>
      <w:pPr>
        <w:ind w:left="5034" w:hanging="360"/>
      </w:pPr>
      <w:rPr>
        <w:rFonts w:ascii="Wingdings" w:hAnsi="Wingdings" w:hint="default"/>
      </w:rPr>
    </w:lvl>
    <w:lvl w:ilvl="6">
      <w:start w:val="1"/>
      <w:numFmt w:val="bullet"/>
      <w:lvlText w:val=""/>
      <w:lvlJc w:val="left"/>
      <w:pPr>
        <w:ind w:left="5754" w:hanging="360"/>
      </w:pPr>
      <w:rPr>
        <w:rFonts w:ascii="Symbol" w:hAnsi="Symbol" w:hint="default"/>
      </w:rPr>
    </w:lvl>
    <w:lvl w:ilvl="7">
      <w:start w:val="1"/>
      <w:numFmt w:val="bullet"/>
      <w:lvlText w:val="o"/>
      <w:lvlJc w:val="left"/>
      <w:pPr>
        <w:ind w:left="6474" w:hanging="360"/>
      </w:pPr>
      <w:rPr>
        <w:rFonts w:ascii="Courier New" w:hAnsi="Courier New" w:hint="default"/>
      </w:rPr>
    </w:lvl>
    <w:lvl w:ilvl="8">
      <w:start w:val="1"/>
      <w:numFmt w:val="bullet"/>
      <w:lvlText w:val=""/>
      <w:lvlJc w:val="left"/>
      <w:pPr>
        <w:ind w:left="7194" w:hanging="360"/>
      </w:pPr>
      <w:rPr>
        <w:rFonts w:ascii="Wingdings" w:hAnsi="Wingdings" w:hint="default"/>
      </w:rPr>
    </w:lvl>
  </w:abstractNum>
  <w:abstractNum w:abstractNumId="1">
    <w:nsid w:val="184710FE"/>
    <w:multiLevelType w:val="hybridMultilevel"/>
    <w:tmpl w:val="47FAD58E"/>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2">
    <w:nsid w:val="20267904"/>
    <w:multiLevelType w:val="hybridMultilevel"/>
    <w:tmpl w:val="BAB673D4"/>
    <w:lvl w:ilvl="0">
      <w:start w:val="1"/>
      <w:numFmt w:val="lowerLetter"/>
      <w:lvlText w:val="%1)"/>
      <w:lvlJc w:val="left"/>
      <w:pPr>
        <w:ind w:left="1504" w:hanging="360"/>
      </w:pPr>
      <w:rPr>
        <w:rFonts w:ascii="Book Antiqua" w:hAnsi="Book Antiqua" w:cs="Helvetica" w:hint="default"/>
        <w:color w:val="auto"/>
        <w:sz w:val="22"/>
        <w:szCs w:val="22"/>
        <w:rtl w:val="0"/>
        <w:cs w:val="0"/>
      </w:rPr>
    </w:lvl>
    <w:lvl w:ilvl="1">
      <w:start w:val="1"/>
      <w:numFmt w:val="lowerLetter"/>
      <w:lvlText w:val="%2."/>
      <w:lvlJc w:val="left"/>
      <w:pPr>
        <w:ind w:left="2224" w:hanging="360"/>
      </w:pPr>
      <w:rPr>
        <w:rFonts w:cs="Times New Roman"/>
        <w:rtl w:val="0"/>
        <w:cs w:val="0"/>
      </w:rPr>
    </w:lvl>
    <w:lvl w:ilvl="2">
      <w:start w:val="1"/>
      <w:numFmt w:val="lowerRoman"/>
      <w:lvlText w:val="%3."/>
      <w:lvlJc w:val="right"/>
      <w:pPr>
        <w:ind w:left="2944" w:hanging="180"/>
      </w:pPr>
      <w:rPr>
        <w:rFonts w:cs="Times New Roman"/>
        <w:rtl w:val="0"/>
        <w:cs w:val="0"/>
      </w:rPr>
    </w:lvl>
    <w:lvl w:ilvl="3">
      <w:start w:val="1"/>
      <w:numFmt w:val="decimal"/>
      <w:lvlText w:val="%4."/>
      <w:lvlJc w:val="left"/>
      <w:pPr>
        <w:ind w:left="3664" w:hanging="360"/>
      </w:pPr>
      <w:rPr>
        <w:rFonts w:cs="Times New Roman"/>
        <w:rtl w:val="0"/>
        <w:cs w:val="0"/>
      </w:rPr>
    </w:lvl>
    <w:lvl w:ilvl="4">
      <w:start w:val="1"/>
      <w:numFmt w:val="lowerLetter"/>
      <w:lvlText w:val="%5."/>
      <w:lvlJc w:val="left"/>
      <w:pPr>
        <w:ind w:left="4384" w:hanging="360"/>
      </w:pPr>
      <w:rPr>
        <w:rFonts w:cs="Times New Roman"/>
        <w:rtl w:val="0"/>
        <w:cs w:val="0"/>
      </w:rPr>
    </w:lvl>
    <w:lvl w:ilvl="5">
      <w:start w:val="1"/>
      <w:numFmt w:val="lowerRoman"/>
      <w:lvlText w:val="%6."/>
      <w:lvlJc w:val="right"/>
      <w:pPr>
        <w:ind w:left="5104" w:hanging="180"/>
      </w:pPr>
      <w:rPr>
        <w:rFonts w:cs="Times New Roman"/>
        <w:rtl w:val="0"/>
        <w:cs w:val="0"/>
      </w:rPr>
    </w:lvl>
    <w:lvl w:ilvl="6">
      <w:start w:val="1"/>
      <w:numFmt w:val="decimal"/>
      <w:lvlText w:val="%7."/>
      <w:lvlJc w:val="left"/>
      <w:pPr>
        <w:ind w:left="5824" w:hanging="360"/>
      </w:pPr>
      <w:rPr>
        <w:rFonts w:cs="Times New Roman"/>
        <w:rtl w:val="0"/>
        <w:cs w:val="0"/>
      </w:rPr>
    </w:lvl>
    <w:lvl w:ilvl="7">
      <w:start w:val="1"/>
      <w:numFmt w:val="lowerLetter"/>
      <w:lvlText w:val="%8."/>
      <w:lvlJc w:val="left"/>
      <w:pPr>
        <w:ind w:left="6544" w:hanging="360"/>
      </w:pPr>
      <w:rPr>
        <w:rFonts w:cs="Times New Roman"/>
        <w:rtl w:val="0"/>
        <w:cs w:val="0"/>
      </w:rPr>
    </w:lvl>
    <w:lvl w:ilvl="8">
      <w:start w:val="1"/>
      <w:numFmt w:val="lowerRoman"/>
      <w:lvlText w:val="%9."/>
      <w:lvlJc w:val="right"/>
      <w:pPr>
        <w:ind w:left="7264" w:hanging="180"/>
      </w:pPr>
      <w:rPr>
        <w:rFonts w:cs="Times New Roman"/>
        <w:rtl w:val="0"/>
        <w:cs w:val="0"/>
      </w:rPr>
    </w:lvl>
  </w:abstractNum>
  <w:abstractNum w:abstractNumId="3">
    <w:nsid w:val="21B315FB"/>
    <w:multiLevelType w:val="hybridMultilevel"/>
    <w:tmpl w:val="D1066E76"/>
    <w:lvl w:ilvl="0">
      <w:start w:val="1"/>
      <w:numFmt w:val="bullet"/>
      <w:lvlText w:val="o"/>
      <w:lvlJc w:val="left"/>
      <w:pPr>
        <w:ind w:left="1788" w:hanging="360"/>
      </w:pPr>
      <w:rPr>
        <w:rFonts w:ascii="Courier New" w:hAnsi="Courier New" w:hint="default"/>
      </w:rPr>
    </w:lvl>
    <w:lvl w:ilvl="1">
      <w:start w:val="1"/>
      <w:numFmt w:val="bullet"/>
      <w:lvlText w:val="o"/>
      <w:lvlJc w:val="left"/>
      <w:pPr>
        <w:ind w:left="2508" w:hanging="360"/>
      </w:pPr>
      <w:rPr>
        <w:rFonts w:ascii="Courier New" w:hAnsi="Courier New" w:hint="default"/>
      </w:rPr>
    </w:lvl>
    <w:lvl w:ilvl="2">
      <w:start w:val="1"/>
      <w:numFmt w:val="bullet"/>
      <w:lvlText w:val=""/>
      <w:lvlJc w:val="left"/>
      <w:pPr>
        <w:ind w:left="3228" w:hanging="360"/>
      </w:pPr>
      <w:rPr>
        <w:rFonts w:ascii="Wingdings" w:hAnsi="Wingdings" w:hint="default"/>
      </w:rPr>
    </w:lvl>
    <w:lvl w:ilvl="3">
      <w:start w:val="1"/>
      <w:numFmt w:val="bullet"/>
      <w:lvlText w:val=""/>
      <w:lvlJc w:val="left"/>
      <w:pPr>
        <w:ind w:left="3948" w:hanging="360"/>
      </w:pPr>
      <w:rPr>
        <w:rFonts w:ascii="Symbol" w:hAnsi="Symbol" w:hint="default"/>
      </w:rPr>
    </w:lvl>
    <w:lvl w:ilvl="4">
      <w:start w:val="1"/>
      <w:numFmt w:val="bullet"/>
      <w:lvlText w:val="o"/>
      <w:lvlJc w:val="left"/>
      <w:pPr>
        <w:ind w:left="4668" w:hanging="360"/>
      </w:pPr>
      <w:rPr>
        <w:rFonts w:ascii="Courier New" w:hAnsi="Courier New" w:hint="default"/>
      </w:rPr>
    </w:lvl>
    <w:lvl w:ilvl="5">
      <w:start w:val="1"/>
      <w:numFmt w:val="bullet"/>
      <w:lvlText w:val=""/>
      <w:lvlJc w:val="left"/>
      <w:pPr>
        <w:ind w:left="5388" w:hanging="360"/>
      </w:pPr>
      <w:rPr>
        <w:rFonts w:ascii="Wingdings" w:hAnsi="Wingdings" w:hint="default"/>
      </w:rPr>
    </w:lvl>
    <w:lvl w:ilvl="6">
      <w:start w:val="1"/>
      <w:numFmt w:val="bullet"/>
      <w:lvlText w:val=""/>
      <w:lvlJc w:val="left"/>
      <w:pPr>
        <w:ind w:left="6108" w:hanging="360"/>
      </w:pPr>
      <w:rPr>
        <w:rFonts w:ascii="Symbol" w:hAnsi="Symbol" w:hint="default"/>
      </w:rPr>
    </w:lvl>
    <w:lvl w:ilvl="7">
      <w:start w:val="1"/>
      <w:numFmt w:val="bullet"/>
      <w:lvlText w:val="o"/>
      <w:lvlJc w:val="left"/>
      <w:pPr>
        <w:ind w:left="6828" w:hanging="360"/>
      </w:pPr>
      <w:rPr>
        <w:rFonts w:ascii="Courier New" w:hAnsi="Courier New" w:hint="default"/>
      </w:rPr>
    </w:lvl>
    <w:lvl w:ilvl="8">
      <w:start w:val="1"/>
      <w:numFmt w:val="bullet"/>
      <w:lvlText w:val=""/>
      <w:lvlJc w:val="left"/>
      <w:pPr>
        <w:ind w:left="7548" w:hanging="360"/>
      </w:pPr>
      <w:rPr>
        <w:rFonts w:ascii="Wingdings" w:hAnsi="Wingdings" w:hint="default"/>
      </w:rPr>
    </w:lvl>
  </w:abstractNum>
  <w:abstractNum w:abstractNumId="4">
    <w:nsid w:val="248654AE"/>
    <w:multiLevelType w:val="hybridMultilevel"/>
    <w:tmpl w:val="C31C83FE"/>
    <w:lvl w:ilvl="0">
      <w:start w:val="1"/>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2B1D2BB3"/>
    <w:multiLevelType w:val="hybridMultilevel"/>
    <w:tmpl w:val="715EBC10"/>
    <w:lvl w:ilvl="0">
      <w:start w:val="1"/>
      <w:numFmt w:val="decimal"/>
      <w:lvlText w:val="%1."/>
      <w:lvlJc w:val="left"/>
      <w:pPr>
        <w:ind w:left="1068" w:hanging="360"/>
      </w:pPr>
      <w:rPr>
        <w:rFonts w:ascii="Book Antiqua" w:eastAsia="Times New Roman" w:hAnsi="Book Antiqua"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6">
    <w:nsid w:val="2B837367"/>
    <w:multiLevelType w:val="hybridMultilevel"/>
    <w:tmpl w:val="33A6F3B8"/>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7">
    <w:nsid w:val="2D7523F2"/>
    <w:multiLevelType w:val="hybridMultilevel"/>
    <w:tmpl w:val="F3967982"/>
    <w:lvl w:ilvl="0">
      <w:start w:val="1"/>
      <w:numFmt w:val="decimal"/>
      <w:lvlText w:val="%1."/>
      <w:lvlJc w:val="left"/>
      <w:pPr>
        <w:ind w:left="720" w:hanging="36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2F7F45AB"/>
    <w:multiLevelType w:val="hybridMultilevel"/>
    <w:tmpl w:val="1354DB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31CD478A"/>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348872FA"/>
    <w:multiLevelType w:val="hybridMultilevel"/>
    <w:tmpl w:val="7678580E"/>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11">
    <w:nsid w:val="361513C2"/>
    <w:multiLevelType w:val="hybridMultilevel"/>
    <w:tmpl w:val="5476A742"/>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12">
    <w:nsid w:val="3CD91F18"/>
    <w:multiLevelType w:val="hybridMultilevel"/>
    <w:tmpl w:val="02889BB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413D777E"/>
    <w:multiLevelType w:val="hybridMultilevel"/>
    <w:tmpl w:val="DDCEE6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455639C9"/>
    <w:multiLevelType w:val="hybridMultilevel"/>
    <w:tmpl w:val="38F69CA4"/>
    <w:lvl w:ilvl="0">
      <w:start w:val="5"/>
      <w:numFmt w:val="decimal"/>
      <w:lvlText w:val="%1."/>
      <w:lvlJc w:val="left"/>
      <w:pPr>
        <w:tabs>
          <w:tab w:val="num" w:pos="284"/>
        </w:tabs>
        <w:ind w:left="284" w:hanging="284"/>
      </w:pPr>
      <w:rPr>
        <w:rFonts w:cs="Times New Roman"/>
        <w:b/>
        <w:i w:val="0"/>
        <w:rtl w:val="0"/>
        <w:cs w:val="0"/>
      </w:rPr>
    </w:lvl>
    <w:lvl w:ilvl="1">
      <w:start w:val="6"/>
      <w:numFmt w:val="decimal"/>
      <w:lvlText w:val="%2."/>
      <w:lvlJc w:val="left"/>
      <w:pPr>
        <w:tabs>
          <w:tab w:val="num" w:pos="227"/>
        </w:tabs>
        <w:ind w:left="227" w:hanging="284"/>
      </w:pPr>
      <w:rPr>
        <w:rFonts w:cs="Times New Roman"/>
        <w:b/>
        <w:i w:val="0"/>
        <w:rtl w:val="0"/>
        <w:cs w:val="0"/>
      </w:rPr>
    </w:lvl>
    <w:lvl w:ilvl="2">
      <w:start w:val="1"/>
      <w:numFmt w:val="lowerRoman"/>
      <w:lvlText w:val="%3."/>
      <w:lvlJc w:val="right"/>
      <w:pPr>
        <w:tabs>
          <w:tab w:val="num" w:pos="2103"/>
        </w:tabs>
        <w:ind w:left="2103" w:hanging="180"/>
      </w:pPr>
      <w:rPr>
        <w:rFonts w:cs="Times New Roman"/>
        <w:rtl w:val="0"/>
        <w:cs w:val="0"/>
      </w:rPr>
    </w:lvl>
    <w:lvl w:ilvl="3">
      <w:start w:val="1"/>
      <w:numFmt w:val="decimal"/>
      <w:lvlText w:val="%4."/>
      <w:lvlJc w:val="left"/>
      <w:pPr>
        <w:tabs>
          <w:tab w:val="num" w:pos="2823"/>
        </w:tabs>
        <w:ind w:left="2823" w:hanging="360"/>
      </w:pPr>
      <w:rPr>
        <w:rFonts w:cs="Times New Roman"/>
        <w:rtl w:val="0"/>
        <w:cs w:val="0"/>
      </w:rPr>
    </w:lvl>
    <w:lvl w:ilvl="4">
      <w:start w:val="1"/>
      <w:numFmt w:val="lowerLetter"/>
      <w:lvlText w:val="%5."/>
      <w:lvlJc w:val="left"/>
      <w:pPr>
        <w:tabs>
          <w:tab w:val="num" w:pos="3543"/>
        </w:tabs>
        <w:ind w:left="3543" w:hanging="360"/>
      </w:pPr>
      <w:rPr>
        <w:rFonts w:cs="Times New Roman"/>
        <w:rtl w:val="0"/>
        <w:cs w:val="0"/>
      </w:rPr>
    </w:lvl>
    <w:lvl w:ilvl="5">
      <w:start w:val="1"/>
      <w:numFmt w:val="lowerRoman"/>
      <w:lvlText w:val="%6."/>
      <w:lvlJc w:val="right"/>
      <w:pPr>
        <w:tabs>
          <w:tab w:val="num" w:pos="4263"/>
        </w:tabs>
        <w:ind w:left="4263" w:hanging="180"/>
      </w:pPr>
      <w:rPr>
        <w:rFonts w:cs="Times New Roman"/>
        <w:rtl w:val="0"/>
        <w:cs w:val="0"/>
      </w:rPr>
    </w:lvl>
    <w:lvl w:ilvl="6">
      <w:start w:val="1"/>
      <w:numFmt w:val="decimal"/>
      <w:lvlText w:val="%7."/>
      <w:lvlJc w:val="left"/>
      <w:pPr>
        <w:tabs>
          <w:tab w:val="num" w:pos="4983"/>
        </w:tabs>
        <w:ind w:left="4983" w:hanging="360"/>
      </w:pPr>
      <w:rPr>
        <w:rFonts w:cs="Times New Roman"/>
        <w:rtl w:val="0"/>
        <w:cs w:val="0"/>
      </w:rPr>
    </w:lvl>
    <w:lvl w:ilvl="7">
      <w:start w:val="1"/>
      <w:numFmt w:val="lowerLetter"/>
      <w:lvlText w:val="%8."/>
      <w:lvlJc w:val="left"/>
      <w:pPr>
        <w:tabs>
          <w:tab w:val="num" w:pos="5703"/>
        </w:tabs>
        <w:ind w:left="5703" w:hanging="360"/>
      </w:pPr>
      <w:rPr>
        <w:rFonts w:cs="Times New Roman"/>
        <w:rtl w:val="0"/>
        <w:cs w:val="0"/>
      </w:rPr>
    </w:lvl>
    <w:lvl w:ilvl="8">
      <w:start w:val="1"/>
      <w:numFmt w:val="lowerRoman"/>
      <w:lvlText w:val="%9."/>
      <w:lvlJc w:val="right"/>
      <w:pPr>
        <w:tabs>
          <w:tab w:val="num" w:pos="6423"/>
        </w:tabs>
        <w:ind w:left="6423" w:hanging="180"/>
      </w:pPr>
      <w:rPr>
        <w:rFonts w:cs="Times New Roman"/>
        <w:rtl w:val="0"/>
        <w:cs w:val="0"/>
      </w:rPr>
    </w:lvl>
  </w:abstractNum>
  <w:abstractNum w:abstractNumId="15">
    <w:nsid w:val="54C60962"/>
    <w:multiLevelType w:val="hybridMultilevel"/>
    <w:tmpl w:val="49AEF5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54C97C36"/>
    <w:multiLevelType w:val="hybridMultilevel"/>
    <w:tmpl w:val="BBE6EDB6"/>
    <w:lvl w:ilvl="0">
      <w:start w:val="1"/>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61722078"/>
    <w:multiLevelType w:val="hybridMultilevel"/>
    <w:tmpl w:val="53FE945E"/>
    <w:lvl w:ilvl="0">
      <w:start w:val="1"/>
      <w:numFmt w:val="decimal"/>
      <w:lvlText w:val="%1)"/>
      <w:lvlJc w:val="left"/>
      <w:pPr>
        <w:ind w:left="1668" w:hanging="9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9">
    <w:nsid w:val="61BC3B27"/>
    <w:multiLevelType w:val="hybridMultilevel"/>
    <w:tmpl w:val="31F88810"/>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20">
    <w:nsid w:val="641F3AB9"/>
    <w:multiLevelType w:val="hybridMultilevel"/>
    <w:tmpl w:val="0E64556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1">
    <w:nsid w:val="653E46B3"/>
    <w:multiLevelType w:val="hybridMultilevel"/>
    <w:tmpl w:val="F958620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67894A4D"/>
    <w:multiLevelType w:val="hybridMultilevel"/>
    <w:tmpl w:val="4DCE6F7C"/>
    <w:lvl w:ilvl="0">
      <w:start w:val="1"/>
      <w:numFmt w:val="decimal"/>
      <w:lvlText w:val="(%1)"/>
      <w:lvlJc w:val="left"/>
      <w:pPr>
        <w:ind w:left="1144" w:hanging="435"/>
      </w:pPr>
      <w:rPr>
        <w:rFonts w:ascii="Book Antiqua" w:hAnsi="Book Antiqua" w:cs="Times New Roman" w:hint="default"/>
        <w:color w:val="auto"/>
        <w:sz w:val="22"/>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23">
    <w:nsid w:val="68735A36"/>
    <w:multiLevelType w:val="hybridMultilevel"/>
    <w:tmpl w:val="37D2F9A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4">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tl w:val="0"/>
        <w:cs w:val="0"/>
      </w:rPr>
    </w:lvl>
    <w:lvl w:ilvl="3">
      <w:start w:val="4"/>
      <w:numFmt w:val="decimal"/>
      <w:lvlText w:val="%4."/>
      <w:lvlJc w:val="left"/>
      <w:pPr>
        <w:tabs>
          <w:tab w:val="num" w:pos="284"/>
        </w:tabs>
        <w:ind w:left="284" w:hanging="284"/>
      </w:pPr>
      <w:rPr>
        <w:rFonts w:cs="Times New Roman"/>
        <w:b/>
        <w:i w:val="0"/>
        <w:rtl w:val="0"/>
        <w:cs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6CFB3903"/>
    <w:multiLevelType w:val="hybridMultilevel"/>
    <w:tmpl w:val="B62C5DD0"/>
    <w:lvl w:ilvl="0">
      <w:start w:val="7"/>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71094789"/>
    <w:multiLevelType w:val="hybridMultilevel"/>
    <w:tmpl w:val="FB6C11D0"/>
    <w:lvl w:ilvl="0">
      <w:start w:val="1"/>
      <w:numFmt w:val="decimal"/>
      <w:lvlText w:val="%1."/>
      <w:lvlJc w:val="left"/>
      <w:pPr>
        <w:ind w:left="1440" w:hanging="360"/>
      </w:pPr>
      <w:rPr>
        <w:rFonts w:cs="Times New Roman" w:hint="default"/>
        <w:rtl w:val="0"/>
        <w:cs w:val="0"/>
      </w:rPr>
    </w:lvl>
    <w:lvl w:ilvl="1">
      <w:start w:val="1"/>
      <w:numFmt w:val="lowerLetter"/>
      <w:lvlText w:val="%2)"/>
      <w:lvlJc w:val="left"/>
      <w:pPr>
        <w:ind w:left="2160" w:hanging="360"/>
      </w:pPr>
      <w:rPr>
        <w:rFonts w:ascii="Helvetica" w:eastAsia="Times New Roman" w:hAnsi="Helvetica"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27">
    <w:nsid w:val="78E23F27"/>
    <w:multiLevelType w:val="hybridMultilevel"/>
    <w:tmpl w:val="F7E22CD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num w:numId="1">
    <w:abstractNumId w:val="9"/>
  </w:num>
  <w:num w:numId="2">
    <w:abstractNumId w:val="5"/>
  </w:num>
  <w:num w:numId="3">
    <w:abstractNumId w:val="7"/>
  </w:num>
  <w:num w:numId="4">
    <w:abstractNumId w:val="22"/>
  </w:num>
  <w:num w:numId="5">
    <w:abstractNumId w:val="2"/>
  </w:num>
  <w:num w:numId="6">
    <w:abstractNumId w:val="6"/>
  </w:num>
  <w:num w:numId="7">
    <w:abstractNumId w:val="17"/>
  </w:num>
  <w:num w:numId="8">
    <w:abstractNumId w:val="8"/>
  </w:num>
  <w:num w:numId="9">
    <w:abstractNumId w:val="23"/>
  </w:num>
  <w:num w:numId="10">
    <w:abstractNumId w:val="10"/>
  </w:num>
  <w:num w:numId="11">
    <w:abstractNumId w:val="3"/>
  </w:num>
  <w:num w:numId="12">
    <w:abstractNumId w:val="24"/>
    <w:lvlOverride w:ilvl="0"/>
    <w:lvlOverride w:ilvl="1"/>
    <w:lvlOverride w:ilvl="2">
      <w:startOverride w:val="2"/>
    </w:lvlOverride>
    <w:lvlOverride w:ilvl="3">
      <w:startOverride w:val="4"/>
    </w:lvlOverride>
    <w:lvlOverride w:ilvl="4"/>
    <w:lvlOverride w:ilvl="5"/>
    <w:lvlOverride w:ilvl="6"/>
    <w:lvlOverride w:ilvl="7"/>
    <w:lvlOverride w:ilvl="8"/>
  </w:num>
  <w:num w:numId="13">
    <w:abstractNumId w:val="14"/>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4"/>
  </w:num>
  <w:num w:numId="16">
    <w:abstractNumId w:val="18"/>
  </w:num>
  <w:num w:numId="17">
    <w:abstractNumId w:val="12"/>
  </w:num>
  <w:num w:numId="18">
    <w:abstractNumId w:val="15"/>
  </w:num>
  <w:num w:numId="19">
    <w:abstractNumId w:val="19"/>
  </w:num>
  <w:num w:numId="20">
    <w:abstractNumId w:val="1"/>
  </w:num>
  <w:num w:numId="21">
    <w:abstractNumId w:val="26"/>
  </w:num>
  <w:num w:numId="22">
    <w:abstractNumId w:val="13"/>
  </w:num>
  <w:num w:numId="23">
    <w:abstractNumId w:val="27"/>
  </w:num>
  <w:num w:numId="24">
    <w:abstractNumId w:val="11"/>
  </w:num>
  <w:num w:numId="25">
    <w:abstractNumId w:val="0"/>
  </w:num>
  <w:num w:numId="26">
    <w:abstractNumId w:val="20"/>
  </w:num>
  <w:num w:numId="27">
    <w:abstractNumId w:val="25"/>
  </w:num>
  <w:num w:numId="28">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EB0847"/>
    <w:rsid w:val="00006D17"/>
    <w:rsid w:val="000106E1"/>
    <w:rsid w:val="00016651"/>
    <w:rsid w:val="00020CA1"/>
    <w:rsid w:val="00033043"/>
    <w:rsid w:val="00040342"/>
    <w:rsid w:val="00041995"/>
    <w:rsid w:val="00053A22"/>
    <w:rsid w:val="00061E55"/>
    <w:rsid w:val="0006399C"/>
    <w:rsid w:val="00064145"/>
    <w:rsid w:val="0006490F"/>
    <w:rsid w:val="00074A85"/>
    <w:rsid w:val="00074CD9"/>
    <w:rsid w:val="00080DEE"/>
    <w:rsid w:val="00087053"/>
    <w:rsid w:val="00095C1B"/>
    <w:rsid w:val="000A5BC2"/>
    <w:rsid w:val="000A62BA"/>
    <w:rsid w:val="000B44AD"/>
    <w:rsid w:val="000B7315"/>
    <w:rsid w:val="000D70DD"/>
    <w:rsid w:val="000D7568"/>
    <w:rsid w:val="000F395F"/>
    <w:rsid w:val="000F3B98"/>
    <w:rsid w:val="00106418"/>
    <w:rsid w:val="00110BD3"/>
    <w:rsid w:val="0011602C"/>
    <w:rsid w:val="0012150F"/>
    <w:rsid w:val="0012548D"/>
    <w:rsid w:val="001346EA"/>
    <w:rsid w:val="00136FCF"/>
    <w:rsid w:val="001456CD"/>
    <w:rsid w:val="00151711"/>
    <w:rsid w:val="00162277"/>
    <w:rsid w:val="0017112C"/>
    <w:rsid w:val="00173E64"/>
    <w:rsid w:val="00174CAE"/>
    <w:rsid w:val="001801A6"/>
    <w:rsid w:val="001840E2"/>
    <w:rsid w:val="001B41BD"/>
    <w:rsid w:val="001B41DB"/>
    <w:rsid w:val="001B4E56"/>
    <w:rsid w:val="001C0344"/>
    <w:rsid w:val="001C514B"/>
    <w:rsid w:val="001C7757"/>
    <w:rsid w:val="00206350"/>
    <w:rsid w:val="00217338"/>
    <w:rsid w:val="00227EF9"/>
    <w:rsid w:val="0023245F"/>
    <w:rsid w:val="00236D52"/>
    <w:rsid w:val="002464DD"/>
    <w:rsid w:val="00247D4C"/>
    <w:rsid w:val="00254542"/>
    <w:rsid w:val="002716B9"/>
    <w:rsid w:val="002765CA"/>
    <w:rsid w:val="002C078D"/>
    <w:rsid w:val="002C1F4E"/>
    <w:rsid w:val="002D0585"/>
    <w:rsid w:val="002D1A29"/>
    <w:rsid w:val="002E02FD"/>
    <w:rsid w:val="002E15E6"/>
    <w:rsid w:val="002F3D43"/>
    <w:rsid w:val="002F6563"/>
    <w:rsid w:val="00307DD6"/>
    <w:rsid w:val="00311E24"/>
    <w:rsid w:val="00315F38"/>
    <w:rsid w:val="0032087B"/>
    <w:rsid w:val="003279B3"/>
    <w:rsid w:val="00327E6E"/>
    <w:rsid w:val="00332CB2"/>
    <w:rsid w:val="00334A3C"/>
    <w:rsid w:val="00347CF7"/>
    <w:rsid w:val="003558F0"/>
    <w:rsid w:val="00361525"/>
    <w:rsid w:val="00366CB2"/>
    <w:rsid w:val="00372F74"/>
    <w:rsid w:val="003A617D"/>
    <w:rsid w:val="003B0671"/>
    <w:rsid w:val="003B32B2"/>
    <w:rsid w:val="003C7052"/>
    <w:rsid w:val="003F02B2"/>
    <w:rsid w:val="003F4991"/>
    <w:rsid w:val="00403CED"/>
    <w:rsid w:val="0041265F"/>
    <w:rsid w:val="00421410"/>
    <w:rsid w:val="0042353E"/>
    <w:rsid w:val="00437A7C"/>
    <w:rsid w:val="00437D3C"/>
    <w:rsid w:val="00454BF2"/>
    <w:rsid w:val="00455B1F"/>
    <w:rsid w:val="00496B48"/>
    <w:rsid w:val="004A114E"/>
    <w:rsid w:val="004A3079"/>
    <w:rsid w:val="004B6701"/>
    <w:rsid w:val="004F3020"/>
    <w:rsid w:val="00501B26"/>
    <w:rsid w:val="0051021D"/>
    <w:rsid w:val="00533E10"/>
    <w:rsid w:val="00542707"/>
    <w:rsid w:val="00572731"/>
    <w:rsid w:val="00592FCD"/>
    <w:rsid w:val="005A351E"/>
    <w:rsid w:val="005B6131"/>
    <w:rsid w:val="005C2CF5"/>
    <w:rsid w:val="005C6C44"/>
    <w:rsid w:val="005F785D"/>
    <w:rsid w:val="00600D0C"/>
    <w:rsid w:val="00610A95"/>
    <w:rsid w:val="00626209"/>
    <w:rsid w:val="00634B22"/>
    <w:rsid w:val="00634C4C"/>
    <w:rsid w:val="0063688E"/>
    <w:rsid w:val="0065023B"/>
    <w:rsid w:val="0066730F"/>
    <w:rsid w:val="006A2590"/>
    <w:rsid w:val="006A6641"/>
    <w:rsid w:val="006C74D9"/>
    <w:rsid w:val="006F00F1"/>
    <w:rsid w:val="006F5A70"/>
    <w:rsid w:val="00711F64"/>
    <w:rsid w:val="00744FEC"/>
    <w:rsid w:val="00751499"/>
    <w:rsid w:val="00756B40"/>
    <w:rsid w:val="00757E57"/>
    <w:rsid w:val="007776D2"/>
    <w:rsid w:val="00782254"/>
    <w:rsid w:val="00795285"/>
    <w:rsid w:val="007A0575"/>
    <w:rsid w:val="007A6B1B"/>
    <w:rsid w:val="007D5A78"/>
    <w:rsid w:val="007F4581"/>
    <w:rsid w:val="007F7CE5"/>
    <w:rsid w:val="00804335"/>
    <w:rsid w:val="00822F90"/>
    <w:rsid w:val="008339D9"/>
    <w:rsid w:val="00847B28"/>
    <w:rsid w:val="00852AF8"/>
    <w:rsid w:val="0085601A"/>
    <w:rsid w:val="008640D4"/>
    <w:rsid w:val="008674F1"/>
    <w:rsid w:val="008C1867"/>
    <w:rsid w:val="008D35E8"/>
    <w:rsid w:val="008D43EA"/>
    <w:rsid w:val="008E13D2"/>
    <w:rsid w:val="008E32C2"/>
    <w:rsid w:val="008E3BEE"/>
    <w:rsid w:val="00903D50"/>
    <w:rsid w:val="009062C7"/>
    <w:rsid w:val="00911170"/>
    <w:rsid w:val="00916919"/>
    <w:rsid w:val="009335FE"/>
    <w:rsid w:val="00934921"/>
    <w:rsid w:val="0095183E"/>
    <w:rsid w:val="00961E1F"/>
    <w:rsid w:val="00976779"/>
    <w:rsid w:val="009C5B21"/>
    <w:rsid w:val="009C7E76"/>
    <w:rsid w:val="009E7A09"/>
    <w:rsid w:val="009F313F"/>
    <w:rsid w:val="009F56EF"/>
    <w:rsid w:val="00A009B3"/>
    <w:rsid w:val="00A0120E"/>
    <w:rsid w:val="00A02E43"/>
    <w:rsid w:val="00A12835"/>
    <w:rsid w:val="00A26339"/>
    <w:rsid w:val="00A36A9A"/>
    <w:rsid w:val="00A402AC"/>
    <w:rsid w:val="00A50BFD"/>
    <w:rsid w:val="00A51BB3"/>
    <w:rsid w:val="00A74FB7"/>
    <w:rsid w:val="00A808F6"/>
    <w:rsid w:val="00A91A24"/>
    <w:rsid w:val="00A91DF0"/>
    <w:rsid w:val="00A9662F"/>
    <w:rsid w:val="00B02DBB"/>
    <w:rsid w:val="00B04B01"/>
    <w:rsid w:val="00B15961"/>
    <w:rsid w:val="00B200AF"/>
    <w:rsid w:val="00B21B9A"/>
    <w:rsid w:val="00B26FA1"/>
    <w:rsid w:val="00B365D3"/>
    <w:rsid w:val="00B62EB9"/>
    <w:rsid w:val="00B67E06"/>
    <w:rsid w:val="00B86C5D"/>
    <w:rsid w:val="00B90CF6"/>
    <w:rsid w:val="00BA320E"/>
    <w:rsid w:val="00BA520B"/>
    <w:rsid w:val="00BA6738"/>
    <w:rsid w:val="00BB3264"/>
    <w:rsid w:val="00BC0C54"/>
    <w:rsid w:val="00BC6CA5"/>
    <w:rsid w:val="00BD182C"/>
    <w:rsid w:val="00BE2CA1"/>
    <w:rsid w:val="00BE3F66"/>
    <w:rsid w:val="00C309F1"/>
    <w:rsid w:val="00C339E7"/>
    <w:rsid w:val="00C467C1"/>
    <w:rsid w:val="00C62640"/>
    <w:rsid w:val="00C65033"/>
    <w:rsid w:val="00C6565A"/>
    <w:rsid w:val="00CA26AC"/>
    <w:rsid w:val="00CB0C7A"/>
    <w:rsid w:val="00CC63DE"/>
    <w:rsid w:val="00CC7AF4"/>
    <w:rsid w:val="00CD27BF"/>
    <w:rsid w:val="00D16B52"/>
    <w:rsid w:val="00D23F72"/>
    <w:rsid w:val="00D27F78"/>
    <w:rsid w:val="00D30B0C"/>
    <w:rsid w:val="00D411B8"/>
    <w:rsid w:val="00D45A4B"/>
    <w:rsid w:val="00D5102C"/>
    <w:rsid w:val="00D57B63"/>
    <w:rsid w:val="00D72C79"/>
    <w:rsid w:val="00D72DE3"/>
    <w:rsid w:val="00D74EC7"/>
    <w:rsid w:val="00D761BE"/>
    <w:rsid w:val="00DB24F3"/>
    <w:rsid w:val="00DC3425"/>
    <w:rsid w:val="00DE42B6"/>
    <w:rsid w:val="00E00CAD"/>
    <w:rsid w:val="00E00DB4"/>
    <w:rsid w:val="00E05FE1"/>
    <w:rsid w:val="00E25A0E"/>
    <w:rsid w:val="00E265EF"/>
    <w:rsid w:val="00E31379"/>
    <w:rsid w:val="00E53A17"/>
    <w:rsid w:val="00E635B7"/>
    <w:rsid w:val="00E83930"/>
    <w:rsid w:val="00EA17C6"/>
    <w:rsid w:val="00EA7689"/>
    <w:rsid w:val="00EB0847"/>
    <w:rsid w:val="00EE2213"/>
    <w:rsid w:val="00EF1260"/>
    <w:rsid w:val="00EF69AF"/>
    <w:rsid w:val="00F02672"/>
    <w:rsid w:val="00F1515A"/>
    <w:rsid w:val="00F57F61"/>
    <w:rsid w:val="00F64F43"/>
    <w:rsid w:val="00F670C5"/>
    <w:rsid w:val="00F73DCF"/>
    <w:rsid w:val="00F7413C"/>
    <w:rsid w:val="00F80EB5"/>
    <w:rsid w:val="00F84665"/>
    <w:rsid w:val="00FA0142"/>
    <w:rsid w:val="00FA260E"/>
    <w:rsid w:val="00FA4686"/>
    <w:rsid w:val="00FB3039"/>
    <w:rsid w:val="00FB3DF8"/>
    <w:rsid w:val="00FC1A0B"/>
    <w:rsid w:val="00FC37ED"/>
    <w:rsid w:val="00FD1023"/>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847"/>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EB0847"/>
    <w:pPr>
      <w:keepNext/>
      <w:autoSpaceDE w:val="0"/>
      <w:autoSpaceDN w:val="0"/>
      <w:adjustRightInd w:val="0"/>
      <w:jc w:val="center"/>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EB0847"/>
    <w:rPr>
      <w:rFonts w:ascii="Cambria" w:hAnsi="Cambria" w:cs="Times New Roman"/>
      <w:b/>
      <w:kern w:val="32"/>
      <w:sz w:val="32"/>
      <w:rtl w:val="0"/>
      <w:cs w:val="0"/>
      <w:lang w:val="x-none" w:eastAsia="sk-SK"/>
    </w:rPr>
  </w:style>
  <w:style w:type="paragraph" w:styleId="NormalWeb">
    <w:name w:val="Normal (Web)"/>
    <w:basedOn w:val="Normal"/>
    <w:uiPriority w:val="99"/>
    <w:rsid w:val="00EB0847"/>
    <w:pPr>
      <w:spacing w:before="100" w:beforeAutospacing="1" w:after="100" w:afterAutospacing="1"/>
      <w:jc w:val="left"/>
    </w:pPr>
  </w:style>
  <w:style w:type="paragraph" w:styleId="BodyTextIndent2">
    <w:name w:val="Body Text Indent 2"/>
    <w:basedOn w:val="Normal"/>
    <w:link w:val="Zarkazkladnhotextu2Char"/>
    <w:uiPriority w:val="99"/>
    <w:rsid w:val="00EB0847"/>
    <w:pPr>
      <w:widowControl w:val="0"/>
      <w:autoSpaceDE w:val="0"/>
      <w:autoSpaceDN w:val="0"/>
      <w:adjustRightInd w:val="0"/>
      <w:ind w:firstLine="708"/>
      <w:jc w:val="both"/>
    </w:pPr>
    <w:rPr>
      <w:szCs w:val="20"/>
    </w:rPr>
  </w:style>
  <w:style w:type="character" w:customStyle="1" w:styleId="Zarkazkladnhotextu2Char">
    <w:name w:val="Zarážka základného textu 2 Char"/>
    <w:basedOn w:val="DefaultParagraphFont"/>
    <w:link w:val="BodyTextIndent2"/>
    <w:uiPriority w:val="99"/>
    <w:locked/>
    <w:rsid w:val="00EB0847"/>
    <w:rPr>
      <w:rFonts w:ascii="Times New Roman" w:hAnsi="Times New Roman" w:cs="Times New Roman"/>
      <w:sz w:val="20"/>
      <w:rtl w:val="0"/>
      <w:cs w:val="0"/>
      <w:lang w:val="x-none" w:eastAsia="sk-SK"/>
    </w:rPr>
  </w:style>
  <w:style w:type="paragraph" w:styleId="ListParagraph">
    <w:name w:val="List Paragraph"/>
    <w:basedOn w:val="Normal"/>
    <w:uiPriority w:val="34"/>
    <w:qFormat/>
    <w:rsid w:val="0063688E"/>
    <w:pPr>
      <w:ind w:left="720"/>
      <w:contextualSpacing/>
      <w:jc w:val="left"/>
    </w:pPr>
  </w:style>
  <w:style w:type="character" w:styleId="Hyperlink">
    <w:name w:val="Hyperlink"/>
    <w:basedOn w:val="DefaultParagraphFont"/>
    <w:uiPriority w:val="99"/>
    <w:unhideWhenUsed/>
    <w:rsid w:val="00EB0847"/>
    <w:rPr>
      <w:rFonts w:cs="Times New Roman"/>
      <w:color w:val="0563C1"/>
      <w:u w:val="single"/>
      <w:rtl w:val="0"/>
      <w:cs w:val="0"/>
    </w:rPr>
  </w:style>
  <w:style w:type="paragraph" w:styleId="BalloonText">
    <w:name w:val="Balloon Text"/>
    <w:basedOn w:val="Normal"/>
    <w:link w:val="TextbublinyChar"/>
    <w:uiPriority w:val="99"/>
    <w:semiHidden/>
    <w:unhideWhenUsed/>
    <w:rsid w:val="007F4581"/>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7F4581"/>
    <w:rPr>
      <w:rFonts w:ascii="Tahoma" w:hAnsi="Tahoma" w:cs="Times New Roman"/>
      <w:sz w:val="16"/>
      <w:rtl w:val="0"/>
      <w:cs w:val="0"/>
    </w:rPr>
  </w:style>
  <w:style w:type="paragraph" w:styleId="BodyTextIndent3">
    <w:name w:val="Body Text Indent 3"/>
    <w:basedOn w:val="Normal"/>
    <w:link w:val="Zarkazkladnhotextu3Char"/>
    <w:uiPriority w:val="99"/>
    <w:rsid w:val="009E7A09"/>
    <w:pPr>
      <w:spacing w:after="120"/>
      <w:ind w:left="283"/>
      <w:jc w:val="left"/>
    </w:pPr>
    <w:rPr>
      <w:sz w:val="16"/>
      <w:szCs w:val="16"/>
    </w:rPr>
  </w:style>
  <w:style w:type="character" w:customStyle="1" w:styleId="Zarkazkladnhotextu3Char">
    <w:name w:val="Zarážka základného textu 3 Char"/>
    <w:basedOn w:val="DefaultParagraphFont"/>
    <w:link w:val="BodyTextIndent3"/>
    <w:uiPriority w:val="99"/>
    <w:locked/>
    <w:rsid w:val="009E7A09"/>
    <w:rPr>
      <w:rFonts w:ascii="Times New Roman" w:hAnsi="Times New Roman" w:cs="Times New Roman"/>
      <w:sz w:val="16"/>
      <w:szCs w:val="16"/>
      <w:rtl w:val="0"/>
      <w:cs w:val="0"/>
      <w:lang w:val="sk-SK" w:eastAsia="sk-SK"/>
    </w:rPr>
  </w:style>
  <w:style w:type="character" w:styleId="Strong">
    <w:name w:val="Strong"/>
    <w:basedOn w:val="DefaultParagraphFont"/>
    <w:uiPriority w:val="22"/>
    <w:qFormat/>
    <w:rsid w:val="003279B3"/>
    <w:rPr>
      <w:rFonts w:cs="Times New Roman"/>
      <w:b/>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slov-lex.sk/pravne-predpisy/SK/ZZ/1992/566/" TargetMode="External" /><Relationship Id="rId5" Type="http://schemas.openxmlformats.org/officeDocument/2006/relationships/hyperlink" Target="https://www.slov-lex.sk/pravne-predpisy/SK/ZZ/2007/659/"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1</TotalTime>
  <Pages>11</Pages>
  <Words>2424</Words>
  <Characters>13822</Characters>
  <Application>Microsoft Office Word</Application>
  <DocSecurity>0</DocSecurity>
  <Lines>0</Lines>
  <Paragraphs>0</Paragraphs>
  <ScaleCrop>false</ScaleCrop>
  <Company>Kancelaria NRSR</Company>
  <LinksUpToDate>false</LinksUpToDate>
  <CharactersWithSpaces>16214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Luk∑č, Jozef (asistent)</dc:creator>
  <cp:lastModifiedBy>Gálisová, Natália</cp:lastModifiedBy>
  <cp:revision>3</cp:revision>
  <cp:lastPrinted>2017-04-18T08:25:00Z</cp:lastPrinted>
  <dcterms:created xsi:type="dcterms:W3CDTF">2017-08-17T10:06:00Z</dcterms:created>
  <dcterms:modified xsi:type="dcterms:W3CDTF">2017-08-17T17:11:00Z</dcterms:modified>
</cp:coreProperties>
</file>