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708"/>
        <w:gridCol w:w="993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Metodický</w:t>
      </w:r>
      <w:r w:rsidRPr="005C4B9C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 xml:space="preserve"> postup pre analý</w:t>
      </w:r>
      <w:r w:rsidRPr="005C4B9C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zu vplyvov na informatizá</w:t>
      </w:r>
      <w:r w:rsidRPr="005C4B9C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ciu spolo</w:t>
      </w:r>
      <w:r w:rsidRPr="005C4B9C">
        <w:rPr>
          <w:rFonts w:ascii="TimesNewRoman" w:eastAsia="Calibri" w:hAnsi="TimesNewRoman" w:cs="TimesNewRoman" w:hint="default"/>
          <w:color w:val="000000"/>
          <w:sz w:val="28"/>
          <w:szCs w:val="28"/>
          <w:lang w:eastAsia="en-US"/>
        </w:rPr>
        <w:t>č</w:t>
      </w:r>
      <w:r w:rsidRPr="005C4B9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nosti</w:t>
      </w:r>
    </w:p>
    <w:p w:rsidR="00CE634D" w:rsidRPr="005C4B9C" w:rsidP="00CE634D">
      <w:pPr>
        <w:autoSpaceDE w:val="0"/>
        <w:autoSpaceDN w:val="0"/>
        <w:bidi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Predkladateľ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pri vypracová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dolož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ky v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 tý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kajú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cej sa vplyvov na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ciu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identifikuje vplyvy na nasledovné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oblasti:</w:t>
      </w:r>
    </w:p>
    <w:p w:rsidR="00CE634D" w:rsidRPr="005C4B9C" w:rsidP="00CE634D">
      <w:pPr>
        <w:numPr>
          <w:numId w:val="1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budovanie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pilierov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a</w:t>
      </w:r>
    </w:p>
    <w:p w:rsidR="00CE634D" w:rsidRPr="005C4B9C" w:rsidP="00CE634D">
      <w:pPr>
        <w:numPr>
          <w:numId w:val="1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financovanie procesu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Uvedené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oblasti predstavujú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zmysle Straté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gie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celospoloč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aby bolo mož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speš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realizá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spacing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Budovanie zá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kladný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pilierov informatizá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cie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Budovaní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pilierov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sa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 pre rozší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renie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komunikač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te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chnoló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 (IKT) vo vš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oblastiach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ho, politické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a hospodá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rskeho 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ivota.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piliermi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:</w:t>
      </w:r>
    </w:p>
    <w:p w:rsidR="00CE634D" w:rsidRPr="005C4B9C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obsah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a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</w:t>
      </w:r>
    </w:p>
    <w:p w:rsidR="00CE634D" w:rsidRPr="005C4B9C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udia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hlavne zvyš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udský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a zruč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ností</w:t>
      </w:r>
    </w:p>
    <w:p w:rsidR="00CE634D" w:rsidRPr="005C4B9C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infraš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ra,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prič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om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ze 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vplyvov na informatizá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ciu spoloč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nosti sú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 premietnuté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 2 piliere, a to obsah a 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infraš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truktú</w:t>
      </w:r>
      <w:r w:rsidRPr="005C4B9C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ra.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spacing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  <w:t xml:space="preserve">Pilier I: Obsah 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–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cie a služ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by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 obsahom a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bami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peme dostupný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obsah a apliká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môž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 využí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svoje potreby. 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tohto piliera sa hodnotí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predmetný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vplyv na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z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adiska rozš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irovania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existujú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ieb, t.j. ich zmeny ako aj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rania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dzania no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Rozš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irovanie, inová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cia, vytvá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ranie a zavá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dzanie nový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elektronický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ieb verejnej sprá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vy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Elektronickou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bou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je elektronická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forma komuniká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 povinný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osobami pri vybavovaní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ozn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stupe k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a ich poskytovaní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alebo 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 verejnosti na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vecí.</w:t>
      </w:r>
      <w:r w:rsidRPr="005C4B9C">
        <w:rPr>
          <w:rFonts w:ascii="ms sans serif" w:eastAsia="Calibri" w:hAnsi="ms sans serif"/>
          <w:color w:val="000000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Pre ich 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dzanie je charakteristické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poskytovanie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dotknutý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subjektom, vč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transparentnosť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efektí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poskytovania tý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chto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ieb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zohľ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adnenie komplexnosti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interakcií.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/>
          <w:strike/>
          <w:color w:val="000000"/>
          <w:sz w:val="24"/>
          <w:szCs w:val="24"/>
          <w:lang w:eastAsia="en-US"/>
        </w:rPr>
        <w:t xml:space="preserve">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3 ods. 4 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sm. f)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275/2006 Z. z. o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platnom znení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vcovia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povinní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bezodkladne sprí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o poskytov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centrá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lneho metainformač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(ď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alej len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). Do tohto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zapisujú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reá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 poskytované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 aj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by.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mož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s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</w:t>
      </w:r>
      <w:hyperlink r:id="rId4" w:history="1">
        <w:r w:rsidRPr="005C4B9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http://www.informatizacia.sk/centralny-metainformacny-system-verejnej-spravy/10346s</w:t>
        </w:r>
      </w:hyperlink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Zoznam hlavný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kontaktný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urč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na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 do Met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aIS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inš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titú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sa nachá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na strá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  </w:t>
      </w:r>
      <w:hyperlink r:id="rId5" w:history="1">
        <w:r w:rsidRPr="005C4B9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http://www.informatizacia.sk/pristup-do-metais/16150s</w:t>
        </w:r>
      </w:hyperlink>
      <w:r w:rsidRPr="005C4B9C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>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elektronizá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mô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 nadobú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hodnoty od 0 do 5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47 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nosu MF SR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55/2014 Z.</w:t>
      </w:r>
      <w:r w:rsid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z. o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tandardoch pre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my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vy:</w:t>
      </w:r>
    </w:p>
    <w:p w:rsidR="00CE634D" w:rsidRPr="005C4B9C" w:rsidP="00CE634D">
      <w:pPr>
        <w:numPr>
          <w:numId w:val="3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0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off-line, pri ktorej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ba nie je on-line elektronicky dostupná,</w:t>
      </w:r>
    </w:p>
    <w:p w:rsidR="00CE634D" w:rsidRPr="005C4B9C" w:rsidP="00CE634D">
      <w:pPr>
        <w:numPr>
          <w:numId w:val="3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1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i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nformatí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vna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pri ktorej je informá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cia, potrebná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 zač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atie alebo vykonanie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by, dostupná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 elektronickej forme, najmä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cia o mieste, 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ase, spô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sobe a podmienkach vybavenia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by, prič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om samotná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ba nie je elektronicky poskytnutá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ani ni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e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je poskytnutý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sluš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formulá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 v elektronickej forme,</w:t>
      </w:r>
    </w:p>
    <w:p w:rsidR="00CE634D" w:rsidRPr="005C4B9C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2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jednosmernej interakcie, pri ktorej nastá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 jednosmerná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elektronická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komuniká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cia; pri jednosmernej elektronickej komuniká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cii je mož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stiahnuť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sluš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formulá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r v 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elektronickej forme, ale podanie sa nevykoná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 elektronický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mi prostriedkami,</w:t>
      </w:r>
    </w:p>
    <w:p w:rsidR="00CE634D" w:rsidRPr="005C4B9C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3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obojsmernej interakcie, pri ktorej nastá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 obojsmerná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elektronická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komuniká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cia pri vybavovaní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by; pri obojsmernej elektronickej komuniká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cii 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prebieha vybavovanie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 elektronicky, avš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ak pri preberaní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sledku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 sa vyž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aduje osobný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alebo listinný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kontakt,</w:t>
      </w:r>
    </w:p>
    <w:p w:rsidR="00CE634D" w:rsidRPr="005C4B9C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4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transakč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ktorá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umožň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uje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plné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vybavenie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 elektronický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mi prostriedkami, najmä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vybavenie on-l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ine, a to vrá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tane a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to vrá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tane rozhodnutia, zaplatenia a doruč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enia, ak sa to vyž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aduje; pri tejto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rovni sa vyluč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uje aký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koľ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vek osobný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alebo listinný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kontakt,</w:t>
      </w:r>
    </w:p>
    <w:p w:rsidR="00CE634D" w:rsidRPr="005C4B9C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2"/>
          <w:szCs w:val="36"/>
          <w:lang w:eastAsia="en-US"/>
        </w:rPr>
      </w:pP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5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proaktí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vna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, ktorá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obsahuje funkč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nosť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rovne 3 alebo 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rovne 4, a pri ktorej sa naviac využí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vajú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personalizované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nastavenia použí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vateľ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 a mož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nosť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proaktí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vneho automatizované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ho vykoná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vania č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astí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by.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Ak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predpokladá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zmenu existujú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cich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alebo vytvorenie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 zmysle uvedený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definí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predkladateľ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to uvedie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použ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alebo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tane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zvu, kó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du 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elektronizá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elektronickej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(§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47 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nosu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55/2014 Z.</w:t>
      </w:r>
      <w:r w:rsid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z.)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kataló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gu eGovernment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 vedený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 </w:t>
      </w:r>
    </w:p>
    <w:p w:rsidR="00CE634D" w:rsidRPr="005C4B9C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 xml:space="preserve">.1: 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dve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by, a to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-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Povoľ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zbierok“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-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Zverejň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dajov z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registri zbierok“.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musia byť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MetaIS.)</w:t>
      </w:r>
    </w:p>
    <w:p w:rsidR="00CE634D" w:rsidRPr="005C4B9C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6.1.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nasledovne: </w:t>
      </w:r>
    </w:p>
    <w:tbl>
      <w:tblPr>
        <w:tblStyle w:val="TableNormal"/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701"/>
        <w:gridCol w:w="1559"/>
        <w:gridCol w:w="1276"/>
        <w:gridCol w:w="1560"/>
        <w:gridCol w:w="1133"/>
      </w:tblGrid>
      <w:tr>
        <w:tblPrEx>
          <w:tblW w:w="9229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 xml:space="preserve">Obsah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B – zmena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Kód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Úroveň elektronizácie</w:t>
            </w: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služba_egov_1134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Povoľ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verejn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ý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 xml:space="preserve">ch zbierok 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služba_egov_7810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Zverejň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ú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dajov zapí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saný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ch v registri zbierok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 xml:space="preserve">. 2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predpokladá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zmenu existujú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cej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 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Povoľ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ch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zbierok“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: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vodná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ba neumožň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ovala elektronické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vyplnenie a podanie 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iadosti, ale iba stiahnutie formulá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ru  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jeho vytlač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sa vypĺň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 ruč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posielal poš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tou, t.j. 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ú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elektronizá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cie 2.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kona umož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elektronické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podanie 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 a elektronické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vydanie rozhodnutia o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pise zbierky do registra zbierok, z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oho vyplý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elektronickej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na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4. (Pozn.: 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so zmenenou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 elektronizá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/ako vyšš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 verzia predmetnej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by/.) 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6.1.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nasledovne: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TableNormal"/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701"/>
        <w:gridCol w:w="1559"/>
        <w:gridCol w:w="1276"/>
        <w:gridCol w:w="1559"/>
        <w:gridCol w:w="1134"/>
      </w:tblGrid>
      <w:tr>
        <w:tblPrEx>
          <w:tblW w:w="9229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 xml:space="preserve">Obsah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B – zmena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Kód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Úroveň elektronizácie</w:t>
            </w: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služba_egov_1134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Povoľ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verejný</w:t>
            </w:r>
            <w:r w:rsidRPr="005C4B9C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 xml:space="preserve">ch zbierok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Pilier II: Infraš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truktú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ra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 infraš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rou ako 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alší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pilierom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treba 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nasledujú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 komponenty: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bor technický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 programový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poskytovania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nosti, ako aj pre schopnosť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použí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 tieto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využí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(vý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technika,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prostredie, a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pliká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atď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.),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komunikač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prostredie,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 spojenia medzi poskytovateľ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a ich použí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mi,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prostriedky a technoló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gie,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slúž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 na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pred ich mož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zneuž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m.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Infraš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 je nev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yhnutná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uskutočň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bezprostredne pô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rozvoj elektronický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 podmienky,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stimulujú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ponuku, ale aj dopyt po služ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 Je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aby bola dostupná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technologicky interoperabilná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Mala by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rovnocenné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 pre zapojenie subjektov do procesu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cie. 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tohto piliera sa hodnotí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predmetný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vplyv na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najmä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 hľ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adiska rozš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irovania, inová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vytvorenia a 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dzania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Rozš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irovanie, inová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cia, vytvorenie a zavá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dzanie nový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informa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mov verejnej sprá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vy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mom sa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moch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rozumie funkč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celok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avedomú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systematickú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technický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 programový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prostriedkov.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mom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je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 pô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sobnosti povinnej osoby ako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vcu, k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slúž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na 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prevá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dzkovanie vyplý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 z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osobitné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predpisu alebo z 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vomoci rozhodovať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 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vach a povinnostiach fyzický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alebo 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vnický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v oblasti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vy. 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3 ods. 4 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sm. f)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275/200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6 Z. z. o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neskorší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predpisov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vcovia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povinní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bezodkladne sprí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o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MetaIS. Do tohto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zapisujú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prevá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 aj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my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 Potrebné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mož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strá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</w:t>
      </w:r>
      <w:hyperlink r:id="rId4" w:history="1">
        <w:r w:rsidRPr="005C4B9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http://www.informatizacia.sk/centralny-metainformacny-system-verejnej-spravy/10346s</w:t>
        </w:r>
      </w:hyperlink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Zoznam hlavný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kontaktný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urč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na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 do MetaIS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inš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titú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sa nachá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na strá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  </w:t>
      </w:r>
      <w:hyperlink r:id="rId5" w:history="1">
        <w:r w:rsidRPr="005C4B9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http://www.informatizacia.sk/pristup-do-metais/16150s</w:t>
        </w:r>
      </w:hyperlink>
      <w:r w:rsidRPr="005C4B9C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>.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 zmenou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 jeho rozší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renie alebo inová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cia. Vo vš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eobecnosti je inová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cia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chá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ak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 proces obnovy, zmeny vizuá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lneho stavu (redizajnu) alebo optimalizá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vytvorené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mu, resp. jeho ktorejkoľ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vek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asti. V princí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 môž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 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 jeho technickú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alebo grafickú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 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elom zvýš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enia 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konnosti, odstrá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nenia nedostatkov, vylep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enia jeho vlastností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funkcií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Rozš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rozumie vytvorenie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funkč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celkov (dá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modulov, novej funkč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nosti) v jestvujú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com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nom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me. Súč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 rozš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irovania je aj vzá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jomné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prepá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janie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visiacich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na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klade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tandardov so zabezpeč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m interoperability. 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ranie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je pracovný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proces,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sa dospeje k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vytvoreniu stanovený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ov. Pre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charakteristická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jeho jedineč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,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prič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om tento je svojou podstatou uniká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tny a jedineč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borom svojich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ktoré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sa odliš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od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rutinný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nielen svojí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obsahom, ale aj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zameraní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m. Vytvorenie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nie je periodicky sa opakujú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ca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Zavede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je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avedomá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ho harmonogramu. 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pade, ak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obsahuje zmenu existujú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ceho alebo vytvorenie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predkladateľ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to uvedie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použ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alebo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tane kó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du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zvu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podľ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a MetaIS. 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 1:</w:t>
      </w: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predpokladá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zavedenie nové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Register zbierok“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MetaIS.)</w:t>
      </w:r>
    </w:p>
    <w:p w:rsidR="00CE634D" w:rsidRPr="005C4B9C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6.2.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126"/>
        <w:gridCol w:w="1985"/>
        <w:gridCol w:w="1134"/>
        <w:gridCol w:w="1842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 – zmena systému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 xml:space="preserve">Kód systému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Názov systému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.2.</w:t>
            </w: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isvs_5836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Register zbierok</w:t>
            </w:r>
            <w:r w:rsidRPr="005C4B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 2: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mení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Register zbierok“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C4B9C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Plá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metodí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popise cieľ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stavu“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predmetné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mu, s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stiž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popisom kľúč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vlastností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v MetaIS.)</w:t>
      </w:r>
    </w:p>
    <w:p w:rsidR="00CE634D" w:rsidRPr="005C4B9C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6.2.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126"/>
        <w:gridCol w:w="1701"/>
        <w:gridCol w:w="1418"/>
        <w:gridCol w:w="1842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A – nový systém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 – zmena systému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 xml:space="preserve">Kód systému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Názov systému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C4B9C">
              <w:rPr>
                <w:rFonts w:ascii="Times New Roman" w:hAnsi="Times New Roman"/>
                <w:b/>
                <w:sz w:val="22"/>
                <w:szCs w:val="22"/>
              </w:rPr>
              <w:t>.2.</w:t>
            </w:r>
            <w:r w:rsidRPr="005C4B9C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existujúceho alebo vytvorenie nového informačného systému verejnej správy?</w:t>
            </w:r>
          </w:p>
          <w:p w:rsidR="00CE634D" w:rsidRPr="005C4B9C" w:rsidP="007B71A4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isvs_5836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Register zbierok</w:t>
            </w:r>
            <w:r w:rsidRPr="005C4B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Financovanie informatizá</w:t>
      </w:r>
      <w:r w:rsidRPr="005C4B9C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cie spolo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C4B9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nosti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Proces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je investič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vyž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aduje finanč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investí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zo strany vš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subjektov zapojený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ch do tohto procesu. V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oblasti financovania procesu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nezastupiteľ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loha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tu, ako aj komerč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sfé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ry.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 je vš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ak v tejto oblasti dô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lež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ako subjekt priamo financujú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proces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ale taktiež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ako subjekt vytvá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rajú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motivač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regulač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mec pre finanč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participá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komerč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sfé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ry.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Financovanie procesu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v súč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asnosti prebieha na nasledovný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rovniach:</w:t>
      </w:r>
    </w:p>
    <w:p w:rsidR="00CE634D" w:rsidRPr="005C4B9C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rezortná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 projektov realizovaný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jednotlivý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rezortov a 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jednotlivý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rozpoč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apitol,</w:t>
      </w:r>
    </w:p>
    <w:p w:rsidR="00CE634D" w:rsidRPr="005C4B9C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nadrezortná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 projektov s nadrezortnou pô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sobnosť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ou. Finanč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prostriedky budú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rozpoč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tované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kapitoly ministerstva financií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rezortnej a nadrezortnej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je mož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financovanie:</w:t>
      </w:r>
    </w:p>
    <w:p w:rsidR="00CE634D" w:rsidRPr="005C4B9C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z prostriedkov Euró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pskej ú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nie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erpania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trukturá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lnych fondov Euró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pskej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nie, ako aj prostrední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komunitá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rnych programov (v oblasti vedy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skumu napr. 7. 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program a komunitá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rne programy v oblasti vzdelá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vania).</w:t>
      </w:r>
    </w:p>
    <w:p w:rsidR="00CE634D" w:rsidRPr="005C4B9C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z ď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alší</w:t>
      </w:r>
      <w:r w:rsidRPr="005C4B9C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ch zdrojov financovania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 prostriedkov E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uró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pskej investič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banky, Svetovej banky a pod..</w:t>
      </w: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pade pož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iadaviek na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erpanie finanč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 z uvedený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na 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ely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predkladateľ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uvedie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prí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sluš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roveň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financovania označ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koló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nky pri rezortne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nadrezortnej ú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rovni znakom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x“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pri ď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alší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financovania použ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alebo „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Kvantifiká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predpokladaný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finanč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dô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sledkov na úč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ely informatizá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predkladateľ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uvedie v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vplyvov na rozpoč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</w:t>
      </w:r>
    </w:p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P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.1:</w:t>
      </w: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bude financovaný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zo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tneho rozpoč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tu. </w:t>
      </w: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6.3.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nasledovne</w:t>
      </w: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2409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A - z prostriedkov EÚ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 - z ďalších zdrojov financovania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5C4B9C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CE634D" w:rsidRPr="005C4B9C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C4B9C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.2:</w:t>
      </w: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nový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bude financovaný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iastoč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zo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tneho rozpoč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tu a 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iastoč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prostrední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č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erpania 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trukturá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lnych fondov. </w:t>
      </w: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</w:t>
      </w:r>
      <w:r w:rsidRPr="005C4B9C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C4B9C">
        <w:rPr>
          <w:rFonts w:ascii="Times New Roman" w:eastAsia="Calibri" w:hAnsi="Times New Roman"/>
          <w:sz w:val="24"/>
          <w:szCs w:val="24"/>
          <w:lang w:eastAsia="en-US"/>
        </w:rPr>
        <w:t>v 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>bode 6.3. vyplní</w:t>
      </w:r>
      <w:r w:rsidRPr="005C4B9C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2409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A - z prostriedkov EÚ</w:t>
            </w: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 - z ďalších zdrojov financovania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5C4B9C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CE634D" w:rsidRPr="005C4B9C" w:rsidP="007B71A4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</w:p>
    <w:p w:rsidR="00CB3623" w:rsidRPr="005C4B9C">
      <w:pPr>
        <w:bidi w:val="0"/>
        <w:rPr>
          <w:rFonts w:ascii="Times New Roman" w:hAnsi="Times New Roman"/>
        </w:rPr>
      </w:pPr>
    </w:p>
    <w:sectPr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RPr="00CE634D">
    <w:pPr>
      <w:pStyle w:val="Footer"/>
      <w:bidi w:val="0"/>
      <w:jc w:val="right"/>
      <w:rPr>
        <w:rFonts w:ascii="Times New Roman" w:hAnsi="Times New Roman"/>
        <w:sz w:val="22"/>
      </w:rPr>
    </w:pPr>
    <w:r w:rsidRPr="00CE634D">
      <w:rPr>
        <w:rFonts w:ascii="Times New Roman" w:hAnsi="Times New Roman"/>
        <w:sz w:val="22"/>
      </w:rPr>
      <w:fldChar w:fldCharType="begin"/>
    </w:r>
    <w:r w:rsidRPr="00CE634D">
      <w:rPr>
        <w:rFonts w:ascii="Times New Roman" w:hAnsi="Times New Roman"/>
        <w:sz w:val="22"/>
      </w:rPr>
      <w:instrText>PAGE   \* MERGEFORMAT</w:instrText>
    </w:r>
    <w:r w:rsidRPr="00CE634D">
      <w:rPr>
        <w:rFonts w:ascii="Times New Roman" w:hAnsi="Times New Roman"/>
        <w:sz w:val="22"/>
      </w:rPr>
      <w:fldChar w:fldCharType="separate"/>
    </w:r>
    <w:r w:rsidR="00C516C5">
      <w:rPr>
        <w:rFonts w:ascii="Times New Roman" w:hAnsi="Times New Roman"/>
        <w:noProof/>
        <w:sz w:val="22"/>
      </w:rPr>
      <w:t>1</w:t>
    </w:r>
    <w:r w:rsidRPr="00CE634D">
      <w:rPr>
        <w:rFonts w:ascii="Times New Roman" w:hAnsi="Times New Roman"/>
        <w:sz w:val="22"/>
      </w:rPr>
      <w:fldChar w:fldCharType="end"/>
    </w:r>
  </w:p>
  <w:p w:rsidR="00CE634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P="00CE634D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6</w:t>
    </w:r>
  </w:p>
  <w:p w:rsidR="00CE634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A15AE"/>
    <w:rsid w:val="00520344"/>
    <w:rsid w:val="005C4B9C"/>
    <w:rsid w:val="007B71A4"/>
    <w:rsid w:val="00C516C5"/>
    <w:rsid w:val="00CB3623"/>
    <w:rsid w:val="00CE634D"/>
    <w:rsid w:val="00F435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nformatizacia.sk/centralny-metainformacny-system-verejnej-spravy/10346s" TargetMode="External" /><Relationship Id="rId5" Type="http://schemas.openxmlformats.org/officeDocument/2006/relationships/hyperlink" Target="http://www.informatizacia.sk/pristup-do-metais/16150s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2571</Words>
  <Characters>14659</Characters>
  <Application>Microsoft Office Word</Application>
  <DocSecurity>0</DocSecurity>
  <Lines>0</Lines>
  <Paragraphs>0</Paragraphs>
  <ScaleCrop>false</ScaleCrop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Švedlárová Gabriela</cp:lastModifiedBy>
  <cp:revision>2</cp:revision>
  <dcterms:created xsi:type="dcterms:W3CDTF">2017-08-18T10:02:00Z</dcterms:created>
  <dcterms:modified xsi:type="dcterms:W3CDTF">2017-08-18T10:02:00Z</dcterms:modified>
</cp:coreProperties>
</file>