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23AC" w:rsidRPr="00131A48" w:rsidP="009023A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1A4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9023AC" w:rsidRPr="00131A48" w:rsidP="009023AC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D3164A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D61B87">
              <w:rPr>
                <w:rFonts w:ascii="Times New Roman" w:hAnsi="Times New Roman"/>
                <w:bCs/>
              </w:rPr>
              <w:t>N</w:t>
            </w:r>
            <w:r w:rsidRPr="00131A48" w:rsidR="00D61B87">
              <w:rPr>
                <w:rFonts w:ascii="Times New Roman" w:hAnsi="Times New Roman"/>
              </w:rPr>
              <w:t>ávrh zákona, ktorým sa mení a dopĺňa  zákon č. 199/2004 Z. z. Colný zákon a o zmene a doplnení niektorých zákonov v znení neskorších predpisov a ktorým sa men</w:t>
            </w:r>
            <w:r w:rsidRPr="00131A48" w:rsidR="00D3164A">
              <w:rPr>
                <w:rFonts w:ascii="Times New Roman" w:hAnsi="Times New Roman"/>
              </w:rPr>
              <w:t>ia</w:t>
            </w:r>
            <w:r w:rsidRPr="00131A48" w:rsidR="00D61B87">
              <w:rPr>
                <w:rFonts w:ascii="Times New Roman" w:hAnsi="Times New Roman"/>
              </w:rPr>
              <w:t xml:space="preserve"> a dopĺňa</w:t>
            </w:r>
            <w:r w:rsidRPr="00131A48" w:rsidR="00D3164A">
              <w:rPr>
                <w:rFonts w:ascii="Times New Roman" w:hAnsi="Times New Roman"/>
              </w:rPr>
              <w:t>jú</w:t>
            </w:r>
            <w:r w:rsidRPr="00131A48" w:rsidR="00D61B87">
              <w:rPr>
                <w:rFonts w:ascii="Times New Roman" w:hAnsi="Times New Roman"/>
              </w:rPr>
              <w:t xml:space="preserve"> </w:t>
            </w:r>
            <w:r w:rsidRPr="00131A48" w:rsidR="00D3164A">
              <w:rPr>
                <w:rFonts w:ascii="Times New Roman" w:hAnsi="Times New Roman"/>
              </w:rPr>
              <w:t>niektoré zákony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D5FFE" w:rsidRPr="00131A48" w:rsidP="00636B23">
            <w:pPr>
              <w:bidi w:val="0"/>
              <w:rPr>
                <w:rFonts w:ascii="Times New Roman" w:hAnsi="Times New Roman"/>
              </w:rPr>
            </w:pPr>
            <w:r w:rsidRPr="00131A48" w:rsidR="009023AC">
              <w:rPr>
                <w:rFonts w:ascii="Times New Roman" w:hAnsi="Times New Roman"/>
              </w:rPr>
              <w:t>Ministerstvo financií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×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</w:p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2491E">
            <w:pPr>
              <w:bidi w:val="0"/>
              <w:rPr>
                <w:rFonts w:ascii="Times New Roman" w:hAnsi="Times New Roman"/>
              </w:rPr>
            </w:pPr>
            <w:r w:rsidRPr="00131A48" w:rsidR="00E12A54">
              <w:rPr>
                <w:rFonts w:ascii="Times New Roman" w:hAnsi="Times New Roman"/>
              </w:rPr>
              <w:t>1</w:t>
            </w:r>
            <w:r w:rsidRPr="00131A48" w:rsidR="0082491E">
              <w:rPr>
                <w:rFonts w:ascii="Times New Roman" w:hAnsi="Times New Roman"/>
              </w:rPr>
              <w:t>9</w:t>
            </w:r>
            <w:r w:rsidRPr="00131A48" w:rsidR="001B0245">
              <w:rPr>
                <w:rFonts w:ascii="Times New Roman" w:hAnsi="Times New Roman"/>
              </w:rPr>
              <w:t>. 0</w:t>
            </w:r>
            <w:r w:rsidRPr="00131A48" w:rsidR="00E12A54">
              <w:rPr>
                <w:rFonts w:ascii="Times New Roman" w:hAnsi="Times New Roman"/>
              </w:rPr>
              <w:t>5</w:t>
            </w:r>
            <w:r w:rsidRPr="00131A48" w:rsidR="001B0245">
              <w:rPr>
                <w:rFonts w:ascii="Times New Roman" w:hAnsi="Times New Roman"/>
              </w:rPr>
              <w:t>.</w:t>
            </w:r>
            <w:r w:rsidRPr="00131A48" w:rsidR="00D429A0">
              <w:rPr>
                <w:rFonts w:ascii="Times New Roman" w:hAnsi="Times New Roman"/>
              </w:rPr>
              <w:t xml:space="preserve"> </w:t>
            </w:r>
            <w:r w:rsidRPr="00131A48" w:rsidR="001B0245">
              <w:rPr>
                <w:rFonts w:ascii="Times New Roman" w:hAnsi="Times New Roman"/>
              </w:rPr>
              <w:t xml:space="preserve">2017 - </w:t>
            </w:r>
            <w:r w:rsidRPr="00131A48" w:rsidR="0082491E">
              <w:rPr>
                <w:rFonts w:ascii="Times New Roman" w:hAnsi="Times New Roman"/>
              </w:rPr>
              <w:t>01</w:t>
            </w:r>
            <w:r w:rsidRPr="00131A48" w:rsidR="001B0245">
              <w:rPr>
                <w:rFonts w:ascii="Times New Roman" w:hAnsi="Times New Roman"/>
              </w:rPr>
              <w:t>. 0</w:t>
            </w:r>
            <w:r w:rsidRPr="00131A48" w:rsidR="0082491E">
              <w:rPr>
                <w:rFonts w:ascii="Times New Roman" w:hAnsi="Times New Roman"/>
              </w:rPr>
              <w:t>6</w:t>
            </w:r>
            <w:r w:rsidRPr="00131A48" w:rsidR="001B0245">
              <w:rPr>
                <w:rFonts w:ascii="Times New Roman" w:hAnsi="Times New Roman"/>
              </w:rPr>
              <w:t xml:space="preserve">. </w:t>
            </w:r>
            <w:r w:rsidRPr="00131A48" w:rsidR="00D429A0">
              <w:rPr>
                <w:rFonts w:ascii="Times New Roman" w:hAnsi="Times New Roman"/>
              </w:rPr>
              <w:t>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692B1A">
            <w:pPr>
              <w:bidi w:val="0"/>
              <w:rPr>
                <w:rFonts w:ascii="Times New Roman" w:hAnsi="Times New Roman"/>
              </w:rPr>
            </w:pPr>
            <w:r w:rsidRPr="00131A48" w:rsidR="00E12A54">
              <w:rPr>
                <w:rFonts w:ascii="Times New Roman" w:hAnsi="Times New Roman"/>
              </w:rPr>
              <w:t>jún</w:t>
            </w:r>
            <w:r w:rsidRPr="00131A48" w:rsidR="00D429A0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 w:rsidR="00E12A54">
              <w:rPr>
                <w:rFonts w:ascii="Times New Roman" w:hAnsi="Times New Roman"/>
              </w:rPr>
              <w:t>august</w:t>
            </w:r>
            <w:r w:rsidRPr="00131A48" w:rsidR="00D429A0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Definovanie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23359" w:rsidRPr="00131A48" w:rsidP="00223359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9725D9">
              <w:rPr>
                <w:rFonts w:ascii="Times New Roman" w:hAnsi="Times New Roman"/>
              </w:rPr>
              <w:t xml:space="preserve">Dôvodom </w:t>
            </w:r>
            <w:r w:rsidRPr="00131A48" w:rsidR="002F4E6B">
              <w:rPr>
                <w:rFonts w:ascii="Times New Roman" w:hAnsi="Times New Roman"/>
              </w:rPr>
              <w:t>vypracovania</w:t>
            </w:r>
            <w:r w:rsidRPr="00131A48" w:rsidR="009725D9">
              <w:rPr>
                <w:rFonts w:ascii="Times New Roman" w:hAnsi="Times New Roman"/>
              </w:rPr>
              <w:t xml:space="preserve"> návrhu zákona je implementácia niektorých ustanovení</w:t>
            </w:r>
          </w:p>
          <w:p w:rsidR="00223359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</w:t>
            </w:r>
            <w:r w:rsidRPr="00131A48" w:rsidR="009725D9">
              <w:rPr>
                <w:rFonts w:ascii="Times New Roman" w:hAnsi="Times New Roman"/>
              </w:rPr>
              <w:t xml:space="preserve"> vykonávacieho nariadenia Komisie (EÚ) 2015/2447 z 24. novembra 2015, ktorým sa stanovujú podrobné pravidlá vykonávania určitých ustanovení nariadenia Európskeho parlamentu a Rady (EÚ) č. 952/2013, ktorým sa ustanovuje Colný kódex Únie</w:t>
            </w:r>
            <w:r w:rsidRPr="00131A48">
              <w:rPr>
                <w:rFonts w:ascii="Times New Roman" w:hAnsi="Times New Roman"/>
              </w:rPr>
              <w:t>,</w:t>
            </w:r>
          </w:p>
          <w:p w:rsidR="00223359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</w:t>
            </w:r>
            <w:r w:rsidRPr="00131A48" w:rsidR="009725D9">
              <w:rPr>
                <w:rFonts w:ascii="Times New Roman" w:hAnsi="Times New Roman"/>
              </w:rPr>
              <w:t xml:space="preserve"> delegovaného nariadenia Komisie (EÚ) 2015/2446 z 28. júla 2015, ktorým sa dopĺňa nariadenie Európskeho parlamentu a Rady (EÚ) č. 952/2013, pokiaľ ide o podrobné pravidlá, ktorými sa bližšie určujú niektoré ustanovenia Colného kódexu Únie</w:t>
            </w:r>
            <w:r w:rsidRPr="00131A48">
              <w:rPr>
                <w:rFonts w:ascii="Times New Roman" w:hAnsi="Times New Roman"/>
              </w:rPr>
              <w:t xml:space="preserve"> </w:t>
            </w:r>
          </w:p>
          <w:p w:rsidR="00D3164A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223359">
              <w:rPr>
                <w:rFonts w:ascii="Times New Roman" w:hAnsi="Times New Roman"/>
              </w:rPr>
              <w:t xml:space="preserve">- </w:t>
            </w:r>
            <w:r w:rsidRPr="00131A48" w:rsidR="00246CC5">
              <w:rPr>
                <w:rFonts w:ascii="Times New Roman" w:hAnsi="Times New Roman"/>
              </w:rPr>
              <w:t>nariadenia Európskeho parlamentu a Rady (EÚ) 2015/1525, ktorým sa mení nariadenie Rady (ES) č. 515/97 o vzájomnej pomoci medzi správnymi orgánmi členských štátov a o spolupráci medzi správnymi orgánmi členských štátov a Komisiou pri zabezpečovaní riadneho uplatňovania predpisov o colných a poľnohospodárskych záležitostiach</w:t>
            </w:r>
            <w:r w:rsidRPr="00131A48">
              <w:rPr>
                <w:rFonts w:ascii="Times New Roman" w:hAnsi="Times New Roman"/>
              </w:rPr>
              <w:t xml:space="preserve"> a</w:t>
            </w:r>
          </w:p>
          <w:p w:rsidR="009023AC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D3164A">
              <w:rPr>
                <w:rFonts w:ascii="Times New Roman" w:hAnsi="Times New Roman"/>
              </w:rPr>
              <w:t xml:space="preserve">- nariadenia </w:t>
            </w:r>
            <w:r w:rsidRPr="00131A48" w:rsidR="00D3164A">
              <w:rPr>
                <w:rFonts w:ascii="Times New Roman" w:hAnsi="Times New Roman"/>
                <w:bCs/>
                <w:iCs/>
                <w:color w:val="000000"/>
              </w:rPr>
              <w:t>Rady (ES) č. 150/2003 z 21. januára 2003, ktorým sa odpúšťajú dovozné clá na určité zbrane a vojenské zariadenia</w:t>
            </w:r>
            <w:r w:rsidRPr="00131A48" w:rsidR="009725D9">
              <w:rPr>
                <w:rFonts w:ascii="Times New Roman" w:hAnsi="Times New Roman"/>
              </w:rPr>
              <w:t>.</w:t>
            </w:r>
          </w:p>
          <w:p w:rsidR="003108CD" w:rsidRPr="00131A48" w:rsidP="00F86B4B">
            <w:pPr>
              <w:bidi w:val="0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Návrhom zákona sa tiež upravujú niektoré ustano</w:t>
            </w:r>
            <w:r w:rsidRPr="00131A48" w:rsidR="00F86B4B">
              <w:rPr>
                <w:rFonts w:ascii="Times New Roman" w:hAnsi="Times New Roman"/>
              </w:rPr>
              <w:t xml:space="preserve">venia Colného zákona na základe </w:t>
            </w:r>
            <w:r w:rsidRPr="00131A48">
              <w:rPr>
                <w:rFonts w:ascii="Times New Roman" w:hAnsi="Times New Roman"/>
              </w:rPr>
              <w:t>poznatkov z aplikačnej praxe.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12A54" w:rsidRPr="00131A48" w:rsidP="004B4545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4B4545">
              <w:rPr>
                <w:rFonts w:ascii="Times New Roman" w:hAnsi="Times New Roman"/>
              </w:rPr>
              <w:t>Cieľom návrhu zákona je</w:t>
            </w:r>
          </w:p>
          <w:p w:rsidR="004B4545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F86B4B">
              <w:rPr>
                <w:rFonts w:ascii="Times New Roman" w:hAnsi="Times New Roman"/>
              </w:rPr>
              <w:t xml:space="preserve">- </w:t>
            </w:r>
            <w:r w:rsidRPr="00131A48" w:rsidR="00E12A54">
              <w:rPr>
                <w:rFonts w:ascii="Times New Roman" w:hAnsi="Times New Roman"/>
              </w:rPr>
              <w:t>zosúladenie miesta predloženia tovaru a výkonu colnej kontroly s príslušnými    ustanoveniami Colného kódexu</w:t>
            </w:r>
            <w:r w:rsidRPr="00131A48" w:rsidR="00A67DDB">
              <w:rPr>
                <w:rFonts w:ascii="Times New Roman" w:hAnsi="Times New Roman"/>
              </w:rPr>
              <w:t xml:space="preserve"> Únie</w:t>
            </w:r>
            <w:r w:rsidRPr="00131A48" w:rsidR="00E12A54">
              <w:rPr>
                <w:rFonts w:ascii="Times New Roman" w:hAnsi="Times New Roman"/>
              </w:rPr>
              <w:t xml:space="preserve">, </w:t>
            </w:r>
          </w:p>
          <w:p w:rsidR="004B4545" w:rsidRPr="00131A48" w:rsidP="004B454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- pri </w:t>
            </w:r>
            <w:r w:rsidRPr="00131A48" w:rsidR="00F72A3B">
              <w:rPr>
                <w:rFonts w:ascii="Times New Roman" w:hAnsi="Times New Roman"/>
              </w:rPr>
              <w:t xml:space="preserve">celkovej </w:t>
            </w:r>
            <w:r w:rsidRPr="00131A48">
              <w:rPr>
                <w:rFonts w:ascii="Times New Roman" w:hAnsi="Times New Roman"/>
              </w:rPr>
              <w:t xml:space="preserve">záruke na colný dlh poskytnutej zložením peňažných prostriedkov v hotovosti ustanovenie </w:t>
            </w:r>
            <w:r w:rsidRPr="00131A48" w:rsidR="00F72A3B">
              <w:rPr>
                <w:rFonts w:ascii="Times New Roman" w:hAnsi="Times New Roman"/>
              </w:rPr>
              <w:t>postupu vrátenia poskytnutých peňažných prostriedkov</w:t>
            </w:r>
            <w:r w:rsidRPr="00131A48">
              <w:rPr>
                <w:rFonts w:ascii="Times New Roman" w:hAnsi="Times New Roman"/>
              </w:rPr>
              <w:t xml:space="preserve"> na návrh osoby, ktorá takúto záruku poskytla, </w:t>
            </w:r>
          </w:p>
          <w:p w:rsidR="004B4545" w:rsidRPr="00131A48" w:rsidP="004B454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 ustanovenie osobitnej úpravy o ručiteľskom vyhlásení pri ručení vo forme jednotlivej záruky podaného v elektronickej podobe,</w:t>
            </w:r>
          </w:p>
          <w:p w:rsidR="004B4545" w:rsidRPr="00131A48" w:rsidP="004B454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 vo vzťahu k celkovej záruke ustanovenie osobitného ručiteľského vyhlásenia, ktoré nebude vyžadovať také podrobné a administratívne náročné rozdelenie celkovej výšky referenčnej sumy, ako je to v platnej právnej úprave Európskej únie,</w:t>
            </w:r>
          </w:p>
          <w:p w:rsidR="00E12A54" w:rsidRPr="00131A48" w:rsidP="00E12A54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 úprava podmienok nakladania s tovarom, ktorý bol zaistený alebo prenechaný v prospech štátu,</w:t>
            </w:r>
          </w:p>
          <w:p w:rsidR="004B4545" w:rsidRPr="00131A48" w:rsidP="004B454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 doplnenie novej skutkovej podstaty pre colný delikt a colný priestupok,</w:t>
            </w:r>
          </w:p>
          <w:p w:rsidR="00E12A54" w:rsidRPr="00131A48" w:rsidP="00E12A54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4B4545">
              <w:rPr>
                <w:rFonts w:ascii="Times New Roman" w:hAnsi="Times New Roman"/>
              </w:rPr>
              <w:t>- rozšírenie možnosti postúpenia dočasne nevymožiteľného nedoplatku</w:t>
            </w:r>
            <w:r w:rsidRPr="00131A48" w:rsidR="002931F0">
              <w:rPr>
                <w:rFonts w:ascii="Times New Roman" w:hAnsi="Times New Roman"/>
              </w:rPr>
              <w:t>,</w:t>
            </w:r>
          </w:p>
          <w:p w:rsidR="00D3164A" w:rsidRPr="00131A48" w:rsidP="00E12A54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- </w:t>
            </w:r>
            <w:r w:rsidRPr="00131A48" w:rsidR="00C75635">
              <w:rPr>
                <w:rFonts w:ascii="Times New Roman" w:hAnsi="Times New Roman"/>
              </w:rPr>
              <w:t xml:space="preserve">ustanovenie kompetencie pre Ministerstvo obrany Slovenskej republiky v súvislosti s implementáciou </w:t>
            </w:r>
            <w:r w:rsidRPr="00131A48" w:rsidR="002D2EC6">
              <w:rPr>
                <w:rFonts w:ascii="Times New Roman" w:hAnsi="Times New Roman"/>
              </w:rPr>
              <w:t>nariadenia Rady (ES) č. 150/2003,</w:t>
            </w:r>
          </w:p>
          <w:p w:rsidR="0078622E" w:rsidRPr="00131A48" w:rsidP="00E12A54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- ustanovenie podmienok </w:t>
            </w:r>
            <w:r w:rsidRPr="00131A48" w:rsidR="0027661E">
              <w:rPr>
                <w:rFonts w:ascii="Times New Roman" w:hAnsi="Times New Roman"/>
              </w:rPr>
              <w:t>štátnej služby duchovného colníkov a pravidiel jej vykonávania</w:t>
            </w:r>
            <w:r w:rsidRPr="00131A48">
              <w:rPr>
                <w:rFonts w:ascii="Times New Roman" w:hAnsi="Times New Roman"/>
              </w:rPr>
              <w:t>,</w:t>
            </w:r>
          </w:p>
          <w:p w:rsidR="004B4545" w:rsidRPr="00131A48" w:rsidP="004B454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-</w:t>
            </w:r>
            <w:r w:rsidRPr="00131A48" w:rsidR="00E12A54">
              <w:rPr>
                <w:rFonts w:ascii="Times New Roman" w:hAnsi="Times New Roman"/>
              </w:rPr>
              <w:t xml:space="preserve"> </w:t>
            </w:r>
            <w:r w:rsidRPr="00131A48" w:rsidR="009A075D">
              <w:rPr>
                <w:rFonts w:ascii="Times New Roman" w:hAnsi="Times New Roman"/>
              </w:rPr>
              <w:t xml:space="preserve">ustanovenie novej kompetencie pre Finančné riaditeľstvo Slovenskej republiky v nadväznosti </w:t>
            </w:r>
            <w:r w:rsidRPr="00131A48">
              <w:rPr>
                <w:rFonts w:ascii="Times New Roman" w:hAnsi="Times New Roman"/>
              </w:rPr>
              <w:t xml:space="preserve">na </w:t>
            </w:r>
            <w:r w:rsidRPr="00131A48" w:rsidR="009A075D">
              <w:rPr>
                <w:rFonts w:ascii="Times New Roman" w:hAnsi="Times New Roman"/>
              </w:rPr>
              <w:t xml:space="preserve">znenie </w:t>
            </w:r>
            <w:r w:rsidRPr="00131A48">
              <w:rPr>
                <w:rFonts w:ascii="Times New Roman" w:hAnsi="Times New Roman"/>
              </w:rPr>
              <w:t>čl. 27 vykonávacieho nariadenia Komisie (EÚ) 2015/2447</w:t>
            </w:r>
            <w:r w:rsidRPr="00131A48" w:rsidR="009A075D">
              <w:rPr>
                <w:rFonts w:ascii="Times New Roman" w:hAnsi="Times New Roman"/>
              </w:rPr>
              <w:t>,</w:t>
            </w:r>
          </w:p>
          <w:p w:rsidR="009023AC" w:rsidRPr="00131A48" w:rsidP="00DD28AD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4B4545">
              <w:rPr>
                <w:rFonts w:ascii="Times New Roman" w:hAnsi="Times New Roman"/>
              </w:rPr>
              <w:t>- odstránen</w:t>
            </w:r>
            <w:r w:rsidRPr="00131A48" w:rsidR="009C1634">
              <w:rPr>
                <w:rFonts w:ascii="Times New Roman" w:hAnsi="Times New Roman"/>
              </w:rPr>
              <w:t>ie terminologických nepresností</w:t>
            </w:r>
            <w:r w:rsidRPr="00131A48" w:rsidR="009A075D">
              <w:rPr>
                <w:rFonts w:ascii="Times New Roman" w:hAnsi="Times New Roman"/>
              </w:rPr>
              <w:t xml:space="preserve"> a</w:t>
            </w:r>
          </w:p>
          <w:p w:rsidR="009158C0" w:rsidRPr="00131A48" w:rsidP="00B06BB5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9C1634">
              <w:rPr>
                <w:rFonts w:ascii="Times New Roman" w:hAnsi="Times New Roman"/>
              </w:rPr>
              <w:t>- reakcia na požiadavky</w:t>
            </w:r>
            <w:r w:rsidRPr="00131A48" w:rsidR="009A075D">
              <w:rPr>
                <w:rFonts w:ascii="Times New Roman" w:hAnsi="Times New Roman"/>
              </w:rPr>
              <w:t xml:space="preserve"> </w:t>
            </w:r>
            <w:r w:rsidRPr="00131A48" w:rsidR="001D74A0">
              <w:rPr>
                <w:rFonts w:ascii="Times New Roman" w:hAnsi="Times New Roman"/>
              </w:rPr>
              <w:t>aplikačnej p</w:t>
            </w:r>
            <w:r w:rsidRPr="00131A48" w:rsidR="009A075D">
              <w:rPr>
                <w:rFonts w:ascii="Times New Roman" w:hAnsi="Times New Roman"/>
              </w:rPr>
              <w:t>ra</w:t>
            </w:r>
            <w:r w:rsidRPr="00131A48" w:rsidR="001D74A0">
              <w:rPr>
                <w:rFonts w:ascii="Times New Roman" w:hAnsi="Times New Roman"/>
              </w:rPr>
              <w:t>xe</w:t>
            </w:r>
            <w:r w:rsidRPr="00131A48" w:rsidR="009A075D"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61BA3" w:rsidRPr="00131A48" w:rsidP="006E3FFE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6E3FFE">
              <w:rPr>
                <w:rFonts w:ascii="Times New Roman" w:hAnsi="Times New Roman"/>
              </w:rPr>
              <w:t>V</w:t>
            </w:r>
            <w:r w:rsidRPr="00131A48" w:rsidR="008F1FAF">
              <w:rPr>
                <w:rFonts w:ascii="Times New Roman" w:hAnsi="Times New Roman"/>
              </w:rPr>
              <w:t xml:space="preserve">šetky </w:t>
            </w:r>
            <w:r w:rsidRPr="00131A48" w:rsidR="00715788">
              <w:rPr>
                <w:rFonts w:ascii="Times New Roman" w:hAnsi="Times New Roman"/>
              </w:rPr>
              <w:t xml:space="preserve">hospodárske </w:t>
            </w:r>
            <w:r w:rsidRPr="00131A48" w:rsidR="008F1FAF">
              <w:rPr>
                <w:rFonts w:ascii="Times New Roman" w:hAnsi="Times New Roman"/>
              </w:rPr>
              <w:t>subjekty</w:t>
            </w:r>
            <w:r w:rsidRPr="00131A48" w:rsidR="00715788">
              <w:rPr>
                <w:rFonts w:ascii="Times New Roman" w:hAnsi="Times New Roman"/>
              </w:rPr>
              <w:t>, ktoré pri vykonávaní svojej obchodnej činnosti prichádzajú do kontaktu s colnými orgánmi a </w:t>
            </w:r>
            <w:r w:rsidRPr="00131A48" w:rsidR="00274C8E">
              <w:rPr>
                <w:rFonts w:ascii="Times New Roman" w:hAnsi="Times New Roman"/>
              </w:rPr>
              <w:t>uplatňu</w:t>
            </w:r>
            <w:r w:rsidRPr="00131A48" w:rsidR="00715788">
              <w:rPr>
                <w:rFonts w:ascii="Times New Roman" w:hAnsi="Times New Roman"/>
              </w:rPr>
              <w:t>jú colné predpisy</w:t>
            </w:r>
            <w:r w:rsidRPr="00131A48" w:rsidR="008F1FAF">
              <w:rPr>
                <w:rFonts w:ascii="Times New Roman" w:hAnsi="Times New Roman"/>
              </w:rPr>
              <w:t xml:space="preserve"> </w:t>
            </w:r>
            <w:r w:rsidRPr="00131A48" w:rsidR="006E3FFE">
              <w:rPr>
                <w:rFonts w:ascii="Times New Roman" w:hAnsi="Times New Roman"/>
              </w:rPr>
              <w:t>(napr. hospodárske subjekty, ktoré žiadajú o udelenie statusu schváleného hospodárskeho subjektu, o</w:t>
            </w:r>
            <w:r w:rsidRPr="00131A48">
              <w:rPr>
                <w:rFonts w:ascii="Times New Roman" w:hAnsi="Times New Roman"/>
              </w:rPr>
              <w:t>soby podávajúce žiadosť o schválenie byť ručiteľ</w:t>
            </w:r>
            <w:r w:rsidRPr="00131A48" w:rsidR="006E3FFE">
              <w:rPr>
                <w:rFonts w:ascii="Times New Roman" w:hAnsi="Times New Roman"/>
              </w:rPr>
              <w:t>om, dopravcovia)</w:t>
            </w:r>
            <w:r w:rsidRPr="00131A48" w:rsidR="00545E69"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2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i/>
              </w:rPr>
            </w:pPr>
            <w:r w:rsidRPr="00131A48" w:rsidR="00523ED6">
              <w:rPr>
                <w:rFonts w:ascii="Times New Roman" w:hAnsi="Times New Roman"/>
              </w:rPr>
              <w:t>Neboli zvažované žiadne alternatívne riešenia.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i/>
              </w:rPr>
            </w:pPr>
            <w:r w:rsidRPr="00131A48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A3681">
            <w:pPr>
              <w:bidi w:val="0"/>
              <w:jc w:val="center"/>
              <w:rPr>
                <w:rFonts w:ascii="Times New Roman" w:hAnsi="Times New Roman"/>
              </w:rPr>
            </w:pPr>
            <w:r w:rsidRPr="00131A48" w:rsidR="008A3681">
              <w:rPr>
                <w:rFonts w:ascii="MS Gothic" w:eastAsia="MS Gothic" w:hAnsi="MS Gothic"/>
              </w:rPr>
              <w:t xml:space="preserve">x </w:t>
            </w:r>
            <w:r w:rsidRPr="00131A48">
              <w:rPr>
                <w:rFonts w:ascii="Times New Roman" w:hAnsi="Times New Roman"/>
              </w:rPr>
              <w:t>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A3681">
            <w:pPr>
              <w:bidi w:val="0"/>
              <w:jc w:val="center"/>
              <w:rPr>
                <w:rFonts w:ascii="Times New Roman" w:hAnsi="Times New Roman"/>
              </w:rPr>
            </w:pPr>
            <w:r w:rsidRPr="00131A48" w:rsidR="008A3681">
              <w:rPr>
                <w:rFonts w:ascii="MS Gothic" w:eastAsia="MS Gothic" w:hAnsi="MS Gothic" w:hint="eastAsia"/>
              </w:rPr>
              <w:t>☐</w:t>
            </w:r>
            <w:r w:rsidRPr="00131A48" w:rsidR="008A3681">
              <w:rPr>
                <w:rFonts w:ascii="Times New Roman" w:hAnsi="Times New Roman"/>
              </w:rPr>
              <w:t xml:space="preserve"> </w:t>
            </w:r>
            <w:r w:rsidRPr="00131A48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80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120AD" w:rsidRPr="00131A48" w:rsidP="004120AD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5A74C1">
              <w:rPr>
                <w:rFonts w:ascii="Times New Roman" w:hAnsi="Times New Roman"/>
              </w:rPr>
              <w:t>Navrhuje sa prijať vykonávací predpis, ktorý ustanoví</w:t>
            </w:r>
            <w:r w:rsidRPr="00131A48">
              <w:rPr>
                <w:rFonts w:ascii="Times New Roman" w:hAnsi="Times New Roman"/>
              </w:rPr>
              <w:t>:</w:t>
            </w:r>
          </w:p>
          <w:p w:rsidR="004120AD" w:rsidRPr="00131A48" w:rsidP="00F86B4B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131A48" w:rsidR="00F86B4B">
              <w:rPr>
                <w:rFonts w:ascii="Times New Roman" w:hAnsi="Times New Roman"/>
              </w:rPr>
              <w:t xml:space="preserve">- </w:t>
            </w:r>
            <w:r w:rsidRPr="00131A48">
              <w:rPr>
                <w:rFonts w:ascii="Times New Roman" w:hAnsi="Times New Roman"/>
              </w:rPr>
              <w:t xml:space="preserve">podrobnosti o skúške podľa predpisu Európskej únie, skúšobnej komisii a vzor osvedčenia </w:t>
            </w:r>
            <w:r w:rsidRPr="00131A48" w:rsidR="00F86B4B">
              <w:rPr>
                <w:rFonts w:ascii="Times New Roman" w:hAnsi="Times New Roman"/>
              </w:rPr>
              <w:t xml:space="preserve">      </w:t>
            </w:r>
            <w:r w:rsidRPr="00131A48">
              <w:rPr>
                <w:rFonts w:ascii="Times New Roman" w:hAnsi="Times New Roman"/>
              </w:rPr>
              <w:t>o úspešnom vykonaní skúšky,</w:t>
            </w:r>
          </w:p>
          <w:p w:rsidR="00F86B4B" w:rsidRPr="00131A48" w:rsidP="00337FF7">
            <w:pPr>
              <w:bidi w:val="0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- </w:t>
            </w:r>
            <w:r w:rsidRPr="00131A48" w:rsidR="004120AD">
              <w:rPr>
                <w:rFonts w:ascii="Times New Roman" w:hAnsi="Times New Roman"/>
              </w:rPr>
              <w:t>vzor ručiteľského vyhlásenie pri ručení vo forme celkovej záruky,</w:t>
            </w:r>
          </w:p>
          <w:p w:rsidR="005A74C1" w:rsidRPr="00131A48" w:rsidP="00F86B4B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F86B4B">
              <w:rPr>
                <w:rFonts w:ascii="Times New Roman" w:hAnsi="Times New Roman"/>
              </w:rPr>
              <w:t xml:space="preserve">- </w:t>
            </w:r>
            <w:r w:rsidRPr="00131A48" w:rsidR="004120AD">
              <w:rPr>
                <w:rFonts w:ascii="Times New Roman" w:hAnsi="Times New Roman"/>
              </w:rPr>
              <w:t xml:space="preserve">vzor formuláru žiadosti o vykonanie colnej kontroly mimo určených úradných hodín.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 w:rsidR="002548B6">
              <w:rPr>
                <w:rFonts w:ascii="Times New Roman" w:hAnsi="Times New Roman"/>
              </w:rPr>
              <w:t>Nie.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2548B6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2548B6">
            <w:pPr>
              <w:bidi w:val="0"/>
              <w:ind w:left="284" w:hanging="284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* vyplniť iba v prípade, ak materiál nie je zahrnutý do Plánu práce vlády Slovenskej republiky alebo Plánu </w:t>
            </w:r>
            <w:r w:rsidRPr="00131A48" w:rsidR="002548B6">
              <w:rPr>
                <w:rFonts w:ascii="Times New Roman" w:hAnsi="Times New Roman"/>
              </w:rPr>
              <w:t>l</w:t>
            </w:r>
            <w:r w:rsidRPr="00131A48">
              <w:rPr>
                <w:rFonts w:ascii="Times New Roman" w:hAnsi="Times New Roman"/>
              </w:rPr>
              <w:t xml:space="preserve">egislatívnych úloh vlády Slovenskej republiky. </w:t>
            </w:r>
          </w:p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2074E7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5F3638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2074E7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2074E7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131A48" w:rsidR="002074E7">
              <w:rPr>
                <w:rFonts w:ascii="MS Mincho" w:eastAsia="MS Mincho" w:hAnsi="MS Mincho" w:cs="MS Mincho"/>
                <w:b/>
              </w:rPr>
              <w:t xml:space="preserve">x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 w:rsidR="002074E7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34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B61BA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B61BA3">
              <w:rPr>
                <w:rFonts w:ascii="MS Mincho" w:eastAsia="MS Mincho" w:hAnsi="MS Mincho" w:cs="MS Mincho"/>
                <w:b/>
              </w:rPr>
              <w:t xml:space="preserve">x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B61BA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right="-108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</w:rPr>
            </w:pPr>
            <w:r w:rsidRPr="00131A4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54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675DCC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 w:rsidR="00675DCC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MS Mincho" w:eastAsia="MS Mincho" w:hAnsi="MS Mincho"/>
                <w:b/>
              </w:rPr>
            </w:pPr>
            <w:r w:rsidRPr="00131A48" w:rsidR="00675DCC">
              <w:rPr>
                <w:rFonts w:ascii="MS Mincho" w:eastAsia="MS Mincho" w:hAnsi="MS Mincho"/>
                <w:b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9023AC" w:rsidRPr="00131A48" w:rsidP="009023AC">
      <w:pPr>
        <w:bidi w:val="0"/>
        <w:rPr>
          <w:rFonts w:ascii="Times New Roman" w:hAnsi="Times New Roman"/>
          <w:vanish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131A48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MS Mincho" w:eastAsia="MS Mincho" w:hAnsi="MS Mincho"/>
                <w:b/>
              </w:rPr>
            </w:pPr>
            <w:r w:rsidRPr="00131A48" w:rsidR="00675DCC">
              <w:rPr>
                <w:rFonts w:ascii="MS Mincho" w:eastAsia="MS Mincho" w:hAnsi="MS Mincho"/>
                <w:b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 w:rsidRPr="00131A48"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MS Mincho" w:eastAsia="MS Mincho" w:hAnsi="MS Mincho"/>
                <w:b/>
              </w:rPr>
            </w:pPr>
            <w:r w:rsidRPr="00131A48" w:rsidR="00675DCC">
              <w:rPr>
                <w:rFonts w:ascii="MS Mincho" w:eastAsia="MS Mincho" w:hAnsi="MS Mincho"/>
                <w:b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1A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23AC" w:rsidRPr="00131A48" w:rsidP="008D1A94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9023AC" w:rsidRPr="00131A48" w:rsidP="009023AC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A41FDF" w:rsidRPr="00131A48" w:rsidP="00495137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131A48" w:rsidR="00495137">
              <w:rPr>
                <w:rFonts w:ascii="Times New Roman" w:hAnsi="Times New Roman"/>
              </w:rPr>
              <w:t xml:space="preserve">Ustanovuje sa nová možnosť podať ručiteľské vyhlásenie  pri ručení vo forme jednotlivej záruky v elektronickej podobe. Predpokladaný vplyv zavedenia tejto možnosti na rozpočet verejnej správy je vo výške 250 320 eur. </w:t>
            </w:r>
            <w:r w:rsidRPr="00131A48" w:rsidR="00C006CA">
              <w:rPr>
                <w:rFonts w:ascii="Times New Roman" w:hAnsi="Times New Roman"/>
              </w:rPr>
              <w:t>Vyvolané vplyvy na úpravy pri elektronickom doručovaní prostredníctvom Centrálneho elektronického priečinka sa odhadujú vo výške 65 688 eur</w:t>
            </w:r>
            <w:r w:rsidRPr="00131A48" w:rsidR="00BC4AC4">
              <w:rPr>
                <w:rFonts w:ascii="Times New Roman" w:hAnsi="Times New Roman"/>
              </w:rPr>
              <w:t xml:space="preserve"> a budú zahrnuté do celkových výdavkov súvisiacich s pripravovaným dodatkom k </w:t>
            </w:r>
            <w:r w:rsidRPr="00131A48">
              <w:rPr>
                <w:rFonts w:ascii="Times New Roman" w:hAnsi="Times New Roman"/>
              </w:rPr>
              <w:t>Z</w:t>
            </w:r>
            <w:r w:rsidRPr="00131A48" w:rsidR="00BC4AC4">
              <w:rPr>
                <w:rFonts w:ascii="Times New Roman" w:hAnsi="Times New Roman"/>
              </w:rPr>
              <w:t>mluve o vytvorení, dodávke a implementácii elektronického dovozu</w:t>
            </w:r>
            <w:r w:rsidRPr="00131A48" w:rsidR="004F0172">
              <w:rPr>
                <w:rFonts w:ascii="Times New Roman" w:hAnsi="Times New Roman"/>
              </w:rPr>
              <w:t>.</w:t>
            </w:r>
            <w:r w:rsidRPr="00131A48" w:rsidR="00C006CA">
              <w:rPr>
                <w:rFonts w:ascii="Times New Roman" w:hAnsi="Times New Roman"/>
              </w:rPr>
              <w:t xml:space="preserve"> </w:t>
            </w:r>
            <w:r w:rsidRPr="00131A48">
              <w:rPr>
                <w:rFonts w:ascii="Times New Roman" w:hAnsi="Times New Roman"/>
                <w:bCs/>
              </w:rPr>
              <w:t>Negatívny vplyv bude rozpočtovo zabezpečený v rámci limitov výdavkov dotknutej kapitoly na príslušný rozpočtový rok.</w:t>
            </w:r>
          </w:p>
          <w:p w:rsidR="004D27C4" w:rsidRPr="00131A48" w:rsidP="00495137">
            <w:pPr>
              <w:bidi w:val="0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V súvislosti so zavedením možnosti podávať ručiteľské vyhlásenie v elektronickej podobe dôjde k zníženiu administratívnej záťaže podnikateľov a k zrýchleniu a zjednodušeniu colného konania. </w:t>
            </w:r>
            <w:r w:rsidRPr="00131A48" w:rsidR="00F00213">
              <w:rPr>
                <w:rFonts w:ascii="Times New Roman" w:hAnsi="Times New Roman"/>
              </w:rPr>
              <w:t xml:space="preserve">Na základe podnetov podnikateľskej verejnosti bola v návrhu zákona upravená skutková podstata colného deliktu alebo colného priestupku tak, že deklarant sa dopustí colného deliktu alebo colného priestupku len vtedy, ak v dôsledku jeho konania dôjde k vymeraniu nižšej ako skutočne dlžnej sume colného dlhu, dane z pridanej hodnoty alebo spotrebnej dane pri dovoze alebo k neuplatneniu obchodnopolitických opatrení alebo iných zákazov a obmedzení. Zároveň sa zavádza liberačné ustanovenie, podľa ktorého zodpovednosť deklaranta za porušenie colných predpisov podľa § 72 ods. 1 písm. d) zákona zaniká, ak deklarant sám </w:t>
            </w:r>
            <w:r w:rsidRPr="00131A48" w:rsidR="00576C4A">
              <w:rPr>
                <w:rFonts w:ascii="Times New Roman" w:hAnsi="Times New Roman"/>
              </w:rPr>
              <w:t>p</w:t>
            </w:r>
            <w:r w:rsidR="00350497">
              <w:rPr>
                <w:rFonts w:ascii="Times New Roman" w:hAnsi="Times New Roman"/>
              </w:rPr>
              <w:t xml:space="preserve">odá </w:t>
            </w:r>
            <w:r w:rsidRPr="00131A48" w:rsidR="00576C4A">
              <w:rPr>
                <w:rFonts w:ascii="Times New Roman" w:hAnsi="Times New Roman"/>
              </w:rPr>
              <w:t>žiadosť o opravu</w:t>
            </w:r>
            <w:r w:rsidRPr="00131A48" w:rsidR="00F00213">
              <w:rPr>
                <w:rFonts w:ascii="Times New Roman" w:hAnsi="Times New Roman"/>
              </w:rPr>
              <w:t xml:space="preserve"> nesprávnych údajov alebo nepravdivých údajov colnému úradu, ktorý rozhodol o prepustení tovaru a sú splnené ďalšie taxatívne ustanovené podmienky.</w:t>
            </w:r>
          </w:p>
          <w:p w:rsidR="00F0346F" w:rsidRPr="00131A48" w:rsidP="00495137">
            <w:pPr>
              <w:bidi w:val="0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131A48">
              <w:rPr>
                <w:rFonts w:ascii="Times New Roman" w:hAnsi="Times New Roman"/>
              </w:rPr>
              <w:t xml:space="preserve">Z dôvodu implementácie nariadenia </w:t>
            </w:r>
            <w:r w:rsidRPr="00131A48">
              <w:rPr>
                <w:rFonts w:ascii="Times New Roman" w:hAnsi="Times New Roman"/>
                <w:bCs/>
                <w:iCs/>
                <w:color w:val="000000"/>
              </w:rPr>
              <w:t>Rady (ES) č. 150/2003</w:t>
            </w:r>
            <w:r w:rsidRPr="00131A48" w:rsidR="00576C4A">
              <w:rPr>
                <w:rFonts w:ascii="Times New Roman" w:hAnsi="Times New Roman"/>
                <w:bCs/>
                <w:iCs/>
                <w:color w:val="000000"/>
              </w:rPr>
              <w:t>,</w:t>
            </w:r>
            <w:r w:rsidRPr="00131A48">
              <w:rPr>
                <w:rFonts w:ascii="Times New Roman" w:hAnsi="Times New Roman"/>
                <w:bCs/>
                <w:iCs/>
                <w:color w:val="000000"/>
              </w:rPr>
              <w:t xml:space="preserve"> ktorým sa odpúšťajú dovozné clá na určité zbrane a vojenské zariadenia</w:t>
            </w:r>
            <w:r w:rsidRPr="00131A48" w:rsidR="00576C4A">
              <w:rPr>
                <w:rFonts w:ascii="Times New Roman" w:hAnsi="Times New Roman"/>
                <w:bCs/>
                <w:iCs/>
                <w:color w:val="000000"/>
              </w:rPr>
              <w:t xml:space="preserve"> sa návrhom zákona ustanovuje kompetencia pre Ministerstvo obrany SR – vydávať certifikát uvedený v prílohe III uvedeného nariadenia a poskytovať Európskej komisii požadované informácie.</w:t>
            </w:r>
            <w:r w:rsidRPr="00131A48" w:rsidR="00B65D8A">
              <w:rPr>
                <w:rFonts w:ascii="Times New Roman" w:hAnsi="Times New Roman"/>
                <w:bCs/>
                <w:iCs/>
                <w:color w:val="000000"/>
              </w:rPr>
              <w:t xml:space="preserve"> Navrhovaná právna úprava bude mať pozitívny vplyv na </w:t>
            </w:r>
            <w:r w:rsidRPr="00131A48" w:rsidR="002A3C12">
              <w:rPr>
                <w:rFonts w:ascii="Times New Roman" w:hAnsi="Times New Roman"/>
                <w:bCs/>
                <w:iCs/>
                <w:color w:val="000000"/>
              </w:rPr>
              <w:t xml:space="preserve">rozpočet verejnej správy – rozpočtovú kapitolu Ministerstva obrany SR. Pozitívny vplyv však nie je možné vyčísliť, pretože závisí od množstva nakupovaného vojenského materiálu z krajín mimo EÚ. </w:t>
            </w:r>
          </w:p>
          <w:p w:rsidR="0027272C" w:rsidRPr="00131A48" w:rsidP="00495137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1D7609">
              <w:rPr>
                <w:rFonts w:ascii="Times New Roman" w:hAnsi="Times New Roman"/>
              </w:rPr>
              <w:t>Návrhom zákona sa zabezpečujú podmienky na výkon duchovnej a pastoračnej činnosti pre veriacich colníkov a ich rodinných príslušníkov. V nadväznosti na zakotvenie duchovnej služby a pastoračnej služby ako štátnej služby na účely zákona č. 200/1998 Z. z. sa upravujú ďalšie ustanovenia týkajúce sa vzniku, zmien a skončenia štátnej služby colníkov.</w:t>
            </w:r>
          </w:p>
          <w:p w:rsidR="009023AC" w:rsidRPr="00131A48" w:rsidP="00495137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131A48" w:rsidR="0099014D">
              <w:rPr>
                <w:rFonts w:ascii="Times New Roman" w:hAnsi="Times New Roman"/>
              </w:rPr>
              <w:t>Návrhom zákona sa ustanovuje nová kompetencia pre Finančné riaditeľstvo SR</w:t>
            </w:r>
            <w:r w:rsidRPr="00131A48" w:rsidR="00D16738">
              <w:rPr>
                <w:rFonts w:ascii="Times New Roman" w:hAnsi="Times New Roman"/>
              </w:rPr>
              <w:t xml:space="preserve">, a to </w:t>
            </w:r>
            <w:r w:rsidRPr="00131A48" w:rsidR="0099014D">
              <w:rPr>
                <w:rFonts w:ascii="Times New Roman" w:hAnsi="Times New Roman"/>
              </w:rPr>
              <w:t xml:space="preserve">vykonávanie školení v oblasti colných a daňových predpisov a organizačné zabezpečenie skúšok podľa predpisu </w:t>
            </w:r>
            <w:r w:rsidRPr="00131A48" w:rsidR="00D16738">
              <w:rPr>
                <w:rFonts w:ascii="Times New Roman" w:hAnsi="Times New Roman"/>
              </w:rPr>
              <w:t xml:space="preserve">EÚ </w:t>
            </w:r>
            <w:r w:rsidRPr="00131A48" w:rsidR="0099014D">
              <w:rPr>
                <w:rFonts w:ascii="Times New Roman" w:hAnsi="Times New Roman"/>
              </w:rPr>
              <w:t xml:space="preserve">za úhradu v rozsahu vynaložených nákladov. Výdavky s tým spojené budú mať negatívny vplyv na rozpočet verejnej správy, ktoré však budú zabezpečené v rámci schválených limitov kapitoly MF SR na príslušný rozpočtový rok, bez požiadaviek na ich navýšenie. Príjmy z úhrad školení a skúšok budú mať pozitívny vplyv na rozpočet verejnej správy. </w:t>
            </w:r>
            <w:r w:rsidRPr="00131A48" w:rsidR="00ED7DAC">
              <w:rPr>
                <w:rFonts w:ascii="Times New Roman" w:hAnsi="Times New Roman"/>
              </w:rPr>
              <w:t>Tieto vplyvy, či už pozitívne alebo negatívne, však nie je možné kvantifikovať, pretože v súčasnosti sa nedá o</w:t>
            </w:r>
            <w:r w:rsidRPr="00131A48" w:rsidR="00363AD2">
              <w:rPr>
                <w:rFonts w:ascii="Times New Roman" w:hAnsi="Times New Roman"/>
              </w:rPr>
              <w:t xml:space="preserve">dhadnúť záujem </w:t>
            </w:r>
            <w:r w:rsidRPr="00131A48" w:rsidR="00ED7DAC">
              <w:rPr>
                <w:rFonts w:ascii="Times New Roman" w:hAnsi="Times New Roman"/>
              </w:rPr>
              <w:t xml:space="preserve">hospodárskych subjektov </w:t>
            </w:r>
            <w:r w:rsidRPr="00131A48" w:rsidR="00363AD2">
              <w:rPr>
                <w:rFonts w:ascii="Times New Roman" w:hAnsi="Times New Roman"/>
              </w:rPr>
              <w:t>o takéto školenia a</w:t>
            </w:r>
            <w:r w:rsidRPr="00131A48" w:rsidR="00ED7DAC">
              <w:rPr>
                <w:rFonts w:ascii="Times New Roman" w:hAnsi="Times New Roman"/>
              </w:rPr>
              <w:t> </w:t>
            </w:r>
            <w:r w:rsidRPr="00131A48" w:rsidR="00363AD2">
              <w:rPr>
                <w:rFonts w:ascii="Times New Roman" w:hAnsi="Times New Roman"/>
              </w:rPr>
              <w:t>skúšky</w:t>
            </w:r>
            <w:r w:rsidRPr="00131A48" w:rsidR="00ED7DAC">
              <w:rPr>
                <w:rFonts w:ascii="Times New Roman" w:hAnsi="Times New Roman"/>
              </w:rPr>
              <w:t>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4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F0172" w:rsidRPr="00131A48" w:rsidP="00B06BB5">
            <w:pPr>
              <w:bidi w:val="0"/>
              <w:rPr>
                <w:rFonts w:ascii="Times New Roman" w:hAnsi="Times New Roman"/>
                <w:bCs/>
              </w:rPr>
            </w:pPr>
            <w:hyperlink r:id="rId4" w:history="1">
              <w:r w:rsidRPr="00131A48" w:rsidR="009D4362">
                <w:rPr>
                  <w:rStyle w:val="Hyperlink"/>
                  <w:rFonts w:ascii="Times New Roman" w:hAnsi="Times New Roman"/>
                  <w:bCs/>
                </w:rPr>
                <w:t>iveta.bittnerova@mfsr.sk</w:t>
              </w:r>
            </w:hyperlink>
            <w:r w:rsidRPr="00131A48" w:rsidR="00B06BB5">
              <w:rPr>
                <w:rFonts w:ascii="Times New Roman" w:hAnsi="Times New Roman"/>
                <w:bCs/>
              </w:rPr>
              <w:t xml:space="preserve">, </w:t>
            </w:r>
            <w:hyperlink r:id="rId5" w:history="1">
              <w:r w:rsidRPr="00131A48">
                <w:rPr>
                  <w:rStyle w:val="Hyperlink"/>
                  <w:rFonts w:ascii="Times New Roman" w:hAnsi="Times New Roman"/>
                  <w:bCs/>
                </w:rPr>
                <w:t>jan.tupy@mfsr.sk</w:t>
              </w:r>
            </w:hyperlink>
            <w:r w:rsidRPr="00131A48">
              <w:rPr>
                <w:rFonts w:ascii="Times New Roman" w:hAnsi="Times New Roman"/>
                <w:bCs/>
              </w:rPr>
              <w:t xml:space="preserve">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295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023AC" w:rsidRPr="00131A48" w:rsidP="0093280C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023AC" w:rsidRPr="00131A48" w:rsidP="009023AC">
            <w:pPr>
              <w:pStyle w:val="ListParagraph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31A48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2419A" w:rsidRPr="00131A48" w:rsidP="0042419A">
            <w:pPr>
              <w:bidi w:val="0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I. Úvod: Ministerstvo financií SR dňa 18. mája 2017 predložilo Stálej pracovnej komisii na posudzovanie vybraných vplyvov (ďalej len „Komisia“) na predbežné pripomienkové konanie materiál: „Návrh zákona, ktorým sa mení a dopĺňa  zákon č. 199/2004 Z. z. Colný zákon a o zmene a doplnení niektorých zákonov v znení neskorších predpisov a ktorým sa mení a dopĺňa zákon č. 333/2011 Z. z. o orgánoch štátnej správy v oblasti daní, poplatkov a colníctva v znení neskorších prepisov“. Materiál predpokladá pozitívno-negatívne vplyvy na rozpočet verejnej správy, ktoré sú rozpočtovo zabezpečené a pozitívne vplyvy na podnikateľské prostredie.</w:t>
            </w:r>
          </w:p>
          <w:p w:rsidR="0042419A" w:rsidRPr="00131A48" w:rsidP="0042419A">
            <w:pPr>
              <w:bidi w:val="0"/>
              <w:jc w:val="both"/>
              <w:rPr>
                <w:rFonts w:ascii="Times New Roman" w:hAnsi="Times New Roman"/>
              </w:rPr>
            </w:pPr>
            <w:r w:rsidRPr="00131A48">
              <w:rPr>
                <w:rFonts w:ascii="Times New Roman" w:hAnsi="Times New Roman"/>
              </w:rPr>
              <w:t>II. Pripomienky a návrhy zmien: Komisia neuplatňuje k materiálu žiadne pripomienky ani odporúčania.</w:t>
            </w:r>
          </w:p>
          <w:p w:rsidR="009023AC" w:rsidRPr="00465BA9" w:rsidP="0042419A">
            <w:pPr>
              <w:bidi w:val="0"/>
              <w:jc w:val="both"/>
              <w:rPr>
                <w:rFonts w:ascii="Times New Roman" w:hAnsi="Times New Roman"/>
              </w:rPr>
            </w:pPr>
            <w:r w:rsidRPr="00131A48" w:rsidR="0042419A">
              <w:rPr>
                <w:rFonts w:ascii="Times New Roman" w:hAnsi="Times New Roman"/>
              </w:rPr>
              <w:t>III. Záver: Stála pracovná komisia na posudzovanie vybraných vplyvov vyjadruje súhlasné stanovisko s materiálom predloženým na predbežné pripomienkové konanie.</w:t>
            </w:r>
          </w:p>
        </w:tc>
      </w:tr>
    </w:tbl>
    <w:p w:rsidR="003A77DB" w:rsidP="00B06BB5">
      <w:pPr>
        <w:pStyle w:val="Title"/>
        <w:bidi w:val="0"/>
        <w:jc w:val="left"/>
        <w:rPr>
          <w:rFonts w:ascii="Times New Roman" w:hAnsi="Times New Roman"/>
        </w:rPr>
      </w:pPr>
    </w:p>
    <w:sectPr w:rsidSect="00CD708B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69" w:rsidP="00CD708B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A3D20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8E6E6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FE4"/>
    <w:multiLevelType w:val="hybridMultilevel"/>
    <w:tmpl w:val="4F90D264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670B"/>
    <w:multiLevelType w:val="hybridMultilevel"/>
    <w:tmpl w:val="7E0E4AB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</w:abstractNum>
  <w:abstractNum w:abstractNumId="3">
    <w:nsid w:val="1ADD3D6B"/>
    <w:multiLevelType w:val="hybridMultilevel"/>
    <w:tmpl w:val="C428D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5">
    <w:nsid w:val="24C37FF8"/>
    <w:multiLevelType w:val="hybridMultilevel"/>
    <w:tmpl w:val="294E0AC0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140FA"/>
    <w:multiLevelType w:val="hybridMultilevel"/>
    <w:tmpl w:val="1130AD9A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 Narrow" w:eastAsia="Times New Roman" w:hAnsi="Arial Narro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73B2E6B"/>
    <w:multiLevelType w:val="hybridMultilevel"/>
    <w:tmpl w:val="FC2CAFF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601C6101"/>
    <w:multiLevelType w:val="hybridMultilevel"/>
    <w:tmpl w:val="D0A26E2A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25AE5"/>
    <w:multiLevelType w:val="multilevel"/>
    <w:tmpl w:val="6CDA7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ED82BFC"/>
    <w:multiLevelType w:val="hybridMultilevel"/>
    <w:tmpl w:val="E9503AEA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E54EF"/>
    <w:multiLevelType w:val="hybridMultilevel"/>
    <w:tmpl w:val="F6C6BE7E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0775C5"/>
    <w:rsid w:val="000067D9"/>
    <w:rsid w:val="00006E4C"/>
    <w:rsid w:val="00046CEC"/>
    <w:rsid w:val="00061AE8"/>
    <w:rsid w:val="00064B6E"/>
    <w:rsid w:val="0006627A"/>
    <w:rsid w:val="000727A7"/>
    <w:rsid w:val="00073044"/>
    <w:rsid w:val="000730D2"/>
    <w:rsid w:val="00075451"/>
    <w:rsid w:val="000761CC"/>
    <w:rsid w:val="000775C5"/>
    <w:rsid w:val="00091AF1"/>
    <w:rsid w:val="0009641C"/>
    <w:rsid w:val="0009689F"/>
    <w:rsid w:val="000A36B8"/>
    <w:rsid w:val="000A3D20"/>
    <w:rsid w:val="000A5EE9"/>
    <w:rsid w:val="000B05EC"/>
    <w:rsid w:val="000B7399"/>
    <w:rsid w:val="000C00B8"/>
    <w:rsid w:val="000C043B"/>
    <w:rsid w:val="000D0EAB"/>
    <w:rsid w:val="000E230D"/>
    <w:rsid w:val="000F31F4"/>
    <w:rsid w:val="000F7040"/>
    <w:rsid w:val="00104A79"/>
    <w:rsid w:val="00105425"/>
    <w:rsid w:val="00106725"/>
    <w:rsid w:val="0012164A"/>
    <w:rsid w:val="001219C2"/>
    <w:rsid w:val="00127DAC"/>
    <w:rsid w:val="00131A48"/>
    <w:rsid w:val="00146C0A"/>
    <w:rsid w:val="00156595"/>
    <w:rsid w:val="001772B2"/>
    <w:rsid w:val="00181B64"/>
    <w:rsid w:val="001859A4"/>
    <w:rsid w:val="00186430"/>
    <w:rsid w:val="00190F16"/>
    <w:rsid w:val="00193B9A"/>
    <w:rsid w:val="00193DDF"/>
    <w:rsid w:val="001948F6"/>
    <w:rsid w:val="00194DA2"/>
    <w:rsid w:val="00195779"/>
    <w:rsid w:val="001A2A89"/>
    <w:rsid w:val="001B0245"/>
    <w:rsid w:val="001B0D56"/>
    <w:rsid w:val="001B5227"/>
    <w:rsid w:val="001C140B"/>
    <w:rsid w:val="001D25A8"/>
    <w:rsid w:val="001D74A0"/>
    <w:rsid w:val="001D7609"/>
    <w:rsid w:val="001E5E6F"/>
    <w:rsid w:val="001F18E8"/>
    <w:rsid w:val="001F5B07"/>
    <w:rsid w:val="001F66C5"/>
    <w:rsid w:val="00201B76"/>
    <w:rsid w:val="00202663"/>
    <w:rsid w:val="00204BDF"/>
    <w:rsid w:val="002055EE"/>
    <w:rsid w:val="00206112"/>
    <w:rsid w:val="002074E7"/>
    <w:rsid w:val="00210390"/>
    <w:rsid w:val="0021205F"/>
    <w:rsid w:val="0022076D"/>
    <w:rsid w:val="00221E7A"/>
    <w:rsid w:val="00223359"/>
    <w:rsid w:val="002378C3"/>
    <w:rsid w:val="002411CF"/>
    <w:rsid w:val="00246CC5"/>
    <w:rsid w:val="00247855"/>
    <w:rsid w:val="002526EE"/>
    <w:rsid w:val="00253D02"/>
    <w:rsid w:val="002548B6"/>
    <w:rsid w:val="00262E1C"/>
    <w:rsid w:val="002666DF"/>
    <w:rsid w:val="0027272C"/>
    <w:rsid w:val="00274C8E"/>
    <w:rsid w:val="0027661E"/>
    <w:rsid w:val="00281952"/>
    <w:rsid w:val="0028546A"/>
    <w:rsid w:val="00290C58"/>
    <w:rsid w:val="002931F0"/>
    <w:rsid w:val="00297516"/>
    <w:rsid w:val="002A1363"/>
    <w:rsid w:val="002A3C12"/>
    <w:rsid w:val="002B0972"/>
    <w:rsid w:val="002B2B8B"/>
    <w:rsid w:val="002D20E7"/>
    <w:rsid w:val="002D2EC6"/>
    <w:rsid w:val="002D5FFE"/>
    <w:rsid w:val="002E45F2"/>
    <w:rsid w:val="002F0A4E"/>
    <w:rsid w:val="002F4E6B"/>
    <w:rsid w:val="003108CD"/>
    <w:rsid w:val="00330D97"/>
    <w:rsid w:val="003322E9"/>
    <w:rsid w:val="00332AD2"/>
    <w:rsid w:val="003359B1"/>
    <w:rsid w:val="00335CC2"/>
    <w:rsid w:val="00337FF7"/>
    <w:rsid w:val="00342180"/>
    <w:rsid w:val="00350497"/>
    <w:rsid w:val="00352968"/>
    <w:rsid w:val="003553D6"/>
    <w:rsid w:val="00360B7C"/>
    <w:rsid w:val="00363AD2"/>
    <w:rsid w:val="003701B4"/>
    <w:rsid w:val="00373797"/>
    <w:rsid w:val="00384CDE"/>
    <w:rsid w:val="0038551E"/>
    <w:rsid w:val="00397053"/>
    <w:rsid w:val="003A28C0"/>
    <w:rsid w:val="003A6E87"/>
    <w:rsid w:val="003A77DB"/>
    <w:rsid w:val="003B3608"/>
    <w:rsid w:val="003C1B13"/>
    <w:rsid w:val="003D1549"/>
    <w:rsid w:val="003D1E60"/>
    <w:rsid w:val="003D4D6D"/>
    <w:rsid w:val="003E49AA"/>
    <w:rsid w:val="003E76A8"/>
    <w:rsid w:val="003E76DA"/>
    <w:rsid w:val="003F4C69"/>
    <w:rsid w:val="003F6E17"/>
    <w:rsid w:val="003F6F3E"/>
    <w:rsid w:val="004024CC"/>
    <w:rsid w:val="00406608"/>
    <w:rsid w:val="004067D0"/>
    <w:rsid w:val="004120AD"/>
    <w:rsid w:val="00422D25"/>
    <w:rsid w:val="0042419A"/>
    <w:rsid w:val="00426A78"/>
    <w:rsid w:val="00426AE0"/>
    <w:rsid w:val="00426C1E"/>
    <w:rsid w:val="00427EEA"/>
    <w:rsid w:val="00442A24"/>
    <w:rsid w:val="00444AA0"/>
    <w:rsid w:val="004474E3"/>
    <w:rsid w:val="004648E8"/>
    <w:rsid w:val="00465BA9"/>
    <w:rsid w:val="00466064"/>
    <w:rsid w:val="00467144"/>
    <w:rsid w:val="0047167D"/>
    <w:rsid w:val="00473BFD"/>
    <w:rsid w:val="00476061"/>
    <w:rsid w:val="00484221"/>
    <w:rsid w:val="00485EE9"/>
    <w:rsid w:val="00486611"/>
    <w:rsid w:val="00495137"/>
    <w:rsid w:val="004A0302"/>
    <w:rsid w:val="004A2613"/>
    <w:rsid w:val="004A761F"/>
    <w:rsid w:val="004B4545"/>
    <w:rsid w:val="004C0B86"/>
    <w:rsid w:val="004C60B8"/>
    <w:rsid w:val="004D27C4"/>
    <w:rsid w:val="004E0AE2"/>
    <w:rsid w:val="004E0BC9"/>
    <w:rsid w:val="004E2B93"/>
    <w:rsid w:val="004E3DBF"/>
    <w:rsid w:val="004E49AA"/>
    <w:rsid w:val="004E67A6"/>
    <w:rsid w:val="004F0172"/>
    <w:rsid w:val="004F28CC"/>
    <w:rsid w:val="004F49A0"/>
    <w:rsid w:val="004F5E3D"/>
    <w:rsid w:val="0050255D"/>
    <w:rsid w:val="00514575"/>
    <w:rsid w:val="00516259"/>
    <w:rsid w:val="005170FD"/>
    <w:rsid w:val="00521D88"/>
    <w:rsid w:val="00523ED6"/>
    <w:rsid w:val="005260ED"/>
    <w:rsid w:val="00526529"/>
    <w:rsid w:val="005314F5"/>
    <w:rsid w:val="005337FC"/>
    <w:rsid w:val="005362C4"/>
    <w:rsid w:val="0054124D"/>
    <w:rsid w:val="00545E69"/>
    <w:rsid w:val="00547771"/>
    <w:rsid w:val="00550006"/>
    <w:rsid w:val="00576C4A"/>
    <w:rsid w:val="005841AA"/>
    <w:rsid w:val="00584466"/>
    <w:rsid w:val="005855F1"/>
    <w:rsid w:val="00586122"/>
    <w:rsid w:val="005A05DD"/>
    <w:rsid w:val="005A14B7"/>
    <w:rsid w:val="005A1A3D"/>
    <w:rsid w:val="005A2E49"/>
    <w:rsid w:val="005A74C1"/>
    <w:rsid w:val="005D3360"/>
    <w:rsid w:val="005D7CFD"/>
    <w:rsid w:val="005E1CF9"/>
    <w:rsid w:val="005E2443"/>
    <w:rsid w:val="005F3638"/>
    <w:rsid w:val="00604FBF"/>
    <w:rsid w:val="00615AC1"/>
    <w:rsid w:val="0062305C"/>
    <w:rsid w:val="0062323A"/>
    <w:rsid w:val="0062379D"/>
    <w:rsid w:val="00624D70"/>
    <w:rsid w:val="00627760"/>
    <w:rsid w:val="00634784"/>
    <w:rsid w:val="00636B23"/>
    <w:rsid w:val="006372B8"/>
    <w:rsid w:val="00645622"/>
    <w:rsid w:val="006501E1"/>
    <w:rsid w:val="00653ADA"/>
    <w:rsid w:val="006562F9"/>
    <w:rsid w:val="00675660"/>
    <w:rsid w:val="00675DCC"/>
    <w:rsid w:val="00675EBC"/>
    <w:rsid w:val="00682172"/>
    <w:rsid w:val="00682645"/>
    <w:rsid w:val="00692A79"/>
    <w:rsid w:val="00692B1A"/>
    <w:rsid w:val="00693015"/>
    <w:rsid w:val="00697847"/>
    <w:rsid w:val="006A3DA3"/>
    <w:rsid w:val="006A52FD"/>
    <w:rsid w:val="006B7A0F"/>
    <w:rsid w:val="006C5457"/>
    <w:rsid w:val="006D171B"/>
    <w:rsid w:val="006D2B8F"/>
    <w:rsid w:val="006D34E0"/>
    <w:rsid w:val="006D45CA"/>
    <w:rsid w:val="006D6F6B"/>
    <w:rsid w:val="006E3FFE"/>
    <w:rsid w:val="006E6986"/>
    <w:rsid w:val="006E6EE5"/>
    <w:rsid w:val="006F1FF2"/>
    <w:rsid w:val="007042D5"/>
    <w:rsid w:val="007066D6"/>
    <w:rsid w:val="00715788"/>
    <w:rsid w:val="00726C72"/>
    <w:rsid w:val="0073125D"/>
    <w:rsid w:val="0073591E"/>
    <w:rsid w:val="007409B2"/>
    <w:rsid w:val="007563A3"/>
    <w:rsid w:val="007662F6"/>
    <w:rsid w:val="00774014"/>
    <w:rsid w:val="00775D6F"/>
    <w:rsid w:val="0078622E"/>
    <w:rsid w:val="007A5830"/>
    <w:rsid w:val="007B26BB"/>
    <w:rsid w:val="007B3376"/>
    <w:rsid w:val="007B3D57"/>
    <w:rsid w:val="007C04D1"/>
    <w:rsid w:val="007C2322"/>
    <w:rsid w:val="007C45F2"/>
    <w:rsid w:val="007C5751"/>
    <w:rsid w:val="007D6DAD"/>
    <w:rsid w:val="007E4410"/>
    <w:rsid w:val="007E5ED0"/>
    <w:rsid w:val="007E62D1"/>
    <w:rsid w:val="007F62D7"/>
    <w:rsid w:val="00800A09"/>
    <w:rsid w:val="00805ECD"/>
    <w:rsid w:val="00807B5F"/>
    <w:rsid w:val="00814141"/>
    <w:rsid w:val="008150D1"/>
    <w:rsid w:val="008162DB"/>
    <w:rsid w:val="00816BC6"/>
    <w:rsid w:val="0082491E"/>
    <w:rsid w:val="00824B26"/>
    <w:rsid w:val="0083142D"/>
    <w:rsid w:val="00837AAA"/>
    <w:rsid w:val="00861A63"/>
    <w:rsid w:val="00864B8B"/>
    <w:rsid w:val="00873C82"/>
    <w:rsid w:val="00885EC7"/>
    <w:rsid w:val="008924B1"/>
    <w:rsid w:val="008A3681"/>
    <w:rsid w:val="008A54E8"/>
    <w:rsid w:val="008B074D"/>
    <w:rsid w:val="008B1340"/>
    <w:rsid w:val="008C51D4"/>
    <w:rsid w:val="008D1A94"/>
    <w:rsid w:val="008D7411"/>
    <w:rsid w:val="008E26B8"/>
    <w:rsid w:val="008E6E69"/>
    <w:rsid w:val="008F1FAF"/>
    <w:rsid w:val="008F761F"/>
    <w:rsid w:val="009023AC"/>
    <w:rsid w:val="00905D5A"/>
    <w:rsid w:val="00910225"/>
    <w:rsid w:val="00911097"/>
    <w:rsid w:val="00911C43"/>
    <w:rsid w:val="009158C0"/>
    <w:rsid w:val="00916B28"/>
    <w:rsid w:val="009170F1"/>
    <w:rsid w:val="00920839"/>
    <w:rsid w:val="0092094A"/>
    <w:rsid w:val="00920EE7"/>
    <w:rsid w:val="00925954"/>
    <w:rsid w:val="00930BA6"/>
    <w:rsid w:val="0093280C"/>
    <w:rsid w:val="009337B7"/>
    <w:rsid w:val="00953242"/>
    <w:rsid w:val="009634B3"/>
    <w:rsid w:val="00963A10"/>
    <w:rsid w:val="009725D9"/>
    <w:rsid w:val="00977CB4"/>
    <w:rsid w:val="00982DA9"/>
    <w:rsid w:val="0099014D"/>
    <w:rsid w:val="009967AB"/>
    <w:rsid w:val="009A075D"/>
    <w:rsid w:val="009A3D54"/>
    <w:rsid w:val="009A5366"/>
    <w:rsid w:val="009C077B"/>
    <w:rsid w:val="009C1634"/>
    <w:rsid w:val="009D36E7"/>
    <w:rsid w:val="009D4362"/>
    <w:rsid w:val="009E5AE7"/>
    <w:rsid w:val="009F6F5C"/>
    <w:rsid w:val="00A1081B"/>
    <w:rsid w:val="00A11918"/>
    <w:rsid w:val="00A151B4"/>
    <w:rsid w:val="00A16C02"/>
    <w:rsid w:val="00A179AE"/>
    <w:rsid w:val="00A20697"/>
    <w:rsid w:val="00A23EAB"/>
    <w:rsid w:val="00A33F68"/>
    <w:rsid w:val="00A41FDF"/>
    <w:rsid w:val="00A4779A"/>
    <w:rsid w:val="00A526A1"/>
    <w:rsid w:val="00A529D3"/>
    <w:rsid w:val="00A57D95"/>
    <w:rsid w:val="00A67DDB"/>
    <w:rsid w:val="00A714F3"/>
    <w:rsid w:val="00A71D9B"/>
    <w:rsid w:val="00A757C8"/>
    <w:rsid w:val="00A84625"/>
    <w:rsid w:val="00A85D51"/>
    <w:rsid w:val="00A85DA0"/>
    <w:rsid w:val="00A87A1F"/>
    <w:rsid w:val="00A93670"/>
    <w:rsid w:val="00A96AB4"/>
    <w:rsid w:val="00AA4E4D"/>
    <w:rsid w:val="00AB6EA8"/>
    <w:rsid w:val="00AB7FC2"/>
    <w:rsid w:val="00AC2473"/>
    <w:rsid w:val="00AC2B52"/>
    <w:rsid w:val="00AC4417"/>
    <w:rsid w:val="00AC58BF"/>
    <w:rsid w:val="00AD357C"/>
    <w:rsid w:val="00AE2FCB"/>
    <w:rsid w:val="00AE7284"/>
    <w:rsid w:val="00B06BB5"/>
    <w:rsid w:val="00B10CF6"/>
    <w:rsid w:val="00B16E27"/>
    <w:rsid w:val="00B20C6D"/>
    <w:rsid w:val="00B317BD"/>
    <w:rsid w:val="00B326F1"/>
    <w:rsid w:val="00B333D4"/>
    <w:rsid w:val="00B340E7"/>
    <w:rsid w:val="00B359D7"/>
    <w:rsid w:val="00B378AC"/>
    <w:rsid w:val="00B4160C"/>
    <w:rsid w:val="00B42065"/>
    <w:rsid w:val="00B42301"/>
    <w:rsid w:val="00B42642"/>
    <w:rsid w:val="00B468D8"/>
    <w:rsid w:val="00B57BE1"/>
    <w:rsid w:val="00B61BA3"/>
    <w:rsid w:val="00B65173"/>
    <w:rsid w:val="00B65D8A"/>
    <w:rsid w:val="00B6767E"/>
    <w:rsid w:val="00B70F76"/>
    <w:rsid w:val="00B71567"/>
    <w:rsid w:val="00B754BE"/>
    <w:rsid w:val="00B76D50"/>
    <w:rsid w:val="00B76E2B"/>
    <w:rsid w:val="00B80F42"/>
    <w:rsid w:val="00B83318"/>
    <w:rsid w:val="00B95135"/>
    <w:rsid w:val="00B952D8"/>
    <w:rsid w:val="00B96F94"/>
    <w:rsid w:val="00BA52BE"/>
    <w:rsid w:val="00BB0030"/>
    <w:rsid w:val="00BB36C7"/>
    <w:rsid w:val="00BB38D0"/>
    <w:rsid w:val="00BB5B54"/>
    <w:rsid w:val="00BB66CD"/>
    <w:rsid w:val="00BC468D"/>
    <w:rsid w:val="00BC491A"/>
    <w:rsid w:val="00BC4AC4"/>
    <w:rsid w:val="00BD2B00"/>
    <w:rsid w:val="00BD5E91"/>
    <w:rsid w:val="00BD6293"/>
    <w:rsid w:val="00BE04A4"/>
    <w:rsid w:val="00BE1376"/>
    <w:rsid w:val="00BE17CA"/>
    <w:rsid w:val="00BE413F"/>
    <w:rsid w:val="00BF2A43"/>
    <w:rsid w:val="00BF3078"/>
    <w:rsid w:val="00BF5FB6"/>
    <w:rsid w:val="00BF620B"/>
    <w:rsid w:val="00C006CA"/>
    <w:rsid w:val="00C04625"/>
    <w:rsid w:val="00C053A5"/>
    <w:rsid w:val="00C16B8D"/>
    <w:rsid w:val="00C20A7B"/>
    <w:rsid w:val="00C22FA9"/>
    <w:rsid w:val="00C23C3B"/>
    <w:rsid w:val="00C26C9B"/>
    <w:rsid w:val="00C2719D"/>
    <w:rsid w:val="00C27324"/>
    <w:rsid w:val="00C333C9"/>
    <w:rsid w:val="00C41ABB"/>
    <w:rsid w:val="00C47504"/>
    <w:rsid w:val="00C55302"/>
    <w:rsid w:val="00C5580A"/>
    <w:rsid w:val="00C67DD0"/>
    <w:rsid w:val="00C72760"/>
    <w:rsid w:val="00C75635"/>
    <w:rsid w:val="00C8165B"/>
    <w:rsid w:val="00C87BC0"/>
    <w:rsid w:val="00C919D9"/>
    <w:rsid w:val="00C91BB1"/>
    <w:rsid w:val="00CA2F34"/>
    <w:rsid w:val="00CA5D88"/>
    <w:rsid w:val="00CA6FF5"/>
    <w:rsid w:val="00CB1251"/>
    <w:rsid w:val="00CB5D46"/>
    <w:rsid w:val="00CC1460"/>
    <w:rsid w:val="00CC244D"/>
    <w:rsid w:val="00CC2B06"/>
    <w:rsid w:val="00CD224B"/>
    <w:rsid w:val="00CD708B"/>
    <w:rsid w:val="00CE767E"/>
    <w:rsid w:val="00CF6F08"/>
    <w:rsid w:val="00CF7412"/>
    <w:rsid w:val="00D04557"/>
    <w:rsid w:val="00D11E89"/>
    <w:rsid w:val="00D16738"/>
    <w:rsid w:val="00D16C28"/>
    <w:rsid w:val="00D17BF8"/>
    <w:rsid w:val="00D246A9"/>
    <w:rsid w:val="00D2638F"/>
    <w:rsid w:val="00D26DB6"/>
    <w:rsid w:val="00D3164A"/>
    <w:rsid w:val="00D31FA6"/>
    <w:rsid w:val="00D40204"/>
    <w:rsid w:val="00D4054C"/>
    <w:rsid w:val="00D429A0"/>
    <w:rsid w:val="00D42ECD"/>
    <w:rsid w:val="00D5243F"/>
    <w:rsid w:val="00D526C3"/>
    <w:rsid w:val="00D53247"/>
    <w:rsid w:val="00D544EB"/>
    <w:rsid w:val="00D57E77"/>
    <w:rsid w:val="00D61B87"/>
    <w:rsid w:val="00D63426"/>
    <w:rsid w:val="00D716DE"/>
    <w:rsid w:val="00D727CA"/>
    <w:rsid w:val="00D85600"/>
    <w:rsid w:val="00D95140"/>
    <w:rsid w:val="00DA78C2"/>
    <w:rsid w:val="00DB1399"/>
    <w:rsid w:val="00DB15A6"/>
    <w:rsid w:val="00DB2ED1"/>
    <w:rsid w:val="00DB36B3"/>
    <w:rsid w:val="00DD28AD"/>
    <w:rsid w:val="00DD4B51"/>
    <w:rsid w:val="00DD7D41"/>
    <w:rsid w:val="00DF453D"/>
    <w:rsid w:val="00E00E9E"/>
    <w:rsid w:val="00E02380"/>
    <w:rsid w:val="00E023EB"/>
    <w:rsid w:val="00E051A6"/>
    <w:rsid w:val="00E061C5"/>
    <w:rsid w:val="00E12A54"/>
    <w:rsid w:val="00E3059C"/>
    <w:rsid w:val="00E3679E"/>
    <w:rsid w:val="00E40A8F"/>
    <w:rsid w:val="00E40EEE"/>
    <w:rsid w:val="00E433D2"/>
    <w:rsid w:val="00E47703"/>
    <w:rsid w:val="00E52234"/>
    <w:rsid w:val="00E65C9F"/>
    <w:rsid w:val="00E80D72"/>
    <w:rsid w:val="00E8368D"/>
    <w:rsid w:val="00E838B4"/>
    <w:rsid w:val="00E844F4"/>
    <w:rsid w:val="00E84A30"/>
    <w:rsid w:val="00E93263"/>
    <w:rsid w:val="00EA3A81"/>
    <w:rsid w:val="00EB2F11"/>
    <w:rsid w:val="00EB3D46"/>
    <w:rsid w:val="00EB78C7"/>
    <w:rsid w:val="00EC0E3B"/>
    <w:rsid w:val="00EC3918"/>
    <w:rsid w:val="00ED03B0"/>
    <w:rsid w:val="00ED40F0"/>
    <w:rsid w:val="00ED5047"/>
    <w:rsid w:val="00ED7DAC"/>
    <w:rsid w:val="00EE622B"/>
    <w:rsid w:val="00EE69C0"/>
    <w:rsid w:val="00EF1144"/>
    <w:rsid w:val="00EF5B89"/>
    <w:rsid w:val="00F00213"/>
    <w:rsid w:val="00F0191E"/>
    <w:rsid w:val="00F0346F"/>
    <w:rsid w:val="00F060FA"/>
    <w:rsid w:val="00F1442A"/>
    <w:rsid w:val="00F1462E"/>
    <w:rsid w:val="00F30981"/>
    <w:rsid w:val="00F32F77"/>
    <w:rsid w:val="00F4085C"/>
    <w:rsid w:val="00F40C5E"/>
    <w:rsid w:val="00F44362"/>
    <w:rsid w:val="00F47180"/>
    <w:rsid w:val="00F63908"/>
    <w:rsid w:val="00F70CE7"/>
    <w:rsid w:val="00F717FE"/>
    <w:rsid w:val="00F72A3B"/>
    <w:rsid w:val="00F74A9A"/>
    <w:rsid w:val="00F77D08"/>
    <w:rsid w:val="00F80C3F"/>
    <w:rsid w:val="00F854BA"/>
    <w:rsid w:val="00F86B4B"/>
    <w:rsid w:val="00F877A0"/>
    <w:rsid w:val="00F91B06"/>
    <w:rsid w:val="00F92A3B"/>
    <w:rsid w:val="00F9580D"/>
    <w:rsid w:val="00F96D91"/>
    <w:rsid w:val="00F9738D"/>
    <w:rsid w:val="00FA0B4D"/>
    <w:rsid w:val="00FA6163"/>
    <w:rsid w:val="00FB3EA5"/>
    <w:rsid w:val="00FC3AC3"/>
    <w:rsid w:val="00FC5D1F"/>
    <w:rsid w:val="00FD4D40"/>
    <w:rsid w:val="00FD4F4D"/>
    <w:rsid w:val="00FD6261"/>
    <w:rsid w:val="00FD6374"/>
    <w:rsid w:val="00FE1E09"/>
    <w:rsid w:val="00FF5539"/>
    <w:rsid w:val="00FF6A4D"/>
    <w:rsid w:val="00FF6EDA"/>
    <w:rsid w:val="00FF71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1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701B4"/>
    <w:pPr>
      <w:keepNext/>
      <w:jc w:val="left"/>
      <w:outlineLvl w:val="0"/>
    </w:pPr>
  </w:style>
  <w:style w:type="character" w:default="1" w:styleId="DefaultParagraphFont">
    <w:name w:val="Default Paragraph Font"/>
    <w:aliases w:val="Char Char11 Char"/>
    <w:link w:val="CharChar11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3701B4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42A24"/>
    <w:rPr>
      <w:rFonts w:cs="Times New Roman"/>
      <w:sz w:val="24"/>
      <w:szCs w:val="24"/>
      <w:rtl w:val="0"/>
      <w:cs w:val="0"/>
      <w:lang w:val="sk-SK" w:eastAsia="cs-CZ"/>
    </w:rPr>
  </w:style>
  <w:style w:type="paragraph" w:styleId="BodyText">
    <w:name w:val="Body Text"/>
    <w:basedOn w:val="Normal"/>
    <w:link w:val="ZkladntextChar"/>
    <w:uiPriority w:val="99"/>
    <w:rsid w:val="003701B4"/>
    <w:pPr>
      <w:spacing w:after="120"/>
      <w:jc w:val="left"/>
    </w:pPr>
    <w:rPr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42A24"/>
    <w:rPr>
      <w:rFonts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rsid w:val="003701B4"/>
    <w:pPr>
      <w:spacing w:after="120" w:line="480" w:lineRule="auto"/>
      <w:ind w:left="283"/>
      <w:jc w:val="left"/>
    </w:pPr>
    <w:rPr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3701B4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Zkladntext">
    <w:name w:val="Zkladn text"/>
    <w:uiPriority w:val="99"/>
    <w:rsid w:val="003701B4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character" w:customStyle="1" w:styleId="tlZkladntext">
    <w:name w:val="Štýl Základný text"/>
    <w:aliases w:val="Základný text Char Char + Tučné Char"/>
    <w:basedOn w:val="DefaultParagraphFont"/>
    <w:uiPriority w:val="99"/>
    <w:rsid w:val="003701B4"/>
    <w:rPr>
      <w:rFonts w:cs="Times New Roman"/>
      <w:b/>
      <w:bCs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CD70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CD708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E5E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7E5ED0"/>
    <w:pPr>
      <w:spacing w:before="150" w:after="150"/>
      <w:ind w:left="675" w:right="525"/>
      <w:jc w:val="left"/>
    </w:pPr>
    <w:rPr>
      <w:sz w:val="19"/>
      <w:szCs w:val="19"/>
      <w:lang w:eastAsia="sk-SK"/>
    </w:rPr>
  </w:style>
  <w:style w:type="paragraph" w:customStyle="1" w:styleId="Zkladntext0">
    <w:name w:val="Základní text"/>
    <w:rsid w:val="007E5E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7E5ED0"/>
    <w:rPr>
      <w:rFonts w:cs="Times New Roman"/>
      <w:i/>
      <w:iCs/>
      <w:rtl w:val="0"/>
      <w:cs w:val="0"/>
    </w:rPr>
  </w:style>
  <w:style w:type="paragraph" w:customStyle="1" w:styleId="CharChar1">
    <w:name w:val="Char Char1"/>
    <w:basedOn w:val="Normal"/>
    <w:uiPriority w:val="99"/>
    <w:rsid w:val="000730D2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customStyle="1" w:styleId="CharChar11">
    <w:name w:val="Char Char11"/>
    <w:basedOn w:val="Normal"/>
    <w:link w:val="DefaultParagraphFont"/>
    <w:uiPriority w:val="99"/>
    <w:rsid w:val="00EB3D4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ZarkazkladnhotextuChar"/>
    <w:uiPriority w:val="99"/>
    <w:rsid w:val="00DB13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B1399"/>
    <w:rPr>
      <w:rFonts w:cs="Times New Roman"/>
      <w:sz w:val="24"/>
      <w:szCs w:val="24"/>
      <w:rtl w:val="0"/>
      <w:cs w:val="0"/>
      <w:lang w:val="x-none" w:eastAsia="cs-CZ"/>
    </w:rPr>
  </w:style>
  <w:style w:type="table" w:styleId="TableGrid">
    <w:name w:val="Table Grid"/>
    <w:basedOn w:val="TableNormal"/>
    <w:uiPriority w:val="59"/>
    <w:rsid w:val="003A77D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7D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lZkladntext1">
    <w:name w:val="Štýl Základný text1"/>
    <w:aliases w:val="Základný text Char Char + Tučné Char1"/>
    <w:uiPriority w:val="99"/>
    <w:rsid w:val="003A77DB"/>
    <w:rPr>
      <w:b/>
      <w:sz w:val="24"/>
      <w:lang w:val="sk-SK" w:eastAsia="sk-SK"/>
    </w:rPr>
  </w:style>
  <w:style w:type="character" w:styleId="Hyperlink">
    <w:name w:val="Hyperlink"/>
    <w:basedOn w:val="DefaultParagraphFont"/>
    <w:uiPriority w:val="99"/>
    <w:rsid w:val="009D4362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veta.bittnerova@mfsr.sk" TargetMode="External" /><Relationship Id="rId5" Type="http://schemas.openxmlformats.org/officeDocument/2006/relationships/hyperlink" Target="mailto:jan.tupy@mfsr.sk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4</Pages>
  <Words>1391</Words>
  <Characters>7929</Characters>
  <Application>Microsoft Office Word</Application>
  <DocSecurity>0</DocSecurity>
  <Lines>0</Lines>
  <Paragraphs>0</Paragraphs>
  <ScaleCrop>false</ScaleCrop>
  <Company>mfsr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creator>Administrator</dc:creator>
  <cp:lastModifiedBy>Bittnerova Iveta</cp:lastModifiedBy>
  <cp:revision>24</cp:revision>
  <cp:lastPrinted>2011-11-03T14:10:00Z</cp:lastPrinted>
  <dcterms:created xsi:type="dcterms:W3CDTF">2017-05-17T09:07:00Z</dcterms:created>
  <dcterms:modified xsi:type="dcterms:W3CDTF">2017-08-15T13:29:00Z</dcterms:modified>
</cp:coreProperties>
</file>