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708"/>
        <w:gridCol w:w="5387"/>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873F97" w:rsidP="0059220A">
            <w:pPr>
              <w:pStyle w:val="Heading1"/>
              <w:bidi w:val="0"/>
              <w:spacing w:after="0" w:line="240" w:lineRule="auto"/>
              <w:rPr>
                <w:rFonts w:ascii="Times New Roman" w:hAnsi="Times New Roman"/>
              </w:rPr>
            </w:pPr>
            <w:r w:rsidRPr="00873F97">
              <w:rPr>
                <w:rFonts w:ascii="Times New Roman" w:hAnsi="Times New Roman"/>
              </w:rPr>
              <w:t>TABUĽKA  ZHODY</w:t>
            </w:r>
          </w:p>
          <w:p w:rsidR="008C54C3" w:rsidRPr="00873F97" w:rsidP="00FD6769">
            <w:pPr>
              <w:pStyle w:val="Heading1"/>
              <w:bidi w:val="0"/>
              <w:spacing w:after="120" w:line="240" w:lineRule="auto"/>
              <w:rPr>
                <w:rFonts w:ascii="Times New Roman" w:hAnsi="Times New Roman"/>
                <w:bCs w:val="0"/>
              </w:rPr>
            </w:pPr>
            <w:r w:rsidR="00AA616A">
              <w:rPr>
                <w:rFonts w:ascii="Times New Roman" w:hAnsi="Times New Roman"/>
              </w:rPr>
              <w:t xml:space="preserve">k návrhu </w:t>
            </w:r>
            <w:r w:rsidRPr="00AA616A" w:rsidR="00AA616A">
              <w:rPr>
                <w:rFonts w:ascii="Times New Roman" w:hAnsi="Times New Roman"/>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00AA616A">
              <w:rPr>
                <w:rFonts w:ascii="Times New Roman" w:hAnsi="Times New Roman"/>
              </w:rPr>
              <w:t xml:space="preserve"> </w:t>
            </w:r>
            <w:r w:rsidRPr="00873F97" w:rsidR="00FD6769">
              <w:rPr>
                <w:rFonts w:ascii="Times New Roman" w:hAnsi="Times New Roman"/>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873F97" w:rsidP="0059220A">
            <w:pPr>
              <w:pStyle w:val="Heading4"/>
              <w:bidi w:val="0"/>
              <w:spacing w:after="0" w:line="240" w:lineRule="auto"/>
              <w:jc w:val="both"/>
              <w:rPr>
                <w:rFonts w:ascii="Times New Roman" w:hAnsi="Times New Roman"/>
                <w:sz w:val="24"/>
                <w:szCs w:val="24"/>
              </w:rPr>
            </w:pPr>
            <w:r w:rsidRPr="00873F97">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873F97" w:rsidP="0059220A">
            <w:pPr>
              <w:pStyle w:val="Default"/>
              <w:bidi w:val="0"/>
              <w:spacing w:after="0" w:line="240" w:lineRule="auto"/>
              <w:jc w:val="both"/>
              <w:rPr>
                <w:rFonts w:ascii="Times New Roman" w:hAnsi="Times New Roman" w:cs="Times New Roman"/>
                <w:b/>
                <w:bCs/>
              </w:rPr>
            </w:pPr>
            <w:r w:rsidRPr="00873F97" w:rsidR="00CB2E5D">
              <w:rPr>
                <w:rFonts w:ascii="Times New Roman" w:hAnsi="Times New Roman" w:cs="Times New Roman"/>
              </w:rPr>
              <w:t xml:space="preserve"> </w:t>
            </w:r>
            <w:r w:rsidRPr="00873F97" w:rsidR="00EC7AA0">
              <w:rPr>
                <w:rFonts w:ascii="Times New Roman" w:hAnsi="Times New Roman" w:cs="Times New Roman"/>
                <w:b/>
                <w:bCs/>
              </w:rPr>
              <w:t xml:space="preserve">SMERNICA RADY </w:t>
            </w:r>
            <w:r w:rsidRPr="00873F97" w:rsidR="00EC7AA0">
              <w:rPr>
                <w:rFonts w:ascii="Times New Roman" w:hAnsi="Times New Roman" w:cs="Times New Roman"/>
                <w:b/>
                <w:bCs/>
                <w:u w:val="single"/>
              </w:rPr>
              <w:t>2011/96/EÚ</w:t>
            </w:r>
            <w:r w:rsidRPr="00873F97" w:rsidR="00EC7AA0">
              <w:rPr>
                <w:rFonts w:ascii="Times New Roman" w:hAnsi="Times New Roman" w:cs="Times New Roman"/>
                <w:b/>
                <w:bCs/>
              </w:rPr>
              <w:t xml:space="preserve"> z 30. novembra 2011 o spoločnom systéme zdaňovania uplatňovanom v prípade materských spoločností a dcérskych spoločností v rozličných členských štátoch (prepracované znenie)</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873F97" w:rsidP="0059220A">
            <w:pPr>
              <w:pStyle w:val="Heading4"/>
              <w:bidi w:val="0"/>
              <w:spacing w:before="120" w:after="0" w:line="240" w:lineRule="auto"/>
              <w:jc w:val="both"/>
              <w:rPr>
                <w:rFonts w:ascii="Times New Roman" w:hAnsi="Times New Roman"/>
                <w:sz w:val="24"/>
                <w:szCs w:val="24"/>
              </w:rPr>
            </w:pPr>
            <w:r w:rsidRPr="00873F97" w:rsidR="00DE0F85">
              <w:rPr>
                <w:rFonts w:ascii="Times New Roman" w:hAnsi="Times New Roman"/>
                <w:sz w:val="24"/>
                <w:szCs w:val="24"/>
              </w:rPr>
              <w:t>Smernica EÚ</w:t>
            </w:r>
          </w:p>
          <w:p w:rsidR="00EE7DD6" w:rsidRPr="00873F97" w:rsidP="0059220A">
            <w:pPr>
              <w:pStyle w:val="CM4"/>
              <w:bidi w:val="0"/>
              <w:spacing w:before="60" w:after="60" w:line="240" w:lineRule="auto"/>
              <w:jc w:val="both"/>
              <w:rPr>
                <w:rFonts w:ascii="Times New Roman" w:hAnsi="Times New Roman"/>
              </w:rPr>
            </w:pPr>
            <w:r w:rsidRPr="00873F97" w:rsidR="0024166E">
              <w:rPr>
                <w:rFonts w:ascii="Times New Roman" w:hAnsi="Times New Roman"/>
                <w:b/>
                <w:bCs/>
                <w:color w:val="000000"/>
              </w:rPr>
              <w:t xml:space="preserve">SMERNICA RADY </w:t>
            </w:r>
            <w:r w:rsidRPr="00873F97" w:rsidR="0024166E">
              <w:rPr>
                <w:rFonts w:ascii="Times New Roman" w:hAnsi="Times New Roman"/>
                <w:b/>
                <w:bCs/>
                <w:color w:val="000000"/>
                <w:u w:val="single"/>
              </w:rPr>
              <w:t>2011/96/EÚ</w:t>
            </w:r>
            <w:r w:rsidRPr="00873F97" w:rsidR="0024166E">
              <w:rPr>
                <w:rFonts w:ascii="Times New Roman" w:hAnsi="Times New Roman"/>
                <w:b/>
                <w:bCs/>
                <w:color w:val="000000"/>
              </w:rPr>
              <w:t xml:space="preserve"> z 30. novembra 2011 o spoločnom systéme zdaňovania uplatňovanom v prípade materských spoločností a dcérskych spoločností v rozličných členských štátoch (prepracované znenie)</w:t>
            </w:r>
          </w:p>
        </w:tc>
        <w:tc>
          <w:tcPr>
            <w:tcW w:w="8714" w:type="dxa"/>
            <w:gridSpan w:val="5"/>
            <w:tcBorders>
              <w:top w:val="single" w:sz="4" w:space="0" w:color="auto"/>
              <w:left w:val="nil"/>
              <w:bottom w:val="single" w:sz="4" w:space="0" w:color="auto"/>
              <w:right w:val="single" w:sz="12" w:space="0" w:color="auto"/>
            </w:tcBorders>
            <w:textDirection w:val="lrTb"/>
            <w:vAlign w:val="top"/>
          </w:tcPr>
          <w:p w:rsidR="00FE7347" w:rsidRPr="00873F97" w:rsidP="00FE7347">
            <w:pPr>
              <w:pStyle w:val="Heading4"/>
              <w:bidi w:val="0"/>
              <w:spacing w:before="120" w:after="0" w:line="240" w:lineRule="auto"/>
              <w:jc w:val="both"/>
              <w:rPr>
                <w:rFonts w:ascii="Times New Roman" w:hAnsi="Times New Roman"/>
                <w:sz w:val="24"/>
                <w:szCs w:val="24"/>
              </w:rPr>
            </w:pPr>
            <w:r w:rsidRPr="00873F97" w:rsidR="008C54C3">
              <w:rPr>
                <w:rFonts w:ascii="Times New Roman" w:hAnsi="Times New Roman"/>
                <w:sz w:val="24"/>
                <w:szCs w:val="24"/>
              </w:rPr>
              <w:t>Všeobecne záväzné právne predpisy Slovenskej republiky</w:t>
            </w:r>
          </w:p>
          <w:p w:rsidR="0077264B" w:rsidRPr="00873F97" w:rsidP="0077264B">
            <w:pPr>
              <w:bidi w:val="0"/>
              <w:spacing w:after="0" w:line="240" w:lineRule="auto"/>
              <w:rPr>
                <w:rFonts w:ascii="Times New Roman" w:hAnsi="Times New Roman"/>
              </w:rPr>
            </w:pPr>
          </w:p>
          <w:p w:rsidR="00CE71A6" w:rsidRPr="00873F97" w:rsidP="00CE71A6">
            <w:pPr>
              <w:pStyle w:val="Zkladntext"/>
              <w:bidi w:val="0"/>
              <w:spacing w:after="0" w:line="240" w:lineRule="auto"/>
              <w:jc w:val="both"/>
              <w:rPr>
                <w:rFonts w:ascii="Times New Roman" w:hAnsi="Times New Roman"/>
                <w:b/>
              </w:rPr>
            </w:pPr>
            <w:r w:rsidR="00203704">
              <w:rPr>
                <w:rFonts w:ascii="Times New Roman" w:hAnsi="Times New Roman"/>
                <w:b/>
                <w:bCs/>
              </w:rPr>
              <w:t xml:space="preserve">Návrh </w:t>
            </w:r>
            <w:r w:rsidRPr="00203704" w:rsidR="00203704">
              <w:rPr>
                <w:rFonts w:ascii="Times New Roman" w:hAnsi="Times New Roman"/>
                <w:b/>
                <w:bCs/>
              </w:rPr>
              <w:t xml:space="preserve">zákona, ktorým sa mení a dopĺňa zákon č. 595/2003 Z. z. o dani z príjmov v znení neskorších predpisov a  ktorým sa mení zákon č. 563/2009 Z. z. o správe daní (daňový poriadok) a o zmene a doplnení niektorých zákonov v znení neskorších predpisov </w:t>
            </w:r>
            <w:r w:rsidRPr="00873F97">
              <w:rPr>
                <w:rFonts w:ascii="Times New Roman" w:hAnsi="Times New Roman"/>
                <w:b/>
              </w:rPr>
              <w:t>(ďalej len „návrh zákona“)</w:t>
            </w:r>
          </w:p>
          <w:p w:rsidR="008C54C3" w:rsidRPr="00873F97" w:rsidP="0059220A">
            <w:pPr>
              <w:pStyle w:val="Header"/>
              <w:tabs>
                <w:tab w:val="left" w:pos="709"/>
              </w:tabs>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Pr>
                <w:rFonts w:ascii="Times New Roman" w:hAnsi="Times New Roman"/>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Pr>
                <w:rFonts w:ascii="Times New Roman" w:hAnsi="Times New Roman"/>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Pr>
                <w:rFonts w:ascii="Times New Roman" w:hAnsi="Times New Roman"/>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BodyText2"/>
              <w:bidi w:val="0"/>
              <w:spacing w:after="0" w:line="240" w:lineRule="exact"/>
              <w:jc w:val="both"/>
              <w:rPr>
                <w:rFonts w:ascii="Times New Roman" w:hAnsi="Times New Roman"/>
                <w:sz w:val="24"/>
                <w:szCs w:val="24"/>
              </w:rPr>
            </w:pPr>
            <w:r w:rsidRPr="00873F97">
              <w:rPr>
                <w:rFonts w:ascii="Times New Roman" w:hAnsi="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BodyText2"/>
              <w:bidi w:val="0"/>
              <w:spacing w:after="0" w:line="240" w:lineRule="exact"/>
              <w:jc w:val="both"/>
              <w:rPr>
                <w:rFonts w:ascii="Times New Roman" w:hAnsi="Times New Roman"/>
                <w:sz w:val="24"/>
                <w:szCs w:val="24"/>
              </w:rPr>
            </w:pPr>
            <w:r w:rsidRPr="00873F97">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Pr>
                <w:rFonts w:ascii="Times New Roman" w:hAnsi="Times New Roman"/>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Článok</w:t>
            </w:r>
          </w:p>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(Č, O,</w:t>
            </w:r>
          </w:p>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FD6769">
            <w:pPr>
              <w:pStyle w:val="Normlny"/>
              <w:bidi w:val="0"/>
              <w:spacing w:after="0" w:line="240" w:lineRule="auto"/>
              <w:ind w:right="-43"/>
              <w:jc w:val="both"/>
              <w:rPr>
                <w:rFonts w:ascii="Times New Roman" w:hAnsi="Times New Roman"/>
                <w:sz w:val="24"/>
                <w:szCs w:val="24"/>
              </w:rPr>
            </w:pPr>
            <w:r w:rsidRPr="00873F97">
              <w:rPr>
                <w:rFonts w:ascii="Times New Roman" w:hAnsi="Times New Roman"/>
                <w:sz w:val="24"/>
                <w:szCs w:val="24"/>
              </w:rPr>
              <w:t xml:space="preserve">Spôsob </w:t>
            </w:r>
            <w:r w:rsidRPr="00873F97">
              <w:rPr>
                <w:rFonts w:ascii="Times New Roman" w:hAnsi="Times New Roman"/>
                <w:noProof/>
                <w:sz w:val="24"/>
                <w:szCs w:val="24"/>
              </w:rPr>
              <w:t>transp</w:t>
            </w:r>
            <w:r w:rsidRPr="00873F97">
              <w:rPr>
                <w:rFonts w:ascii="Times New Roman" w:hAnsi="Times New Roman"/>
                <w:sz w:val="24"/>
                <w:szCs w:val="24"/>
              </w:rPr>
              <w:t>.</w:t>
            </w:r>
          </w:p>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Číslo</w:t>
            </w:r>
          </w:p>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Článok (Č, §, O, V, P)</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sidR="00153B33">
              <w:rPr>
                <w:rFonts w:ascii="Times New Roman" w:hAnsi="Times New Roman"/>
              </w:rPr>
              <w:t>Čl.2</w:t>
            </w:r>
            <w:r w:rsidRPr="00873F97" w:rsidR="00562776">
              <w:rPr>
                <w:rFonts w:ascii="Times New Roman" w:hAnsi="Times New Roman"/>
              </w:rPr>
              <w:t xml:space="preserve"> pís.b)</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DE3E93" w:rsidRPr="00873F97" w:rsidP="00562776">
            <w:pPr>
              <w:pStyle w:val="CM4"/>
              <w:bidi w:val="0"/>
              <w:spacing w:before="60" w:after="60" w:line="240" w:lineRule="auto"/>
              <w:jc w:val="both"/>
              <w:rPr>
                <w:rFonts w:ascii="Times New Roman" w:hAnsi="Times New Roman"/>
                <w:color w:val="000000"/>
              </w:rPr>
            </w:pPr>
            <w:r w:rsidRPr="00873F97" w:rsidR="0024166E">
              <w:rPr>
                <w:rFonts w:ascii="Times New Roman" w:hAnsi="Times New Roman"/>
                <w:color w:val="000000"/>
              </w:rPr>
              <w:t>Na účely tejto smernice</w:t>
            </w:r>
            <w:r w:rsidRPr="00873F97" w:rsidR="00562776">
              <w:rPr>
                <w:rFonts w:ascii="Times New Roman" w:hAnsi="Times New Roman"/>
                <w:color w:val="000000"/>
              </w:rPr>
              <w:t xml:space="preserve"> sa uplatňujú tieto definície: </w:t>
            </w:r>
          </w:p>
          <w:p w:rsidR="0024166E" w:rsidRPr="00873F97" w:rsidP="0059220A">
            <w:pPr>
              <w:pStyle w:val="Normlny"/>
              <w:bidi w:val="0"/>
              <w:spacing w:after="0" w:line="240" w:lineRule="auto"/>
              <w:jc w:val="both"/>
              <w:rPr>
                <w:rFonts w:ascii="Times New Roman" w:hAnsi="Times New Roman"/>
                <w:sz w:val="24"/>
                <w:szCs w:val="24"/>
              </w:rPr>
            </w:pPr>
            <w:r w:rsidRPr="00873F97">
              <w:rPr>
                <w:rFonts w:ascii="Times New Roman" w:hAnsi="Times New Roman"/>
                <w:color w:val="000000"/>
                <w:sz w:val="24"/>
                <w:szCs w:val="24"/>
              </w:rPr>
              <w:t>b) „stála prevádzkareň“ znamená trvalé miesto na podnikanie, ktoré sa nachádza v členskom štáte, v ktorom sa úplne alebo čiastočne vykonáva činnosť spoločnosti z iného členského štátu, pričom zisky tohto miesta na podnikanie sú predmetom dane v členskom štáte, v ktorom sa miesto nachádza na základe príslušnej bilaterálnej daňovej zmluvy, alebo pri absencii takejto zmluvy na základe vnútroštátneho 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sidR="00EB5033">
              <w:rPr>
                <w:rFonts w:ascii="Times New Roman" w:hAnsi="Times New Roman"/>
              </w:rPr>
              <w:t>N</w:t>
            </w:r>
          </w:p>
        </w:tc>
        <w:tc>
          <w:tcPr>
            <w:tcW w:w="851" w:type="dxa"/>
            <w:tcBorders>
              <w:top w:val="single" w:sz="4" w:space="0" w:color="auto"/>
              <w:left w:val="nil"/>
              <w:bottom w:val="single" w:sz="4" w:space="0" w:color="auto"/>
              <w:right w:val="single" w:sz="4" w:space="0" w:color="auto"/>
            </w:tcBorders>
            <w:textDirection w:val="lrTb"/>
            <w:vAlign w:val="top"/>
          </w:tcPr>
          <w:p w:rsidR="00CD04CE" w:rsidRPr="00873F97" w:rsidP="00CD04CE">
            <w:pPr>
              <w:bidi w:val="0"/>
              <w:spacing w:after="0" w:line="240" w:lineRule="auto"/>
              <w:jc w:val="center"/>
              <w:rPr>
                <w:rFonts w:ascii="Times New Roman" w:hAnsi="Times New Roman"/>
                <w:b/>
              </w:rPr>
            </w:pPr>
            <w:r w:rsidRPr="00873F97">
              <w:rPr>
                <w:rFonts w:ascii="Times New Roman" w:hAnsi="Times New Roman"/>
                <w:b/>
              </w:rPr>
              <w:t>Návrh zákona čl.I</w:t>
            </w:r>
          </w:p>
          <w:p w:rsidR="00CD04CE" w:rsidRPr="00873F97" w:rsidP="0059220A">
            <w:pPr>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E3E93" w:rsidRPr="00873F97" w:rsidP="00CD04CE">
            <w:pPr>
              <w:bidi w:val="0"/>
              <w:spacing w:after="0" w:line="240" w:lineRule="auto"/>
              <w:jc w:val="center"/>
              <w:rPr>
                <w:rFonts w:ascii="Times New Roman" w:hAnsi="Times New Roman"/>
              </w:rPr>
            </w:pPr>
            <w:r w:rsidRPr="00873F97">
              <w:rPr>
                <w:rFonts w:ascii="Times New Roman" w:hAnsi="Times New Roman"/>
              </w:rPr>
              <w:t>§ 16 ods.2</w:t>
            </w:r>
          </w:p>
          <w:p w:rsidR="00EB5033" w:rsidRPr="00873F97" w:rsidP="00A14BED">
            <w:pPr>
              <w:bidi w:val="0"/>
              <w:spacing w:after="0" w:line="240" w:lineRule="auto"/>
              <w:rPr>
                <w:rFonts w:ascii="Times New Roman" w:hAnsi="Times New Roman"/>
              </w:rPr>
            </w:pPr>
          </w:p>
          <w:p w:rsidR="00EB5033" w:rsidRPr="00873F97" w:rsidP="00A14BED">
            <w:pPr>
              <w:bidi w:val="0"/>
              <w:spacing w:after="0" w:line="240" w:lineRule="auto"/>
              <w:rPr>
                <w:rFonts w:ascii="Times New Roman" w:hAnsi="Times New Roman"/>
              </w:rPr>
            </w:pPr>
          </w:p>
          <w:p w:rsidR="00EB5033" w:rsidRPr="00873F97" w:rsidP="00A14BED">
            <w:pPr>
              <w:bidi w:val="0"/>
              <w:spacing w:after="0" w:line="240" w:lineRule="auto"/>
              <w:rPr>
                <w:rFonts w:ascii="Times New Roman" w:hAnsi="Times New Roman"/>
              </w:rPr>
            </w:pPr>
          </w:p>
          <w:p w:rsidR="00EB5033" w:rsidRPr="00873F97" w:rsidP="00A14BED">
            <w:pPr>
              <w:bidi w:val="0"/>
              <w:spacing w:after="0" w:line="240" w:lineRule="auto"/>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DE3E93" w:rsidRPr="00873F97" w:rsidP="00203704">
            <w:pPr>
              <w:bidi w:val="0"/>
              <w:spacing w:after="0" w:line="240" w:lineRule="auto"/>
              <w:jc w:val="both"/>
              <w:rPr>
                <w:rFonts w:ascii="Times New Roman" w:hAnsi="Times New Roman"/>
                <w:b/>
              </w:rPr>
            </w:pPr>
            <w:r w:rsidRPr="00873F97" w:rsidR="00873F97">
              <w:rPr>
                <w:rFonts w:ascii="Times New Roman" w:hAnsi="Times New Roman"/>
                <w:b/>
              </w:rPr>
              <w:t xml:space="preserve">Stálou prevádzkarňou sa na účely tohto zákona rozumie trvalé miesto alebo zariadenie na výkon činnosti, prostredníctvom </w:t>
            </w:r>
            <w:r w:rsidRPr="00873F97" w:rsidR="00203704">
              <w:rPr>
                <w:rFonts w:ascii="Times New Roman" w:hAnsi="Times New Roman"/>
                <w:b/>
              </w:rPr>
              <w:t>ktorého</w:t>
            </w:r>
            <w:r w:rsidRPr="00873F97" w:rsidR="00203704">
              <w:rPr>
                <w:rFonts w:ascii="Times New Roman" w:hAnsi="Times New Roman"/>
                <w:b/>
              </w:rPr>
              <w:t xml:space="preserve"> </w:t>
            </w:r>
            <w:r w:rsidRPr="00873F97" w:rsidR="00873F97">
              <w:rPr>
                <w:rFonts w:ascii="Times New Roman" w:hAnsi="Times New Roman"/>
                <w:b/>
              </w:rPr>
              <w:t xml:space="preserve">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w:t>
            </w:r>
            <w:r w:rsidRPr="00873F97" w:rsidR="00C015C7">
              <w:rPr>
                <w:rFonts w:ascii="Times New Roman" w:hAnsi="Times New Roman"/>
                <w:b/>
              </w:rPr>
              <w:t xml:space="preserve">sa </w:t>
            </w:r>
            <w:r w:rsidRPr="00873F97" w:rsidR="00873F97">
              <w:rPr>
                <w:rFonts w:ascii="Times New Roman" w:hAnsi="Times New Roman"/>
                <w:b/>
              </w:rPr>
              <w:t>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873F97" w:rsidP="0059220A">
            <w:pPr>
              <w:bidi w:val="0"/>
              <w:spacing w:after="0" w:line="240" w:lineRule="auto"/>
              <w:jc w:val="both"/>
              <w:rPr>
                <w:rFonts w:ascii="Times New Roman" w:hAnsi="Times New Roman"/>
              </w:rPr>
            </w:pPr>
            <w:r w:rsidRPr="00873F97" w:rsidR="00EB5033">
              <w:rPr>
                <w:rFonts w:ascii="Times New Roman" w:hAnsi="Times New Roman"/>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873F97" w:rsidP="0059220A">
            <w:pPr>
              <w:pStyle w:val="Heading1"/>
              <w:bidi w:val="0"/>
              <w:spacing w:after="0" w:line="240" w:lineRule="auto"/>
              <w:jc w:val="both"/>
              <w:rPr>
                <w:rFonts w:ascii="Times New Roman" w:hAnsi="Times New Roman"/>
                <w:b w:val="0"/>
                <w:bCs w:val="0"/>
              </w:rPr>
            </w:pPr>
          </w:p>
        </w:tc>
      </w:tr>
    </w:tbl>
    <w:p w:rsidR="008C54C3" w:rsidRPr="00873F97" w:rsidP="0059220A">
      <w:pPr>
        <w:autoSpaceDE/>
        <w:autoSpaceDN/>
        <w:bidi w:val="0"/>
        <w:jc w:val="both"/>
        <w:rPr>
          <w:rFonts w:ascii="Times New Roman" w:hAnsi="Times New Roman"/>
        </w:rPr>
      </w:pPr>
      <w:r w:rsidRPr="00873F97">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873F97" w:rsidP="0059220A">
            <w:pPr>
              <w:pStyle w:val="Normlny"/>
              <w:autoSpaceDE/>
              <w:autoSpaceDN/>
              <w:bidi w:val="0"/>
              <w:spacing w:after="60" w:line="240" w:lineRule="auto"/>
              <w:jc w:val="both"/>
              <w:rPr>
                <w:rFonts w:ascii="Times New Roman" w:hAnsi="Times New Roman"/>
                <w:sz w:val="24"/>
                <w:szCs w:val="24"/>
                <w:lang w:eastAsia="sk-SK"/>
              </w:rPr>
            </w:pPr>
            <w:r w:rsidRPr="00873F97">
              <w:rPr>
                <w:rFonts w:ascii="Times New Roman" w:hAnsi="Times New Roman"/>
                <w:sz w:val="24"/>
                <w:szCs w:val="24"/>
                <w:lang w:eastAsia="sk-SK"/>
              </w:rPr>
              <w:t>V stĺpci (1):</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Č – článok</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O – odsek</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V – veta</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 xml:space="preserve">P – </w:t>
            </w:r>
            <w:r w:rsidRPr="00873F97" w:rsidR="00DA0F6C">
              <w:rPr>
                <w:rFonts w:ascii="Times New Roman" w:hAnsi="Times New Roman"/>
              </w:rPr>
              <w:t>číslo</w:t>
            </w:r>
            <w:r w:rsidRPr="00873F97">
              <w:rPr>
                <w:rFonts w:ascii="Times New Roman" w:hAnsi="Times New Roman"/>
              </w:rPr>
              <w:t xml:space="preserve"> (</w:t>
            </w:r>
            <w:r w:rsidRPr="00873F97" w:rsidR="00DA0F6C">
              <w:rPr>
                <w:rFonts w:ascii="Times New Roman" w:hAnsi="Times New Roman"/>
              </w:rPr>
              <w:t>písmeno</w:t>
            </w:r>
            <w:r w:rsidRPr="00873F97">
              <w:rPr>
                <w:rFonts w:ascii="Times New Roman" w:hAnsi="Times New Roman"/>
              </w:rPr>
              <w:t>)</w:t>
            </w:r>
          </w:p>
          <w:p w:rsidR="008C54C3" w:rsidRPr="00873F97" w:rsidP="0059220A">
            <w:pPr>
              <w:autoSpaceDE/>
              <w:autoSpaceDN/>
              <w:bidi w:val="0"/>
              <w:spacing w:after="0" w:line="240" w:lineRule="auto"/>
              <w:jc w:val="both"/>
              <w:rPr>
                <w:rFonts w:ascii="Times New Roman" w:hAnsi="Times New Roman"/>
              </w:rPr>
            </w:pPr>
          </w:p>
        </w:tc>
        <w:tc>
          <w:tcPr>
            <w:tcW w:w="3780" w:type="dxa"/>
            <w:tcBorders>
              <w:top w:val="nil"/>
              <w:left w:val="nil"/>
              <w:bottom w:val="nil"/>
              <w:right w:val="nil"/>
            </w:tcBorders>
            <w:textDirection w:val="lrTb"/>
            <w:vAlign w:val="top"/>
          </w:tcPr>
          <w:p w:rsidR="008C54C3" w:rsidRPr="00873F97" w:rsidP="0059220A">
            <w:pPr>
              <w:pStyle w:val="Normlny"/>
              <w:autoSpaceDE/>
              <w:autoSpaceDN/>
              <w:bidi w:val="0"/>
              <w:spacing w:after="60" w:line="240" w:lineRule="auto"/>
              <w:jc w:val="both"/>
              <w:rPr>
                <w:rFonts w:ascii="Times New Roman" w:hAnsi="Times New Roman"/>
                <w:sz w:val="24"/>
                <w:szCs w:val="24"/>
                <w:lang w:eastAsia="sk-SK"/>
              </w:rPr>
            </w:pPr>
            <w:r w:rsidRPr="00873F97">
              <w:rPr>
                <w:rFonts w:ascii="Times New Roman" w:hAnsi="Times New Roman"/>
                <w:sz w:val="24"/>
                <w:szCs w:val="24"/>
                <w:lang w:eastAsia="sk-SK"/>
              </w:rPr>
              <w:t>V stĺpci (3):</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N – bežná transpozícia</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O – transpozícia s možnosťou voľby</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D – transpozícia podľa úvahy (dobrovoľná)</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873F97" w:rsidP="0059220A">
            <w:pPr>
              <w:pStyle w:val="Normlny"/>
              <w:autoSpaceDE/>
              <w:autoSpaceDN/>
              <w:bidi w:val="0"/>
              <w:spacing w:after="60" w:line="240" w:lineRule="auto"/>
              <w:jc w:val="both"/>
              <w:rPr>
                <w:rFonts w:ascii="Times New Roman" w:hAnsi="Times New Roman"/>
                <w:sz w:val="24"/>
                <w:szCs w:val="24"/>
                <w:lang w:eastAsia="sk-SK"/>
              </w:rPr>
            </w:pPr>
            <w:r w:rsidRPr="00873F97">
              <w:rPr>
                <w:rFonts w:ascii="Times New Roman" w:hAnsi="Times New Roman"/>
                <w:sz w:val="24"/>
                <w:szCs w:val="24"/>
                <w:lang w:eastAsia="sk-SK"/>
              </w:rPr>
              <w:t>V stĺpci (5):</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Č – článok</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 – paragraf</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O – odsek</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V – veta</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873F97" w:rsidP="0059220A">
            <w:pPr>
              <w:pStyle w:val="Normlny"/>
              <w:autoSpaceDE/>
              <w:autoSpaceDN/>
              <w:bidi w:val="0"/>
              <w:spacing w:after="60" w:line="240" w:lineRule="auto"/>
              <w:jc w:val="both"/>
              <w:rPr>
                <w:rFonts w:ascii="Times New Roman" w:hAnsi="Times New Roman"/>
                <w:sz w:val="24"/>
                <w:szCs w:val="24"/>
                <w:lang w:eastAsia="sk-SK"/>
              </w:rPr>
            </w:pPr>
            <w:r w:rsidRPr="00873F97">
              <w:rPr>
                <w:rFonts w:ascii="Times New Roman" w:hAnsi="Times New Roman"/>
                <w:sz w:val="24"/>
                <w:szCs w:val="24"/>
                <w:lang w:eastAsia="sk-SK"/>
              </w:rPr>
              <w:t>V stĺpci (7):</w:t>
            </w:r>
          </w:p>
          <w:p w:rsidR="008C54C3" w:rsidRPr="00873F97" w:rsidP="0059220A">
            <w:pPr>
              <w:autoSpaceDE/>
              <w:autoSpaceDN/>
              <w:bidi w:val="0"/>
              <w:spacing w:after="0" w:line="240" w:lineRule="auto"/>
              <w:ind w:left="290" w:hanging="290"/>
              <w:jc w:val="both"/>
              <w:rPr>
                <w:rFonts w:ascii="Times New Roman" w:hAnsi="Times New Roman"/>
              </w:rPr>
            </w:pPr>
            <w:r w:rsidRPr="00873F97">
              <w:rPr>
                <w:rFonts w:ascii="Times New Roman" w:hAnsi="Times New Roman"/>
              </w:rPr>
              <w:t>Ú – úplná zhoda (ak bolo ustanovenie smernice prebraté v celom rozsahu, správne, v príslušnej form</w:t>
            </w:r>
            <w:r w:rsidRPr="00873F97" w:rsidR="00391DC5">
              <w:rPr>
                <w:rFonts w:ascii="Times New Roman" w:hAnsi="Times New Roman"/>
              </w:rPr>
              <w:t>e</w:t>
            </w:r>
            <w:r w:rsidRPr="00873F97">
              <w:rPr>
                <w:rFonts w:ascii="Times New Roman" w:hAnsi="Times New Roman"/>
              </w:rPr>
              <w:t>, so zabezpečenou inštitucionálnou</w:t>
            </w:r>
            <w:r w:rsidRPr="00873F97" w:rsidR="000C2E53">
              <w:rPr>
                <w:rFonts w:ascii="Times New Roman" w:hAnsi="Times New Roman"/>
              </w:rPr>
              <w:t xml:space="preserve"> </w:t>
            </w:r>
            <w:r w:rsidRPr="00873F97">
              <w:rPr>
                <w:rFonts w:ascii="Times New Roman" w:hAnsi="Times New Roman"/>
              </w:rPr>
              <w:t xml:space="preserve"> </w:t>
            </w:r>
            <w:r w:rsidRPr="00873F97" w:rsidR="000C2E53">
              <w:rPr>
                <w:rFonts w:ascii="Times New Roman" w:hAnsi="Times New Roman"/>
              </w:rPr>
              <w:t>i</w:t>
            </w:r>
            <w:r w:rsidRPr="00873F97">
              <w:rPr>
                <w:rFonts w:ascii="Times New Roman" w:hAnsi="Times New Roman"/>
              </w:rPr>
              <w:t>nfraštruktúrou, s príslušnými sankciami a vo vzájomnej súvislosti)</w:t>
            </w:r>
          </w:p>
          <w:p w:rsidR="008C54C3" w:rsidRPr="00873F97" w:rsidP="0059220A">
            <w:pPr>
              <w:autoSpaceDE/>
              <w:autoSpaceDN/>
              <w:bidi w:val="0"/>
              <w:spacing w:after="0" w:line="240" w:lineRule="auto"/>
              <w:jc w:val="both"/>
              <w:rPr>
                <w:rFonts w:ascii="Times New Roman" w:hAnsi="Times New Roman"/>
              </w:rPr>
            </w:pPr>
            <w:r w:rsidRPr="00873F97">
              <w:rPr>
                <w:rFonts w:ascii="Times New Roman" w:hAnsi="Times New Roman"/>
              </w:rPr>
              <w:t>Č – čiastočná zhoda (ak minimálne jedna z podmienok úplnej zhody nie je splnená)</w:t>
            </w:r>
          </w:p>
          <w:p w:rsidR="008C54C3" w:rsidRPr="00873F97" w:rsidP="0059220A">
            <w:pPr>
              <w:pStyle w:val="BodyTextIndent2"/>
              <w:bidi w:val="0"/>
              <w:spacing w:after="0" w:line="240" w:lineRule="auto"/>
              <w:jc w:val="both"/>
              <w:rPr>
                <w:rFonts w:ascii="Times New Roman" w:hAnsi="Times New Roman"/>
                <w:sz w:val="24"/>
                <w:szCs w:val="24"/>
              </w:rPr>
            </w:pPr>
            <w:r w:rsidRPr="00873F97">
              <w:rPr>
                <w:rFonts w:ascii="Times New Roman" w:hAnsi="Times New Roman"/>
                <w:sz w:val="24"/>
                <w:szCs w:val="24"/>
              </w:rPr>
              <w:t>Ž – žiadna zhoda (ak nebola dosiahnutá ani úplná ani čiast. zhoda alebo k prebratiu dôjde v budúcnosti)</w:t>
            </w:r>
          </w:p>
          <w:p w:rsidR="008C54C3" w:rsidRPr="00873F97" w:rsidP="0059220A">
            <w:pPr>
              <w:autoSpaceDE/>
              <w:autoSpaceDN/>
              <w:bidi w:val="0"/>
              <w:spacing w:after="0" w:line="240" w:lineRule="auto"/>
              <w:ind w:left="290" w:hanging="290"/>
              <w:jc w:val="both"/>
              <w:rPr>
                <w:rFonts w:ascii="Times New Roman" w:hAnsi="Times New Roman"/>
              </w:rPr>
            </w:pPr>
            <w:r w:rsidRPr="00873F97">
              <w:rPr>
                <w:rFonts w:ascii="Times New Roman" w:hAnsi="Times New Roman"/>
              </w:rPr>
              <w:t>n.a. – neaplikovateľnosť (ak sa ustanovenie smernice netýka SR alebo nie je potrebné ho prebrať)</w:t>
            </w:r>
          </w:p>
        </w:tc>
      </w:tr>
    </w:tbl>
    <w:p w:rsidR="008C54C3" w:rsidRPr="00873F97" w:rsidP="0059220A">
      <w:pPr>
        <w:autoSpaceDE/>
        <w:autoSpaceDN/>
        <w:bidi w:val="0"/>
        <w:jc w:val="both"/>
        <w:rPr>
          <w:rFonts w:ascii="Times New Roman" w:hAnsi="Times New Roman"/>
        </w:rPr>
      </w:pPr>
    </w:p>
    <w:p w:rsidR="008C54C3" w:rsidRPr="00873F97" w:rsidP="0059220A">
      <w:pPr>
        <w:autoSpaceDE/>
        <w:autoSpaceDN/>
        <w:bidi w:val="0"/>
        <w:jc w:val="both"/>
        <w:rPr>
          <w:rFonts w:ascii="Times New Roman" w:hAnsi="Times New Roman"/>
        </w:rPr>
      </w:pPr>
    </w:p>
    <w:p w:rsidR="008C54C3" w:rsidRPr="00873F97" w:rsidP="0059220A">
      <w:pPr>
        <w:pStyle w:val="Header"/>
        <w:tabs>
          <w:tab w:val="clear" w:pos="4536"/>
          <w:tab w:val="clear" w:pos="9072"/>
        </w:tabs>
        <w:autoSpaceDE/>
        <w:autoSpaceDN/>
        <w:bidi w:val="0"/>
        <w:jc w:val="both"/>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E">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03704">
      <w:rPr>
        <w:rStyle w:val="PageNumber"/>
        <w:rFonts w:ascii="Times New Roman" w:hAnsi="Times New Roman"/>
        <w:noProof/>
      </w:rPr>
      <w:t>3</w:t>
    </w:r>
    <w:r>
      <w:rPr>
        <w:rStyle w:val="PageNumber"/>
        <w:rFonts w:ascii="Times New Roman" w:hAnsi="Times New Roman"/>
      </w:rPr>
      <w:fldChar w:fldCharType="end"/>
    </w:r>
  </w:p>
  <w:p w:rsidR="0024166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B3DB5"/>
    <w:rsid w:val="000C2E53"/>
    <w:rsid w:val="00112055"/>
    <w:rsid w:val="00127033"/>
    <w:rsid w:val="00153B33"/>
    <w:rsid w:val="00156457"/>
    <w:rsid w:val="00177E75"/>
    <w:rsid w:val="001D0799"/>
    <w:rsid w:val="00203704"/>
    <w:rsid w:val="0024166E"/>
    <w:rsid w:val="00283718"/>
    <w:rsid w:val="002C1B7F"/>
    <w:rsid w:val="002C6113"/>
    <w:rsid w:val="002D4956"/>
    <w:rsid w:val="00373ECE"/>
    <w:rsid w:val="00391DC5"/>
    <w:rsid w:val="00440A2A"/>
    <w:rsid w:val="00445723"/>
    <w:rsid w:val="004A0924"/>
    <w:rsid w:val="004B0D39"/>
    <w:rsid w:val="004D3894"/>
    <w:rsid w:val="005170A9"/>
    <w:rsid w:val="00562776"/>
    <w:rsid w:val="00587936"/>
    <w:rsid w:val="0059220A"/>
    <w:rsid w:val="005947B8"/>
    <w:rsid w:val="005D787E"/>
    <w:rsid w:val="00611BAA"/>
    <w:rsid w:val="006A0C54"/>
    <w:rsid w:val="006E2510"/>
    <w:rsid w:val="0077264B"/>
    <w:rsid w:val="007866F2"/>
    <w:rsid w:val="007F2120"/>
    <w:rsid w:val="00873F97"/>
    <w:rsid w:val="008C54C3"/>
    <w:rsid w:val="00952DD2"/>
    <w:rsid w:val="009E138E"/>
    <w:rsid w:val="00A00A8F"/>
    <w:rsid w:val="00A14BED"/>
    <w:rsid w:val="00A87ED8"/>
    <w:rsid w:val="00A9063F"/>
    <w:rsid w:val="00AA616A"/>
    <w:rsid w:val="00BC6823"/>
    <w:rsid w:val="00BE72D1"/>
    <w:rsid w:val="00C015C7"/>
    <w:rsid w:val="00C139A5"/>
    <w:rsid w:val="00C14182"/>
    <w:rsid w:val="00C34EF5"/>
    <w:rsid w:val="00C619E0"/>
    <w:rsid w:val="00CB2E5D"/>
    <w:rsid w:val="00CC1335"/>
    <w:rsid w:val="00CC46F1"/>
    <w:rsid w:val="00CD04CE"/>
    <w:rsid w:val="00CE71A6"/>
    <w:rsid w:val="00D150CD"/>
    <w:rsid w:val="00D203E0"/>
    <w:rsid w:val="00D22479"/>
    <w:rsid w:val="00D90C4A"/>
    <w:rsid w:val="00DA0F6C"/>
    <w:rsid w:val="00DE0F85"/>
    <w:rsid w:val="00DE3E93"/>
    <w:rsid w:val="00E0140F"/>
    <w:rsid w:val="00E10C57"/>
    <w:rsid w:val="00E7041D"/>
    <w:rsid w:val="00E762B4"/>
    <w:rsid w:val="00E900B0"/>
    <w:rsid w:val="00EB5033"/>
    <w:rsid w:val="00EC7AA0"/>
    <w:rsid w:val="00EE7DD6"/>
    <w:rsid w:val="00F13B5D"/>
    <w:rsid w:val="00FB45E2"/>
    <w:rsid w:val="00FD6769"/>
    <w:rsid w:val="00FE7347"/>
    <w:rsid w:val="00FF79A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M1">
    <w:name w:val="CM1"/>
    <w:basedOn w:val="Default"/>
    <w:next w:val="Default"/>
    <w:uiPriority w:val="99"/>
    <w:rsid w:val="00EC7AA0"/>
    <w:pPr>
      <w:jc w:val="left"/>
    </w:pPr>
    <w:rPr>
      <w:rFonts w:cs="Times New Roman"/>
      <w:color w:val="auto"/>
    </w:rPr>
  </w:style>
  <w:style w:type="paragraph" w:customStyle="1" w:styleId="CM3">
    <w:name w:val="CM3"/>
    <w:basedOn w:val="Default"/>
    <w:next w:val="Default"/>
    <w:uiPriority w:val="99"/>
    <w:rsid w:val="00EC7AA0"/>
    <w:pPr>
      <w:jc w:val="left"/>
    </w:pPr>
    <w:rPr>
      <w:rFonts w:cs="Times New Roman"/>
      <w:color w:val="auto"/>
    </w:rPr>
  </w:style>
  <w:style w:type="character" w:styleId="Emphasis">
    <w:name w:val="Emphasis"/>
    <w:basedOn w:val="DefaultParagraphFont"/>
    <w:uiPriority w:val="20"/>
    <w:qFormat/>
    <w:rsid w:val="0077264B"/>
    <w:rPr>
      <w:rFonts w:cs="Times New Roman"/>
      <w:i/>
      <w:iCs/>
      <w:rtl w:val="0"/>
      <w:cs w:val="0"/>
    </w:rPr>
  </w:style>
  <w:style w:type="paragraph" w:styleId="BalloonText">
    <w:name w:val="Balloon Text"/>
    <w:basedOn w:val="Normal"/>
    <w:link w:val="TextbublinyChar"/>
    <w:uiPriority w:val="99"/>
    <w:rsid w:val="002D495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2D4956"/>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3</Pages>
  <Words>720</Words>
  <Characters>4105</Characters>
  <Application>Microsoft Office Word</Application>
  <DocSecurity>0</DocSecurity>
  <Lines>0</Lines>
  <Paragraphs>0</Paragraphs>
  <ScaleCrop>false</ScaleCrop>
  <Company>ÚV SR</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Murinova Maria</cp:lastModifiedBy>
  <cp:revision>7</cp:revision>
  <cp:lastPrinted>2017-08-03T14:16:00Z</cp:lastPrinted>
  <dcterms:created xsi:type="dcterms:W3CDTF">2017-08-03T14:17:00Z</dcterms:created>
  <dcterms:modified xsi:type="dcterms:W3CDTF">2017-08-15T10:00:00Z</dcterms:modified>
</cp:coreProperties>
</file>