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165"/>
        <w:gridCol w:w="851"/>
        <w:gridCol w:w="850"/>
        <w:gridCol w:w="709"/>
        <w:gridCol w:w="6520"/>
        <w:gridCol w:w="567"/>
        <w:gridCol w:w="918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43E0E" w:rsidP="00F22CD4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43E0E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443E0E" w:rsidP="00D0085A">
            <w:pPr>
              <w:pStyle w:val="Zkladntext"/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3E0E" w:rsidR="00EF2DFB">
              <w:rPr>
                <w:rFonts w:ascii="Times New Roman" w:hAnsi="Times New Roman"/>
                <w:b/>
                <w:bCs/>
                <w:sz w:val="20"/>
                <w:szCs w:val="20"/>
              </w:rPr>
              <w:t>k n</w:t>
            </w:r>
            <w:r w:rsidRPr="00443E0E" w:rsidR="00B349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ávrhu zákona, </w:t>
            </w:r>
            <w:r w:rsidRPr="00443E0E" w:rsidR="00B349E6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ktorým sa mení a dopĺňa zákon č. 98/2004 Z. z. o spotrebnej dani z minerálneho oleja v znení neskorších </w:t>
            </w:r>
            <w:r w:rsidRPr="00443E0E" w:rsidR="00944C52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 xml:space="preserve">predpisov </w:t>
            </w:r>
            <w:r w:rsidRPr="00443E0E" w:rsidR="00B349E6">
              <w:rPr>
                <w:rFonts w:ascii="Times New Roman" w:hAnsi="Times New Roman"/>
                <w:b/>
                <w:sz w:val="20"/>
                <w:szCs w:val="20"/>
              </w:rPr>
              <w:t>a ktorým sa mení a dopĺňa zákon č. 309/2009 Z. z. o podpore obnoviteľných zdrojov energie a vysoko účinnej kombinovanej výroby a o zmene a doplnení niektorých zákonov v znení neskorších predpisov</w:t>
            </w:r>
            <w:r w:rsidRPr="00443E0E" w:rsidR="00944C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3E0E" w:rsidR="00B349E6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1A508F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508F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43E0E" w:rsidP="00DC3DFC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3E0E" w:rsidR="0095366E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43E0E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>mernica</w:t>
            </w:r>
            <w:r w:rsidRPr="00443E0E" w:rsidR="009536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</w:t>
            </w:r>
            <w:r w:rsidRPr="00443E0E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>ady</w:t>
            </w:r>
            <w:r w:rsidRPr="00443E0E" w:rsidR="009536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2003/96/ES z 27. októbra 2003 o reštrukturalizácii právneho rámca spoločenstva pre zdaňovanie energetických výrobkov a elektriny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43E0E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43E0E">
              <w:rPr>
                <w:rFonts w:ascii="Times New Roman" w:hAnsi="Times New Roman"/>
                <w:sz w:val="20"/>
                <w:szCs w:val="20"/>
                <w:u w:val="single"/>
              </w:rPr>
              <w:t>Smernica ES</w:t>
            </w:r>
          </w:p>
          <w:p w:rsidR="002C70D0" w:rsidRPr="00443E0E" w:rsidP="00FB350B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43E0E" w:rsidR="0055135C">
              <w:rPr>
                <w:rFonts w:ascii="Times New Roman" w:hAnsi="Times New Roman"/>
                <w:b/>
                <w:bCs/>
                <w:sz w:val="20"/>
                <w:szCs w:val="20"/>
              </w:rPr>
              <w:t>mernica</w:t>
            </w: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</w:t>
            </w:r>
            <w:r w:rsidRPr="00443E0E" w:rsidR="0055135C">
              <w:rPr>
                <w:rFonts w:ascii="Times New Roman" w:hAnsi="Times New Roman"/>
                <w:b/>
                <w:bCs/>
                <w:sz w:val="20"/>
                <w:szCs w:val="20"/>
              </w:rPr>
              <w:t>ady</w:t>
            </w: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2003/96/ES z 27. októbra 2003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>o reštrukturalizácii právneho rámca spoločenstva pre zdaňovanie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>energetických výrobkov a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443E0E" w:rsidR="000D042F">
              <w:rPr>
                <w:rFonts w:ascii="Times New Roman" w:hAnsi="Times New Roman"/>
                <w:b/>
                <w:bCs/>
                <w:sz w:val="20"/>
                <w:szCs w:val="20"/>
              </w:rPr>
              <w:t>elektriny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 znení s</w:t>
            </w:r>
            <w:r w:rsidRPr="00443E0E" w:rsidR="00F13EE3">
              <w:rPr>
                <w:rFonts w:ascii="Times New Roman" w:hAnsi="Times New Roman"/>
                <w:b/>
                <w:sz w:val="20"/>
                <w:szCs w:val="20"/>
              </w:rPr>
              <w:t>mernice</w:t>
            </w:r>
            <w:r w:rsidRPr="00443E0E">
              <w:rPr>
                <w:rFonts w:ascii="Times New Roman" w:hAnsi="Times New Roman"/>
                <w:b/>
                <w:sz w:val="20"/>
                <w:szCs w:val="20"/>
              </w:rPr>
              <w:t xml:space="preserve"> Rady 2004/74/ES a 2004/75/ES (konsolidované znenie)</w:t>
            </w:r>
          </w:p>
          <w:p w:rsidR="000D042F" w:rsidRPr="00443E0E" w:rsidP="00FB350B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4C3" w:rsidRPr="00443E0E" w:rsidP="00FB350B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43E0E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43E0E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95366E" w:rsidRPr="00443E0E" w:rsidP="00FB350B">
            <w:pPr>
              <w:pStyle w:val="Zkladntext"/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zákona, ktorým sa mení a dopĺňa zákon č. 98/2004 Z. z. o spotrebnej dani z minerálneho oleja v znení neskorších </w:t>
            </w:r>
            <w:r w:rsidRPr="00443E0E" w:rsidR="00D0085A">
              <w:rPr>
                <w:rFonts w:ascii="Times New Roman" w:hAnsi="Times New Roman"/>
                <w:b/>
                <w:bCs/>
                <w:sz w:val="20"/>
                <w:szCs w:val="20"/>
              </w:rPr>
              <w:t>predpisov</w:t>
            </w:r>
            <w:r w:rsidRPr="00443E0E" w:rsidR="00483E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3E0E" w:rsidR="00944C52">
              <w:rPr>
                <w:rFonts w:ascii="Times New Roman" w:hAnsi="Times New Roman"/>
                <w:b/>
                <w:sz w:val="20"/>
                <w:szCs w:val="20"/>
              </w:rPr>
              <w:t xml:space="preserve">a ktorým sa mení a dopĺňa zákon č. 309/2009 Z. z. o podpore obnoviteľných zdrojov energie a vysoko účinnej kombinovanej výroby a o zmene a doplnení niektorých zákonov v znení neskorších predpisov 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>(ďalej len „</w:t>
            </w:r>
            <w:r w:rsidRPr="00443E0E" w:rsidR="00D0085A">
              <w:rPr>
                <w:rFonts w:ascii="Times New Roman" w:hAnsi="Times New Roman"/>
                <w:b/>
                <w:bCs/>
                <w:sz w:val="20"/>
                <w:szCs w:val="20"/>
              </w:rPr>
              <w:t>X/2017</w:t>
            </w:r>
            <w:r w:rsidRPr="00443E0E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</w:t>
            </w:r>
            <w:r w:rsidRPr="00443E0E" w:rsidR="003857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3E0E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</w:t>
            </w:r>
            <w:r w:rsidRPr="00443E0E">
              <w:rPr>
                <w:rFonts w:ascii="Times New Roman" w:hAnsi="Times New Roman"/>
                <w:b/>
                <w:bCs/>
                <w:sz w:val="20"/>
                <w:szCs w:val="20"/>
              </w:rPr>
              <w:t>“)</w:t>
            </w:r>
          </w:p>
          <w:p w:rsidR="008C54C3" w:rsidRPr="00443E0E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995" w:rsidRPr="00443E0E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43E0E" w:rsidR="0034051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443E0E">
              <w:rPr>
                <w:rFonts w:ascii="Times New Roman" w:hAnsi="Times New Roman"/>
                <w:bCs/>
                <w:sz w:val="20"/>
                <w:szCs w:val="20"/>
              </w:rPr>
              <w:t>ákon č. 98/2004 Z. z. o spotrebnej dani z minerálneho oleja v znení neskorších predpisov</w:t>
            </w:r>
            <w:r w:rsidRPr="00443E0E" w:rsidR="0034051B">
              <w:rPr>
                <w:rFonts w:ascii="Times New Roman" w:hAnsi="Times New Roman"/>
                <w:bCs/>
                <w:sz w:val="20"/>
                <w:szCs w:val="20"/>
              </w:rPr>
              <w:t xml:space="preserve"> (ďalej len „98/2004 Z.</w:t>
            </w:r>
            <w:r w:rsidRPr="00443E0E" w:rsidR="003857B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43E0E" w:rsidR="0034051B">
              <w:rPr>
                <w:rFonts w:ascii="Times New Roman" w:hAnsi="Times New Roman"/>
                <w:bCs/>
                <w:sz w:val="20"/>
                <w:szCs w:val="20"/>
              </w:rPr>
              <w:t>z.“)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Článok</w:t>
            </w:r>
          </w:p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(Č, O,</w:t>
            </w:r>
          </w:p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V, P)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Spôsob transp.</w:t>
            </w:r>
          </w:p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(N, O, D, n.</w:t>
            </w:r>
            <w:r w:rsidR="001E4587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Číslo</w:t>
            </w:r>
          </w:p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B278B5" w:rsidP="00FB350B">
            <w:pPr>
              <w:pStyle w:val="Normlny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78B5">
              <w:rPr>
                <w:rFonts w:ascii="Times New Roman" w:hAnsi="Times New Roman"/>
                <w:sz w:val="18"/>
                <w:szCs w:val="18"/>
              </w:rPr>
              <w:t>Zhoda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B278B5" w:rsidP="00FB350B">
            <w:pPr>
              <w:pStyle w:val="Normlny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78B5">
              <w:rPr>
                <w:rFonts w:ascii="Times New Roman" w:hAnsi="Times New Roman"/>
                <w:sz w:val="18"/>
                <w:szCs w:val="18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 w:rsidR="00987DD9">
              <w:rPr>
                <w:rFonts w:ascii="Times New Roman" w:hAnsi="Times New Roman"/>
              </w:rPr>
              <w:t>Čl. 4</w:t>
            </w:r>
          </w:p>
          <w:p w:rsidR="00987DD9" w:rsidRPr="001A508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4A4E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1. Úrovne zda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 xml:space="preserve">ovania, ktoré </w:t>
            </w:r>
            <w:r w:rsidRPr="001A508F">
              <w:rPr>
                <w:rFonts w:ascii="Times New Roman" w:hAnsi="Times New Roman"/>
                <w:iCs/>
              </w:rPr>
              <w:t>č</w:t>
            </w:r>
            <w:r w:rsidRPr="001A508F">
              <w:rPr>
                <w:rFonts w:ascii="Times New Roman" w:hAnsi="Times New Roman"/>
              </w:rPr>
              <w:t xml:space="preserve">lenské </w:t>
            </w:r>
            <w:r w:rsidRPr="001A508F">
              <w:rPr>
                <w:rFonts w:ascii="Times New Roman" w:hAnsi="Times New Roman"/>
                <w:iCs/>
              </w:rPr>
              <w:t>š</w:t>
            </w:r>
            <w:r w:rsidRPr="001A508F">
              <w:rPr>
                <w:rFonts w:ascii="Times New Roman" w:hAnsi="Times New Roman"/>
              </w:rPr>
              <w:t>táty uplat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>ujú na energetické</w:t>
            </w:r>
            <w:r w:rsidRPr="001A508F" w:rsidR="00FB350B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 xml:space="preserve">výroby a elektrinu vymenované v </w:t>
            </w:r>
            <w:r w:rsidRPr="001A508F">
              <w:rPr>
                <w:rFonts w:ascii="Times New Roman" w:hAnsi="Times New Roman"/>
                <w:iCs/>
              </w:rPr>
              <w:t>č</w:t>
            </w:r>
            <w:r w:rsidRPr="001A508F">
              <w:rPr>
                <w:rFonts w:ascii="Times New Roman" w:hAnsi="Times New Roman"/>
              </w:rPr>
              <w:t>lánku 2 nemô</w:t>
            </w:r>
            <w:r w:rsidRPr="001A508F">
              <w:rPr>
                <w:rFonts w:ascii="Times New Roman" w:hAnsi="Times New Roman"/>
                <w:iCs/>
              </w:rPr>
              <w:t>ž</w:t>
            </w:r>
            <w:r w:rsidRPr="001A508F">
              <w:rPr>
                <w:rFonts w:ascii="Times New Roman" w:hAnsi="Times New Roman"/>
              </w:rPr>
              <w:t>u by</w:t>
            </w:r>
            <w:r w:rsidRPr="001A508F">
              <w:rPr>
                <w:rFonts w:ascii="Times New Roman" w:hAnsi="Times New Roman"/>
                <w:iCs/>
              </w:rPr>
              <w:t xml:space="preserve">ť </w:t>
            </w:r>
            <w:r w:rsidRPr="001A508F">
              <w:rPr>
                <w:rFonts w:ascii="Times New Roman" w:hAnsi="Times New Roman"/>
              </w:rPr>
              <w:t>ni</w:t>
            </w:r>
            <w:r w:rsidRPr="001A508F">
              <w:rPr>
                <w:rFonts w:ascii="Times New Roman" w:hAnsi="Times New Roman"/>
                <w:iCs/>
              </w:rPr>
              <w:t>žš</w:t>
            </w:r>
            <w:r w:rsidRPr="001A508F">
              <w:rPr>
                <w:rFonts w:ascii="Times New Roman" w:hAnsi="Times New Roman"/>
              </w:rPr>
              <w:t>ie ako</w:t>
            </w:r>
            <w:r w:rsidRPr="001A508F" w:rsidR="00FB350B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minimálne úrovne zda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>ovania predpísané touto smernicou.</w:t>
            </w:r>
          </w:p>
          <w:p w:rsidR="00CA4A4E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A4A4E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2. Na ú</w:t>
            </w:r>
            <w:r w:rsidRPr="001A508F">
              <w:rPr>
                <w:rFonts w:ascii="Times New Roman" w:hAnsi="Times New Roman"/>
                <w:iCs/>
              </w:rPr>
              <w:t>č</w:t>
            </w:r>
            <w:r w:rsidRPr="001A508F">
              <w:rPr>
                <w:rFonts w:ascii="Times New Roman" w:hAnsi="Times New Roman"/>
              </w:rPr>
              <w:t>ely tejto smernice je „úrove</w:t>
            </w:r>
            <w:r w:rsidRPr="001A508F">
              <w:rPr>
                <w:rFonts w:ascii="Times New Roman" w:hAnsi="Times New Roman"/>
                <w:iCs/>
              </w:rPr>
              <w:t xml:space="preserve">ň </w:t>
            </w:r>
            <w:r w:rsidRPr="001A508F">
              <w:rPr>
                <w:rFonts w:ascii="Times New Roman" w:hAnsi="Times New Roman"/>
              </w:rPr>
              <w:t>zda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>ovania“ celková zá</w:t>
            </w:r>
            <w:r w:rsidRPr="001A508F">
              <w:rPr>
                <w:rFonts w:ascii="Times New Roman" w:hAnsi="Times New Roman"/>
                <w:iCs/>
              </w:rPr>
              <w:t>ť</w:t>
            </w:r>
            <w:r w:rsidRPr="001A508F">
              <w:rPr>
                <w:rFonts w:ascii="Times New Roman" w:hAnsi="Times New Roman"/>
              </w:rPr>
              <w:t>a</w:t>
            </w:r>
            <w:r w:rsidRPr="001A508F">
              <w:rPr>
                <w:rFonts w:ascii="Times New Roman" w:hAnsi="Times New Roman"/>
                <w:iCs/>
              </w:rPr>
              <w:t>ž</w:t>
            </w:r>
            <w:r w:rsidRPr="001A508F" w:rsidR="00FB350B">
              <w:rPr>
                <w:rFonts w:ascii="Times New Roman" w:hAnsi="Times New Roman"/>
                <w:iCs/>
              </w:rPr>
              <w:t xml:space="preserve"> </w:t>
            </w:r>
            <w:r w:rsidRPr="001A508F">
              <w:rPr>
                <w:rFonts w:ascii="Times New Roman" w:hAnsi="Times New Roman"/>
              </w:rPr>
              <w:t>ulo</w:t>
            </w:r>
            <w:r w:rsidRPr="001A508F">
              <w:rPr>
                <w:rFonts w:ascii="Times New Roman" w:hAnsi="Times New Roman"/>
                <w:iCs/>
              </w:rPr>
              <w:t>ž</w:t>
            </w:r>
            <w:r w:rsidRPr="001A508F">
              <w:rPr>
                <w:rFonts w:ascii="Times New Roman" w:hAnsi="Times New Roman"/>
              </w:rPr>
              <w:t>ená oh</w:t>
            </w:r>
            <w:r w:rsidRPr="001A508F">
              <w:rPr>
                <w:rFonts w:ascii="Times New Roman" w:hAnsi="Times New Roman"/>
                <w:iCs/>
              </w:rPr>
              <w:t>ľ</w:t>
            </w:r>
            <w:r w:rsidRPr="001A508F">
              <w:rPr>
                <w:rFonts w:ascii="Times New Roman" w:hAnsi="Times New Roman"/>
              </w:rPr>
              <w:t>adom v</w:t>
            </w:r>
            <w:r w:rsidRPr="001A508F">
              <w:rPr>
                <w:rFonts w:ascii="Times New Roman" w:hAnsi="Times New Roman"/>
                <w:iCs/>
              </w:rPr>
              <w:t>š</w:t>
            </w:r>
            <w:r w:rsidRPr="001A508F">
              <w:rPr>
                <w:rFonts w:ascii="Times New Roman" w:hAnsi="Times New Roman"/>
              </w:rPr>
              <w:t>etkých nepriamych daní (okrem DPH) vypo</w:t>
            </w:r>
            <w:r w:rsidRPr="001A508F">
              <w:rPr>
                <w:rFonts w:ascii="Times New Roman" w:hAnsi="Times New Roman"/>
                <w:iCs/>
              </w:rPr>
              <w:t>č</w:t>
            </w:r>
            <w:r w:rsidRPr="001A508F">
              <w:rPr>
                <w:rFonts w:ascii="Times New Roman" w:hAnsi="Times New Roman"/>
              </w:rPr>
              <w:t>ítavaná</w:t>
            </w:r>
            <w:r w:rsidRPr="001A508F" w:rsidR="00FB350B">
              <w:rPr>
                <w:rFonts w:ascii="Times New Roman" w:hAnsi="Times New Roman"/>
              </w:rPr>
              <w:t xml:space="preserve">  </w:t>
            </w:r>
            <w:r w:rsidRPr="001A508F">
              <w:rPr>
                <w:rFonts w:ascii="Times New Roman" w:hAnsi="Times New Roman"/>
              </w:rPr>
              <w:t>priamo alebo nepriamo z mno</w:t>
            </w:r>
            <w:r w:rsidRPr="001A508F">
              <w:rPr>
                <w:rFonts w:ascii="Times New Roman" w:hAnsi="Times New Roman"/>
                <w:iCs/>
              </w:rPr>
              <w:t>ž</w:t>
            </w:r>
            <w:r w:rsidRPr="001A508F">
              <w:rPr>
                <w:rFonts w:ascii="Times New Roman" w:hAnsi="Times New Roman"/>
              </w:rPr>
              <w:t>stva energetických výrobkov a</w:t>
            </w:r>
            <w:r w:rsidRPr="001A508F" w:rsidR="00FB350B">
              <w:rPr>
                <w:rFonts w:ascii="Times New Roman" w:hAnsi="Times New Roman"/>
              </w:rPr>
              <w:t> </w:t>
            </w:r>
            <w:r w:rsidRPr="001A508F">
              <w:rPr>
                <w:rFonts w:ascii="Times New Roman" w:hAnsi="Times New Roman"/>
              </w:rPr>
              <w:t>elektriny</w:t>
            </w:r>
            <w:r w:rsidRPr="001A508F" w:rsidR="00FB350B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 xml:space="preserve">v </w:t>
            </w:r>
            <w:r w:rsidRPr="001A508F">
              <w:rPr>
                <w:rFonts w:ascii="Times New Roman" w:hAnsi="Times New Roman"/>
                <w:iCs/>
              </w:rPr>
              <w:t>č</w:t>
            </w:r>
            <w:r w:rsidRPr="001A508F">
              <w:rPr>
                <w:rFonts w:ascii="Times New Roman" w:hAnsi="Times New Roman"/>
              </w:rPr>
              <w:t>ase uvo</w:t>
            </w:r>
            <w:r w:rsidRPr="001A508F">
              <w:rPr>
                <w:rFonts w:ascii="Times New Roman" w:hAnsi="Times New Roman"/>
                <w:iCs/>
              </w:rPr>
              <w:t>ľ</w:t>
            </w:r>
            <w:r w:rsidRPr="001A508F">
              <w:rPr>
                <w:rFonts w:ascii="Times New Roman" w:hAnsi="Times New Roman"/>
              </w:rPr>
              <w:t>nenia na spotrebu.</w:t>
            </w:r>
          </w:p>
          <w:p w:rsidR="00A9063F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 w:rsidR="00303121">
              <w:rPr>
                <w:rFonts w:ascii="Times New Roman" w:hAnsi="Times New Roman"/>
              </w:rPr>
              <w:t>N</w:t>
            </w: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RPr="001A508F" w:rsidP="00E15301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37FA" w:rsidRPr="001A508F" w:rsidP="006537FA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98/2004 Z.</w:t>
            </w:r>
            <w:r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z.</w:t>
            </w: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  <w:p w:rsidR="00BC3C6F" w:rsidRPr="00E15301" w:rsidP="003328FF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E15301" w:rsidR="00DB41C5">
              <w:rPr>
                <w:rFonts w:ascii="Times New Roman" w:hAnsi="Times New Roman"/>
                <w:b/>
              </w:rPr>
              <w:t>X/2017</w:t>
            </w:r>
            <w:r w:rsidRPr="00E15301" w:rsidR="00077884">
              <w:rPr>
                <w:rFonts w:ascii="Times New Roman" w:hAnsi="Times New Roman"/>
                <w:b/>
              </w:rPr>
              <w:t xml:space="preserve"> Z.</w:t>
            </w:r>
            <w:r w:rsidRPr="00E15301" w:rsidR="001A508F">
              <w:rPr>
                <w:rFonts w:ascii="Times New Roman" w:hAnsi="Times New Roman"/>
                <w:b/>
              </w:rPr>
              <w:t xml:space="preserve"> </w:t>
            </w:r>
            <w:r w:rsidRPr="00E15301" w:rsidR="00077884">
              <w:rPr>
                <w:rFonts w:ascii="Times New Roman" w:hAnsi="Times New Roman"/>
                <w:b/>
              </w:rPr>
              <w:t>z</w:t>
            </w:r>
            <w:r w:rsidRPr="00443E0E" w:rsidR="00077884">
              <w:rPr>
                <w:rFonts w:ascii="Times New Roman" w:hAnsi="Times New Roman"/>
                <w:b/>
              </w:rPr>
              <w:t>.</w:t>
            </w:r>
            <w:r w:rsidRPr="00443E0E" w:rsidR="00AD73C6">
              <w:rPr>
                <w:rFonts w:ascii="Times New Roman" w:hAnsi="Times New Roman"/>
                <w:b/>
              </w:rPr>
              <w:t xml:space="preserve"> čl.I</w:t>
            </w:r>
          </w:p>
          <w:p w:rsidR="0007788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80C8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C41AD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RPr="00E15301" w:rsidP="00B278B5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E15301">
              <w:rPr>
                <w:rFonts w:ascii="Times New Roman" w:hAnsi="Times New Roman"/>
                <w:b/>
              </w:rPr>
              <w:t>X/2017 Z. z.</w:t>
            </w:r>
            <w:r w:rsidR="00AD73C6">
              <w:rPr>
                <w:rFonts w:ascii="Times New Roman" w:hAnsi="Times New Roman"/>
                <w:b/>
              </w:rPr>
              <w:t xml:space="preserve"> </w:t>
            </w:r>
            <w:r w:rsidRPr="00443E0E" w:rsidR="00AD73C6">
              <w:rPr>
                <w:rFonts w:ascii="Times New Roman" w:hAnsi="Times New Roman"/>
                <w:b/>
              </w:rPr>
              <w:t>čl.I</w:t>
            </w:r>
          </w:p>
          <w:p w:rsidR="00B278B5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1A508F" w:rsidP="001A508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4587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1A508F" w:rsidR="00303121">
              <w:rPr>
                <w:rFonts w:ascii="Times New Roman" w:hAnsi="Times New Roman"/>
              </w:rPr>
              <w:t>§ 6</w:t>
            </w:r>
          </w:p>
          <w:p w:rsidR="006A13A8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1A508F" w:rsidR="00303121">
              <w:rPr>
                <w:rFonts w:ascii="Times New Roman" w:hAnsi="Times New Roman"/>
              </w:rPr>
              <w:t>ods. 1</w:t>
            </w:r>
          </w:p>
          <w:p w:rsidR="006A13A8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C3C6F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="00D012C1">
              <w:rPr>
                <w:rFonts w:ascii="Times New Roman" w:hAnsi="Times New Roman"/>
              </w:rPr>
              <w:t xml:space="preserve"> pís.</w:t>
            </w:r>
            <w:r w:rsidR="00557502">
              <w:rPr>
                <w:rFonts w:ascii="Times New Roman" w:hAnsi="Times New Roman"/>
              </w:rPr>
              <w:t xml:space="preserve"> </w:t>
            </w:r>
            <w:r w:rsidR="00D012C1">
              <w:rPr>
                <w:rFonts w:ascii="Times New Roman" w:hAnsi="Times New Roman"/>
              </w:rPr>
              <w:t>a)</w:t>
            </w:r>
          </w:p>
          <w:p w:rsidR="00D012C1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D012C1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D012C1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pís.</w:t>
            </w:r>
            <w:r w:rsidR="00557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d)</w:t>
            </w:r>
          </w:p>
          <w:p w:rsidR="00077884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77884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77884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41AD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78B5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="00B349E6">
              <w:rPr>
                <w:rFonts w:ascii="Times New Roman" w:hAnsi="Times New Roman"/>
              </w:rPr>
              <w:t>§ 7</w:t>
            </w:r>
          </w:p>
          <w:p w:rsidR="00680575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1447" w:rsidRPr="001A508F" w:rsidP="00AD4A4F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508F">
              <w:rPr>
                <w:rFonts w:ascii="Times New Roman" w:hAnsi="Times New Roman"/>
                <w:color w:val="000000"/>
                <w:sz w:val="20"/>
                <w:szCs w:val="20"/>
              </w:rPr>
              <w:t>(1) Sadzba dane sa ustanovuje takto:</w:t>
            </w:r>
          </w:p>
          <w:p w:rsidR="00CE2EEE" w:rsidP="00AD4A4F">
            <w:pPr>
              <w:tabs>
                <w:tab w:val="num" w:pos="72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A13A8" w:rsidRPr="00DB41C5" w:rsidP="00AD4A4F">
            <w:pPr>
              <w:tabs>
                <w:tab w:val="num" w:pos="72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B41C5" w:rsidP="00DB41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C8E">
              <w:rPr>
                <w:rFonts w:ascii="Times New Roman" w:hAnsi="Times New Roman"/>
                <w:b/>
                <w:sz w:val="20"/>
                <w:szCs w:val="20"/>
              </w:rPr>
              <w:t>a) motorový benzín</w:t>
            </w:r>
            <w:r w:rsidRPr="00680C8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2d</w:t>
            </w:r>
            <w:r w:rsidRPr="00680C8E">
              <w:rPr>
                <w:rFonts w:ascii="Times New Roman" w:hAnsi="Times New Roman"/>
                <w:b/>
                <w:sz w:val="20"/>
                <w:szCs w:val="20"/>
              </w:rPr>
              <w:t>) kódu kombinovanej nomenklatúry 2710 12 41, 2710 12 45, 2710 12 49</w:t>
            </w:r>
            <w:r w:rsidRPr="00DB41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B278B5">
              <w:rPr>
                <w:rFonts w:ascii="Times New Roman" w:hAnsi="Times New Roman"/>
                <w:b/>
                <w:sz w:val="20"/>
                <w:szCs w:val="20"/>
              </w:rPr>
              <w:t>554 eur/1 000</w:t>
            </w:r>
            <w:r w:rsidR="006A13A8">
              <w:rPr>
                <w:rFonts w:ascii="Times New Roman" w:hAnsi="Times New Roman"/>
                <w:b/>
                <w:sz w:val="20"/>
                <w:szCs w:val="20"/>
              </w:rPr>
              <w:t xml:space="preserve"> l</w:t>
            </w:r>
            <w:r w:rsidRPr="00B278B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B41C5" w:rsidRPr="00DB41C5" w:rsidP="00DB41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81E" w:rsidP="00B349E6">
            <w:pPr>
              <w:tabs>
                <w:tab w:val="num" w:pos="221"/>
                <w:tab w:val="num" w:pos="1080"/>
              </w:tabs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0C8E" w:rsidR="00DB41C5">
              <w:rPr>
                <w:rFonts w:ascii="Times New Roman" w:hAnsi="Times New Roman"/>
                <w:b/>
                <w:sz w:val="20"/>
                <w:szCs w:val="20"/>
              </w:rPr>
              <w:t>d) plynový olej</w:t>
            </w:r>
            <w:r w:rsidRPr="00680C8E" w:rsidR="00DB41C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2f</w:t>
            </w:r>
            <w:r w:rsidRPr="00680C8E" w:rsidR="00DB41C5">
              <w:rPr>
                <w:rFonts w:ascii="Times New Roman" w:hAnsi="Times New Roman"/>
                <w:b/>
                <w:sz w:val="20"/>
                <w:szCs w:val="20"/>
              </w:rPr>
              <w:t>) kódu kombinovanej nomenklatúry 2710 19 43, 2710 19 46, 2710 19 47, 2710 19 48, 2710 20 11, 2710 20 15, 2710 20 17 a 2710 20 19</w:t>
            </w:r>
          </w:p>
          <w:p w:rsidR="00DB41C5" w:rsidP="00B349E6">
            <w:pPr>
              <w:tabs>
                <w:tab w:val="num" w:pos="221"/>
                <w:tab w:val="num" w:pos="108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B278B5">
              <w:rPr>
                <w:rFonts w:ascii="Times New Roman" w:hAnsi="Times New Roman"/>
                <w:b/>
                <w:sz w:val="20"/>
                <w:szCs w:val="20"/>
              </w:rPr>
              <w:t>394 eur/1 000 l</w:t>
            </w:r>
            <w:r w:rsidR="00381BE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B349E6" w:rsidP="00B349E6">
            <w:pPr>
              <w:tabs>
                <w:tab w:val="num" w:pos="221"/>
                <w:tab w:val="num" w:pos="108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49E6" w:rsidRPr="006537FA" w:rsidP="00B349E6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7FA">
              <w:rPr>
                <w:rFonts w:ascii="Times New Roman" w:hAnsi="Times New Roman"/>
                <w:b/>
                <w:sz w:val="20"/>
                <w:szCs w:val="20"/>
              </w:rPr>
              <w:t>§ 7</w:t>
            </w:r>
          </w:p>
          <w:p w:rsidR="00B349E6" w:rsidRPr="006537FA" w:rsidP="00B349E6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7FA">
              <w:rPr>
                <w:rFonts w:ascii="Times New Roman" w:hAnsi="Times New Roman"/>
                <w:b/>
                <w:sz w:val="20"/>
                <w:szCs w:val="20"/>
              </w:rPr>
              <w:t>Zvýhodnená sadzba dane na minerálny olej s obsahom biogénnej látky</w:t>
            </w:r>
          </w:p>
          <w:p w:rsidR="00B349E6" w:rsidRPr="006A13A8" w:rsidP="00B349E6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motorový benzín kódu kombinovanej nomenklatúry 2710 12 41, 2710 12 45, 2710 12 49 je možné uplatniť sadzbu dane vo výške 514 eur/1 000 l, ak obsahuje </w:t>
            </w:r>
          </w:p>
          <w:p w:rsidR="00BC41AD" w:rsidRPr="00BC41AD" w:rsidP="00BC41AD">
            <w:pPr>
              <w:pStyle w:val="ListParagraph"/>
              <w:numPr>
                <w:numId w:val="19"/>
              </w:numPr>
              <w:bidi w:val="0"/>
              <w:spacing w:after="0" w:line="240" w:lineRule="auto"/>
              <w:ind w:left="1134" w:hanging="7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bioetanolovú zložku </w:t>
            </w:r>
          </w:p>
          <w:p w:rsidR="00BC41AD" w:rsidRPr="00BC41AD" w:rsidP="00BC41AD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2018 v objeme 5,9 %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2019 v objeme 6,2 %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2020 v objeme 7,4 % a viac s presnosťou v súlade s technickou normou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) vrátane biogénnej látky uvedenej v § 4 ods. 7 písm. e) v objeme 0,5 %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9D49B0" w:rsidRPr="009D49B0" w:rsidP="009D49B0">
            <w:pPr>
              <w:pStyle w:val="ListParagraph"/>
              <w:numPr>
                <w:numId w:val="19"/>
              </w:numPr>
              <w:bidi w:val="0"/>
              <w:spacing w:after="0" w:line="240" w:lineRule="auto"/>
              <w:ind w:left="1091" w:hanging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biogénnu látku uvedenú v § 4 ods. 7 písm. e)</w:t>
            </w:r>
          </w:p>
          <w:p w:rsidR="009D49B0" w:rsidRPr="009D49B0" w:rsidP="009D49B0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94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od 1. januára 2021 v objeme 1 % a viac s presnosťou v súlade s technickou normou,</w:t>
            </w:r>
            <w:r w:rsidRPr="009D49B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9D49B0" w:rsidRPr="009D49B0" w:rsidP="009D49B0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94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od 1. januára 2022 v objeme 1,5 % a viac s presnosťou v súlade s technickou normou.</w:t>
            </w:r>
            <w:r w:rsidRPr="009D49B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plynový olej kódu kombinovanej nomenklatúry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2710 19 43, 2710 19 46, 2710 19 47, 2710 19 48, 2710 20 11, 2710 20 15, 2710 20 17 a 2710 20 19 je možné uplatniť sadzbu dane vo výške 368 eur/1 000 l, ak obsahuje</w:t>
            </w:r>
          </w:p>
          <w:p w:rsidR="00BC41AD" w:rsidRPr="00BC41AD" w:rsidP="00BC41AD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od 1. januára 2018 do 31. decembra 2020</w:t>
            </w:r>
          </w:p>
          <w:p w:rsidR="00BC41AD" w:rsidRPr="00BC41AD" w:rsidP="00BC41AD">
            <w:pPr>
              <w:pStyle w:val="ListParagraph"/>
              <w:numPr>
                <w:numId w:val="22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biodiesel v objeme 6,9 % a viac s presnosťou v 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 alebo</w:t>
            </w:r>
          </w:p>
          <w:p w:rsidR="00BC41AD" w:rsidRPr="00BC41AD" w:rsidP="00BC41AD">
            <w:pPr>
              <w:pStyle w:val="ListParagraph"/>
              <w:numPr>
                <w:numId w:val="22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biodiesel v objeme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6,4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 % a viac s presnosťou v súlade s technickou normou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) a biogénnu látku uvedenú v § 4 ods. 7 písm. e) v objeme 0,5 %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2021 biogénnu látku uvedenú v § 4 ods. 7 písm. f) v objeme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1 %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 a viac s presnosťou v súlade s technickou normou.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účely tohto zákona sa bioetanolovou zložkou rozumie bioetyltercbutyléter alebo zmes bioetyltercbutyléteru a bioetanolu,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pričom zmes musí obsahovať minimálny podiel bioetyltercubutyléteru </w:t>
            </w:r>
            <w:r w:rsidRPr="00091F35" w:rsidR="00091F3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najmenej 3 %, čo predstavuje objem 1,41 % bioetanolovej zložky.</w:t>
            </w:r>
            <w:r w:rsidRPr="006F0CE8" w:rsidR="00091F3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Objem bioetyltercbutyléteru sa do objemu bioetanolovej zložky zmesi započítava 47 % svojho objemu.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1F35" w:rsidRPr="00091F35" w:rsidP="00091F3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>Sadzbu dane podľa odsekov 1 a 2 je možné uplatniť len, ak biogénna látka spĺňa kritériá trvalej udržateľnosti podľa osobitných predpisov</w:t>
            </w:r>
            <w:r w:rsidRP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2g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 nebola doteraz zohľadnená na účely splnenia povinností podľa osobitného predpisu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2h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>ani na účely splnenia obdobnej povinnosti na území iného členského štátu. Osoba, ktorá si uplatní sadzbu dane podľa odsekov 1 a 2, je povinná preukázať colnému úradu, že biogénna látka spĺňa kritériá trvalej udržateľnosti podľa osobitných predpisov</w:t>
            </w:r>
            <w:r w:rsidRP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2g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 predložením potvrdenia o pôvode biopaliva alebo biokvapaliny a čestným vyhlásením, že biogénna látka nebola doteraz zohľadnená na účely splnenia povinností podľa osobitného predpisu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2h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 xml:space="preserve">ani na účely splnenia obdobnej povinnosti na území iného členského štátu v čase </w:t>
            </w:r>
          </w:p>
          <w:p w:rsidR="00091F35" w:rsidRPr="00BC41AD" w:rsidP="00091F35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podania daňového priznania na minerálny olej s obsahom biogénnej látky uvedenej do daňového voľného obehu alebo</w:t>
            </w:r>
          </w:p>
          <w:p w:rsidR="00BC41AD" w:rsidRPr="00091F35" w:rsidP="00BC41AD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 w:rsidR="00091F35">
              <w:rPr>
                <w:rFonts w:ascii="Times New Roman" w:hAnsi="Times New Roman"/>
                <w:b/>
                <w:sz w:val="20"/>
                <w:szCs w:val="20"/>
              </w:rPr>
              <w:t xml:space="preserve">prepustenia minerálneho oleja s obsahom biogénnej látky do voľného obehu </w:t>
            </w:r>
            <w:r w:rsidRPr="00BC41AD" w:rsid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2a</w:t>
            </w:r>
            <w:r w:rsidRPr="00BC41AD" w:rsidR="00091F35">
              <w:rPr>
                <w:rFonts w:ascii="Times New Roman" w:hAnsi="Times New Roman"/>
                <w:b/>
                <w:sz w:val="20"/>
                <w:szCs w:val="20"/>
              </w:rPr>
              <w:t xml:space="preserve">) v mieste dovozu, ak po jeho prepustení do voľného obehu </w:t>
            </w:r>
            <w:r w:rsidRPr="00BC41AD" w:rsid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2a</w:t>
            </w:r>
            <w:r w:rsidRPr="00BC41AD" w:rsidR="00091F35">
              <w:rPr>
                <w:rFonts w:ascii="Times New Roman" w:hAnsi="Times New Roman"/>
                <w:b/>
                <w:sz w:val="20"/>
                <w:szCs w:val="20"/>
              </w:rPr>
              <w:t>) nenadväzuje pozastavenie dane.</w:t>
            </w:r>
          </w:p>
          <w:p w:rsidR="00B278B5" w:rsidRPr="00BC41AD" w:rsidP="00BC41AD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 w:rsidR="00BC41AD">
              <w:rPr>
                <w:rFonts w:ascii="Times New Roman" w:hAnsi="Times New Roman"/>
                <w:b/>
                <w:sz w:val="20"/>
                <w:szCs w:val="20"/>
              </w:rPr>
              <w:t xml:space="preserve">Minerálny olej podľa odsekov 1 a 2 musí byť pri preprave sprevádzaný obchodnými dokumentmi, ktoré musia obsahovať informáciu o druhu a množstve biogénnej látky  </w:t>
            </w:r>
            <w:r w:rsidR="00BC41AD">
              <w:rPr>
                <w:rFonts w:ascii="Times New Roman" w:hAnsi="Times New Roman"/>
                <w:b/>
                <w:sz w:val="20"/>
                <w:szCs w:val="20"/>
              </w:rPr>
              <w:t>v percentách objemu.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 w:rsidR="00303121">
              <w:rPr>
                <w:rFonts w:ascii="Times New Roman" w:hAnsi="Times New Roman"/>
              </w:rPr>
              <w:t>Ú</w:t>
            </w: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RPr="001A508F" w:rsidP="00702DB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A508F" w:rsidP="00FB350B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1D54" w:rsidRPr="001A508F" w:rsidP="009603EA">
            <w:pPr>
              <w:pStyle w:val="tlArialNarrow10ptPodaokraja"/>
              <w:bidi w:val="0"/>
              <w:ind w:right="-43"/>
              <w:jc w:val="center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Čl. 7</w:t>
            </w:r>
            <w:r w:rsidR="009603EA">
              <w:rPr>
                <w:rFonts w:ascii="Times New Roman" w:hAnsi="Times New Roman"/>
              </w:rPr>
              <w:t xml:space="preserve"> ods.1 1.veta</w:t>
            </w:r>
          </w:p>
          <w:p w:rsidR="00281D54" w:rsidRPr="001A508F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1. Úrovne zda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>ovania uplat</w:t>
            </w:r>
            <w:r w:rsidRPr="001A508F">
              <w:rPr>
                <w:rFonts w:ascii="Times New Roman" w:hAnsi="Times New Roman"/>
                <w:iCs/>
              </w:rPr>
              <w:t>ň</w:t>
            </w:r>
            <w:r w:rsidRPr="001A508F">
              <w:rPr>
                <w:rFonts w:ascii="Times New Roman" w:hAnsi="Times New Roman"/>
              </w:rPr>
              <w:t>ované na motorové palivá od 1. januára 2004 a od 1. januára 2010 sú stanovené v tabu</w:t>
            </w:r>
            <w:r w:rsidRPr="001A508F">
              <w:rPr>
                <w:rFonts w:ascii="Times New Roman" w:hAnsi="Times New Roman"/>
                <w:iCs/>
              </w:rPr>
              <w:t>ľ</w:t>
            </w:r>
            <w:r w:rsidRPr="001A508F">
              <w:rPr>
                <w:rFonts w:ascii="Times New Roman" w:hAnsi="Times New Roman"/>
              </w:rPr>
              <w:t>ke A prílohy I.</w:t>
            </w: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A581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7D0F09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F6633" w:rsidP="001F6633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</w:t>
            </w: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B41C5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7D0F09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F968B9">
            <w:pPr>
              <w:pStyle w:val="tlArialNarrow10ptPodaokraja"/>
              <w:bidi w:val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37FA" w:rsidRPr="001A508F" w:rsidP="006537FA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98/2004 Z.</w:t>
            </w:r>
            <w:r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z.</w:t>
            </w:r>
          </w:p>
          <w:p w:rsidR="006537FA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  <w:p w:rsidR="006A5815" w:rsidRPr="00443E0E" w:rsidP="006A5815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381BE2" w:rsidR="00DB41C5">
              <w:rPr>
                <w:rFonts w:ascii="Times New Roman" w:hAnsi="Times New Roman"/>
                <w:b/>
              </w:rPr>
              <w:t>X/2017</w:t>
            </w:r>
            <w:r w:rsidRPr="00381BE2">
              <w:rPr>
                <w:rFonts w:ascii="Times New Roman" w:hAnsi="Times New Roman"/>
                <w:b/>
              </w:rPr>
              <w:t xml:space="preserve"> Z.</w:t>
            </w:r>
            <w:r w:rsidRPr="00381BE2" w:rsidR="001A508F">
              <w:rPr>
                <w:rFonts w:ascii="Times New Roman" w:hAnsi="Times New Roman"/>
                <w:b/>
              </w:rPr>
              <w:t xml:space="preserve"> </w:t>
            </w:r>
            <w:r w:rsidRPr="00381BE2">
              <w:rPr>
                <w:rFonts w:ascii="Times New Roman" w:hAnsi="Times New Roman"/>
                <w:b/>
              </w:rPr>
              <w:t>z.</w:t>
            </w:r>
            <w:r w:rsidR="00AD73C6">
              <w:rPr>
                <w:rFonts w:ascii="Times New Roman" w:hAnsi="Times New Roman"/>
                <w:b/>
              </w:rPr>
              <w:t xml:space="preserve"> </w:t>
            </w:r>
            <w:r w:rsidRPr="00443E0E" w:rsidR="00AD73C6">
              <w:rPr>
                <w:rFonts w:ascii="Times New Roman" w:hAnsi="Times New Roman"/>
                <w:b/>
              </w:rPr>
              <w:t>čl.I</w:t>
            </w:r>
          </w:p>
          <w:p w:rsidR="00281D54" w:rsidRPr="00443E0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F13EE3" w:rsidRPr="00443E0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F13EE3" w:rsidRPr="00443E0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F13EE3" w:rsidRPr="00443E0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F089F" w:rsidRPr="00443E0E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F13EE3" w:rsidRPr="00381BE2" w:rsidP="00F13EE3">
            <w:pPr>
              <w:pStyle w:val="tlArialNarrow10ptPodaokraja"/>
              <w:bidi w:val="0"/>
              <w:rPr>
                <w:rFonts w:ascii="Times New Roman" w:hAnsi="Times New Roman"/>
                <w:b/>
              </w:rPr>
            </w:pPr>
            <w:r w:rsidRPr="00443E0E" w:rsidR="006537FA">
              <w:rPr>
                <w:rFonts w:ascii="Times New Roman" w:hAnsi="Times New Roman"/>
                <w:b/>
              </w:rPr>
              <w:t>X/2017</w:t>
            </w:r>
            <w:r w:rsidRPr="00443E0E">
              <w:rPr>
                <w:rFonts w:ascii="Times New Roman" w:hAnsi="Times New Roman"/>
                <w:b/>
              </w:rPr>
              <w:t xml:space="preserve"> Z. z.</w:t>
            </w:r>
            <w:r w:rsidRPr="00443E0E" w:rsidR="00AD73C6">
              <w:rPr>
                <w:rFonts w:ascii="Times New Roman" w:hAnsi="Times New Roman"/>
                <w:b/>
              </w:rPr>
              <w:t xml:space="preserve"> čl.I</w:t>
            </w:r>
          </w:p>
          <w:p w:rsidR="00F13EE3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B278B5" w:rsidRPr="001A508F" w:rsidP="00B349E6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4587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1A508F" w:rsidR="00281D54">
              <w:rPr>
                <w:rFonts w:ascii="Times New Roman" w:hAnsi="Times New Roman"/>
              </w:rPr>
              <w:t>§ 6</w:t>
            </w:r>
          </w:p>
          <w:p w:rsidR="006A13A8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1A508F" w:rsidR="00281D54">
              <w:rPr>
                <w:rFonts w:ascii="Times New Roman" w:hAnsi="Times New Roman"/>
              </w:rPr>
              <w:t>ods. 1</w:t>
            </w:r>
            <w:r w:rsidR="00D012C1">
              <w:rPr>
                <w:rFonts w:ascii="Times New Roman" w:hAnsi="Times New Roman"/>
              </w:rPr>
              <w:t xml:space="preserve"> </w:t>
            </w:r>
          </w:p>
          <w:p w:rsidR="006A13A8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D012C1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pís.</w:t>
            </w:r>
            <w:r w:rsidR="00557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a)</w:t>
            </w:r>
          </w:p>
          <w:p w:rsidR="00281D54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D012C1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D012C1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D012C1" w:rsidP="00D012C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pís.</w:t>
            </w:r>
            <w:r w:rsidR="00557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d)</w:t>
            </w:r>
          </w:p>
          <w:p w:rsidR="00D012C1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F089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="00DB41C5">
              <w:rPr>
                <w:rFonts w:ascii="Times New Roman" w:hAnsi="Times New Roman"/>
              </w:rPr>
              <w:t>§ 7</w:t>
            </w: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F13EE3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537FA" w:rsidRPr="001A508F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1C5" w:rsidRPr="001A508F" w:rsidP="00DB41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508F">
              <w:rPr>
                <w:rFonts w:ascii="Times New Roman" w:hAnsi="Times New Roman"/>
                <w:color w:val="000000"/>
                <w:sz w:val="20"/>
                <w:szCs w:val="20"/>
              </w:rPr>
              <w:t>(1) Sadzba dane sa ustanovuje takto:</w:t>
            </w:r>
          </w:p>
          <w:p w:rsidR="00DB41C5" w:rsidP="00DB41C5">
            <w:pPr>
              <w:tabs>
                <w:tab w:val="num" w:pos="72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A13A8" w:rsidRPr="00DB41C5" w:rsidP="00DB41C5">
            <w:pPr>
              <w:tabs>
                <w:tab w:val="num" w:pos="72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B41C5" w:rsidP="00DB41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C8E">
              <w:rPr>
                <w:rFonts w:ascii="Times New Roman" w:hAnsi="Times New Roman"/>
                <w:b/>
                <w:sz w:val="20"/>
                <w:szCs w:val="20"/>
              </w:rPr>
              <w:t>a) motorový benzín</w:t>
            </w:r>
            <w:r w:rsidRPr="00680C8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2d</w:t>
            </w:r>
            <w:r w:rsidRPr="00680C8E">
              <w:rPr>
                <w:rFonts w:ascii="Times New Roman" w:hAnsi="Times New Roman"/>
                <w:b/>
                <w:sz w:val="20"/>
                <w:szCs w:val="20"/>
              </w:rPr>
              <w:t>) kódu kombinovanej nomenklatúry 2710 12 41, 2710 12 45, 2710 12 49</w:t>
            </w:r>
            <w:r w:rsidRPr="00DB41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78B5">
              <w:rPr>
                <w:rFonts w:ascii="Times New Roman" w:hAnsi="Times New Roman"/>
                <w:b/>
                <w:sz w:val="20"/>
                <w:szCs w:val="20"/>
              </w:rPr>
              <w:t>554 eur/1 000 l,</w:t>
            </w:r>
          </w:p>
          <w:p w:rsidR="00DB41C5" w:rsidRPr="00DB41C5" w:rsidP="00DB41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81E" w:rsidP="00DB41C5">
            <w:pPr>
              <w:tabs>
                <w:tab w:val="num" w:pos="221"/>
                <w:tab w:val="num" w:pos="1080"/>
              </w:tabs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0C8E" w:rsidR="00DB41C5">
              <w:rPr>
                <w:rFonts w:ascii="Times New Roman" w:hAnsi="Times New Roman"/>
                <w:b/>
                <w:sz w:val="20"/>
                <w:szCs w:val="20"/>
              </w:rPr>
              <w:t>d) plynový olej</w:t>
            </w:r>
            <w:r w:rsidRPr="00680C8E" w:rsidR="00DB41C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2f</w:t>
            </w:r>
            <w:r w:rsidRPr="00680C8E" w:rsidR="00DB41C5">
              <w:rPr>
                <w:rFonts w:ascii="Times New Roman" w:hAnsi="Times New Roman"/>
                <w:b/>
                <w:sz w:val="20"/>
                <w:szCs w:val="20"/>
              </w:rPr>
              <w:t>) kódu kombinovanej nomenklatúry 2710 19 43, 2710 19 46, 2710 19 47, 2710 19 48, 2710 20 11, 2710 20 15, 2710 20 17 a 2710 20 19</w:t>
            </w:r>
          </w:p>
          <w:p w:rsidR="00DB41C5" w:rsidRPr="00DB41C5" w:rsidP="00DB41C5">
            <w:pPr>
              <w:tabs>
                <w:tab w:val="num" w:pos="221"/>
                <w:tab w:val="num" w:pos="1080"/>
              </w:tabs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B278B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A1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8B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681E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B278B5">
              <w:rPr>
                <w:rFonts w:ascii="Times New Roman" w:hAnsi="Times New Roman"/>
                <w:b/>
                <w:sz w:val="20"/>
                <w:szCs w:val="20"/>
              </w:rPr>
              <w:t>394 eur/1 000 l</w:t>
            </w:r>
            <w:r w:rsidR="006A13A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2F089F" w:rsidRPr="00466123" w:rsidP="00B349E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DB41C5" w:rsidRPr="006537FA" w:rsidP="00DB41C5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7FA">
              <w:rPr>
                <w:rFonts w:ascii="Times New Roman" w:hAnsi="Times New Roman"/>
                <w:b/>
                <w:sz w:val="20"/>
                <w:szCs w:val="20"/>
              </w:rPr>
              <w:t>§ 7</w:t>
            </w:r>
          </w:p>
          <w:p w:rsidR="00DB41C5" w:rsidP="00DB41C5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7FA">
              <w:rPr>
                <w:rFonts w:ascii="Times New Roman" w:hAnsi="Times New Roman"/>
                <w:b/>
                <w:sz w:val="20"/>
                <w:szCs w:val="20"/>
              </w:rPr>
              <w:t>Zvýhodnená sadzba dane na minerálny olej s obsahom biogénnej látky</w:t>
            </w:r>
          </w:p>
          <w:p w:rsidR="00443E0E" w:rsidRPr="006537FA" w:rsidP="00DB41C5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motorový benzín kódu kombinovanej nomenklatúry 2710 12 41, 2710 12 45, 2710 12 49 je možné uplatniť sadzbu dane vo výške 514 eur/1 000 l, ak obsahuje </w:t>
            </w:r>
          </w:p>
          <w:p w:rsidR="00BC41AD" w:rsidRPr="00BC41AD" w:rsidP="00BC41AD">
            <w:pPr>
              <w:pStyle w:val="ListParagraph"/>
              <w:numPr>
                <w:numId w:val="25"/>
              </w:numPr>
              <w:bidi w:val="0"/>
              <w:spacing w:after="0" w:line="240" w:lineRule="auto"/>
              <w:ind w:hanging="107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bioetanolovú zložku </w:t>
            </w:r>
          </w:p>
          <w:p w:rsidR="00BC41AD" w:rsidRPr="00BC41AD" w:rsidP="00BC41AD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2018 v objeme 5,9 %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2019 v objeme 6,2 %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2020 v objeme 7,4 % a viac s presnosťou v súlade s technickou normou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) vrátane biogénnej látky uvedenej v § 4 ods. 7 písm. e) v objeme 0,5 %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9D49B0" w:rsidRPr="009D49B0" w:rsidP="009D49B0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hanging="105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biogénnu látku uvedenú v § 4 ods. 7 písm. e)</w:t>
            </w:r>
          </w:p>
          <w:p w:rsidR="009D49B0" w:rsidRPr="009D49B0" w:rsidP="009D49B0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left="94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od 1. januára 2021 v objeme 1 % a viac s presnosťou v súlade s technickou normou,</w:t>
            </w:r>
            <w:r w:rsidRPr="009D49B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9D49B0" w:rsidRPr="00091F35" w:rsidP="009D49B0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left="94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od 1. januára 2022 v objeme 1,5 % a viac s presnosťou v súlade s technickou normou.</w:t>
            </w:r>
            <w:r w:rsidRPr="009D49B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9D49B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plynový olej kódu kombinovanej nomenklatúry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2710 19 43, 2710 19 46, 2710 19 47, 2710 19 48, 2710 20 11, 2710 20 15, 2710 20 17 a 2710 20 19 je možné uplatniť sadzbu dane vo výške 368 eur/1 000 l, ak obsahuje</w:t>
            </w:r>
          </w:p>
          <w:p w:rsidR="00BC41AD" w:rsidRPr="00BC41AD" w:rsidP="00BC41AD">
            <w:pPr>
              <w:pStyle w:val="ListParagraph"/>
              <w:numPr>
                <w:numId w:val="27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od 1. januára 2018 do 31. decembra 2020</w:t>
            </w:r>
          </w:p>
          <w:p w:rsidR="00BC41AD" w:rsidRPr="00BC41AD" w:rsidP="00BC41AD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biodiesel v objeme 6,9 % a viac s presnosťou v 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 alebo</w:t>
            </w:r>
          </w:p>
          <w:p w:rsidR="00BC41AD" w:rsidRPr="00BC41AD" w:rsidP="00BC41AD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929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biodiesel v objeme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6,4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 % a viac s presnosťou v súlade s technickou normou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) a biogénnu látku uvedenú v § 4 ods. 7 písm. e) v objeme 0,5 % a viac s presnosťou v súlade s technickou normou,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od 1. januára 2021 biogénnu látku uvedenú v § 4 ods. 7 písm. f) v objeme </w:t>
            </w:r>
            <w:r w:rsidRPr="00BC41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1 %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 a viac s presnosťou v súlade s technickou normou.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2ea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1AD" w:rsidRPr="00BC41AD" w:rsidP="00BC41AD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Na účely tohto zákona sa bioetanolovou zložkou rozumie bioetyltercbutyléter alebo zmes bioetyltercbutyléteru a bioetanolu,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pričom zmes musí obsahovať minimálny podiel bioetyltercubutyléteru </w:t>
            </w:r>
            <w:r w:rsidRPr="00091F35" w:rsidR="00091F35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najmenej 3 %, čo predstavuje objem 1,41 % bioetanolovej zložky.</w:t>
            </w:r>
            <w:r w:rsidRPr="006F0CE8" w:rsidR="00091F3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Objem bioetyltercbutyléteru sa do objemu bioetanolovej zložky zmesi započítava 47 % svojho objemu.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1F35" w:rsidRPr="00091F35" w:rsidP="00091F35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>Sadzbu dane podľa odsekov 1 a 2 je možné uplatniť len, ak biogénna látka spĺňa kritériá trvalej udržateľnosti podľa osobitných predpisov</w:t>
            </w:r>
            <w:r w:rsidRP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2g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 nebola doteraz zohľadnená na účely splnenia povinností podľa osobitného predpisu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2h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>ani na účely splnenia obdobnej povinnosti na území iného členského štátu. Osoba, ktorá si uplatní sadzbu dane podľa odsekov 1 a 2, je povinná preukázať colnému úradu, že biogénna látka spĺňa kritériá trvalej udržateľnosti podľa osobitných predpisov</w:t>
            </w:r>
            <w:r w:rsidRPr="00091F3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2g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 predložením potvrdenia o pôvode biopaliva alebo biokvapaliny a čestným vyhlásením, že biogénna látka nebola doteraz zohľadnená na účely splnenia povinností podľa osobitného predpisu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2h</w:t>
            </w:r>
            <w:r w:rsidRPr="00091F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091F35">
              <w:rPr>
                <w:rFonts w:ascii="Times New Roman" w:hAnsi="Times New Roman"/>
                <w:b/>
                <w:sz w:val="20"/>
                <w:szCs w:val="20"/>
              </w:rPr>
              <w:t xml:space="preserve">ani na účely splnenia obdobnej povinnosti na území iného členského štátu v čase </w:t>
            </w:r>
          </w:p>
          <w:p w:rsidR="00BC41AD" w:rsidRPr="00BC41AD" w:rsidP="00BC41AD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podania daňového priznania na minerálny olej s obsahom biogénnej látky uvedenej do daňového voľného obehu alebo</w:t>
            </w:r>
          </w:p>
          <w:p w:rsidR="00BC41AD" w:rsidRPr="00BC41AD" w:rsidP="00BC41AD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646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prepustenia minerálneho oleja s obsahom biogénnej látky do voľného obehu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 xml:space="preserve">) v mieste dovozu, ak po jeho prepustení do voľného obehu </w:t>
            </w:r>
            <w:r w:rsidRPr="00BC41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2a</w:t>
            </w:r>
            <w:r w:rsidRPr="00BC41AD">
              <w:rPr>
                <w:rFonts w:ascii="Times New Roman" w:hAnsi="Times New Roman"/>
                <w:b/>
                <w:sz w:val="20"/>
                <w:szCs w:val="20"/>
              </w:rPr>
              <w:t>) nenadväzuje pozastavenie dane.</w:t>
            </w:r>
          </w:p>
          <w:p w:rsidR="00BC41AD" w:rsidRPr="00BC41AD" w:rsidP="00BC41A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7FA" w:rsidRPr="00151A6D" w:rsidP="00BC41AD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62" w:hanging="36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1AD" w:rsidR="00BC41AD">
              <w:rPr>
                <w:rFonts w:ascii="Times New Roman" w:hAnsi="Times New Roman"/>
                <w:b/>
                <w:sz w:val="20"/>
                <w:szCs w:val="20"/>
              </w:rPr>
              <w:t xml:space="preserve">Minerálny olej podľa odsekov 1 a 2 musí byť pri preprave sprevádzaný obchodnými dokumentmi, ktoré musia obsahovať informáciu o druhu a množstve biogénnej látky  </w:t>
            </w:r>
            <w:r w:rsidR="00BC41AD">
              <w:rPr>
                <w:rFonts w:ascii="Times New Roman" w:hAnsi="Times New Roman"/>
                <w:b/>
                <w:sz w:val="20"/>
                <w:szCs w:val="20"/>
              </w:rPr>
              <w:t>v percentách objemu.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Ú</w:t>
            </w: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55E86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281D54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6537FA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P="00D0085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D0085A" w:rsidRPr="00D0085A" w:rsidP="00D0085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81D54" w:rsidRPr="001A508F" w:rsidP="00C5000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4C3" w:rsidRPr="001A508F" w:rsidP="003328FF">
      <w:pPr>
        <w:pStyle w:val="tlArialNarrow10ptPodaokraja"/>
        <w:bidi w:val="0"/>
        <w:rPr>
          <w:rFonts w:ascii="Times New Roman" w:hAnsi="Times New Roman"/>
        </w:rPr>
      </w:pPr>
      <w:r w:rsidRPr="001A508F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A508F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1A508F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článok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odsek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V – veta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 xml:space="preserve">P – </w:t>
            </w:r>
            <w:r w:rsidRPr="001A508F" w:rsidR="00DA0F6C">
              <w:rPr>
                <w:rFonts w:ascii="Times New Roman" w:hAnsi="Times New Roman"/>
              </w:rPr>
              <w:t>číslo</w:t>
            </w:r>
            <w:r w:rsidRPr="001A508F">
              <w:rPr>
                <w:rFonts w:ascii="Times New Roman" w:hAnsi="Times New Roman"/>
              </w:rPr>
              <w:t xml:space="preserve"> (</w:t>
            </w:r>
            <w:r w:rsidRPr="001A508F" w:rsidR="00DA0F6C">
              <w:rPr>
                <w:rFonts w:ascii="Times New Roman" w:hAnsi="Times New Roman"/>
              </w:rPr>
              <w:t>písmeno</w:t>
            </w:r>
            <w:r w:rsidRPr="001A508F">
              <w:rPr>
                <w:rFonts w:ascii="Times New Roman" w:hAnsi="Times New Roman"/>
              </w:rPr>
              <w:t>)</w:t>
            </w:r>
          </w:p>
          <w:p w:rsidR="008C54C3" w:rsidRPr="001A508F" w:rsidP="00FB350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A508F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1A508F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 – bežná transpozícia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transpozícia s možnosťou voľby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n.</w:t>
            </w:r>
            <w:r w:rsidR="001A508F">
              <w:rPr>
                <w:rFonts w:ascii="Times New Roman" w:hAnsi="Times New Roman"/>
              </w:rPr>
              <w:t xml:space="preserve"> </w:t>
            </w:r>
            <w:r w:rsidRPr="001A508F">
              <w:rPr>
                <w:rFonts w:ascii="Times New Roman" w:hAnsi="Times New Roman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A508F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1A508F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článok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§ – paragraf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O – odsek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V – veta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A508F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1A508F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1A508F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508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1A508F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1A508F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1A508F" w:rsidR="00ED039C">
              <w:rPr>
                <w:rFonts w:ascii="Times New Roman" w:hAnsi="Times New Roman"/>
                <w:sz w:val="20"/>
                <w:szCs w:val="20"/>
              </w:rPr>
              <w:t>i</w:t>
            </w:r>
            <w:r w:rsidRPr="001A508F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1A508F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1A508F" w:rsidP="00FB350B">
            <w:pPr>
              <w:pStyle w:val="BodyTextIndent2"/>
              <w:bidi w:val="0"/>
              <w:jc w:val="both"/>
              <w:rPr>
                <w:rFonts w:ascii="Times New Roman" w:hAnsi="Times New Roman"/>
              </w:rPr>
            </w:pPr>
            <w:r w:rsidRPr="001A508F">
              <w:rPr>
                <w:rFonts w:ascii="Times New Roman" w:hAnsi="Times New Roman"/>
              </w:rPr>
              <w:t>Ž – žiadna zhoda (ak nebola dosiahnutá ani úpln</w:t>
            </w:r>
            <w:r w:rsidR="001E4587">
              <w:rPr>
                <w:rFonts w:ascii="Times New Roman" w:hAnsi="Times New Roman"/>
              </w:rPr>
              <w:t>á ani čiastočná</w:t>
            </w:r>
            <w:r w:rsidRPr="001A508F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BB2EF7" w:rsidP="00151A6D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508F" w:rsidR="008C54C3">
              <w:rPr>
                <w:rFonts w:ascii="Times New Roman" w:hAnsi="Times New Roman"/>
                <w:sz w:val="20"/>
                <w:szCs w:val="20"/>
              </w:rPr>
              <w:t>n.</w:t>
            </w:r>
            <w:r w:rsidR="001A5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508F" w:rsidR="008C54C3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  <w:p w:rsidR="00BB2EF7" w:rsidRPr="001A508F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4C3" w:rsidRPr="001A508F" w:rsidP="00886A31">
      <w:pPr>
        <w:pStyle w:val="Header"/>
        <w:tabs>
          <w:tab w:val="clear" w:pos="4536"/>
          <w:tab w:val="clear" w:pos="9072"/>
        </w:tabs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sectPr w:rsidSect="00151A6D">
      <w:footerReference w:type="default" r:id="rId4"/>
      <w:pgSz w:w="16838" w:h="11906" w:orient="landscape" w:code="9"/>
      <w:pgMar w:top="737" w:right="851" w:bottom="737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FF" w:rsidRPr="00886A31">
    <w:pPr>
      <w:pStyle w:val="Footer"/>
      <w:framePr w:vAnchor="text" w:hAnchor="margin" w:xAlign="right"/>
      <w:bidi w:val="0"/>
      <w:rPr>
        <w:rStyle w:val="PageNumber"/>
        <w:rFonts w:ascii="Times New Roman" w:hAnsi="Times New Roman"/>
        <w:sz w:val="16"/>
        <w:szCs w:val="16"/>
      </w:rPr>
    </w:pPr>
    <w:r w:rsidRPr="00886A31">
      <w:rPr>
        <w:rStyle w:val="PageNumber"/>
        <w:rFonts w:ascii="Times New Roman" w:hAnsi="Times New Roman"/>
        <w:sz w:val="16"/>
        <w:szCs w:val="16"/>
      </w:rPr>
      <w:fldChar w:fldCharType="begin"/>
    </w:r>
    <w:r w:rsidRPr="00886A31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886A31">
      <w:rPr>
        <w:rStyle w:val="PageNumber"/>
        <w:rFonts w:ascii="Times New Roman" w:hAnsi="Times New Roman"/>
        <w:sz w:val="16"/>
        <w:szCs w:val="16"/>
      </w:rPr>
      <w:fldChar w:fldCharType="separate"/>
    </w:r>
    <w:r w:rsidR="00886A31">
      <w:rPr>
        <w:rStyle w:val="PageNumber"/>
        <w:rFonts w:ascii="Times New Roman" w:hAnsi="Times New Roman"/>
        <w:noProof/>
        <w:sz w:val="16"/>
        <w:szCs w:val="16"/>
      </w:rPr>
      <w:t>3</w:t>
    </w:r>
    <w:r w:rsidRPr="00886A31">
      <w:rPr>
        <w:rStyle w:val="PageNumber"/>
        <w:rFonts w:ascii="Times New Roman" w:hAnsi="Times New Roman"/>
        <w:sz w:val="16"/>
        <w:szCs w:val="16"/>
      </w:rPr>
      <w:fldChar w:fldCharType="end"/>
    </w:r>
  </w:p>
  <w:p w:rsidR="003328FF" w:rsidRPr="00886A31">
    <w:pPr>
      <w:pStyle w:val="Footer"/>
      <w:bidi w:val="0"/>
      <w:ind w:right="360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1E6"/>
    <w:multiLevelType w:val="hybridMultilevel"/>
    <w:tmpl w:val="1F1243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346D3E"/>
    <w:multiLevelType w:val="hybridMultilevel"/>
    <w:tmpl w:val="583A386E"/>
    <w:lvl w:ilvl="0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903F16"/>
    <w:multiLevelType w:val="hybridMultilevel"/>
    <w:tmpl w:val="D5FC9C8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F72464"/>
    <w:multiLevelType w:val="hybridMultilevel"/>
    <w:tmpl w:val="B032DB40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4">
    <w:nsid w:val="0CD5041B"/>
    <w:multiLevelType w:val="hybridMultilevel"/>
    <w:tmpl w:val="45FEB2BE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5">
    <w:nsid w:val="0E9637A3"/>
    <w:multiLevelType w:val="hybridMultilevel"/>
    <w:tmpl w:val="43A2F5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8B04ADB"/>
    <w:multiLevelType w:val="hybridMultilevel"/>
    <w:tmpl w:val="E2520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906167"/>
    <w:multiLevelType w:val="hybridMultilevel"/>
    <w:tmpl w:val="13EA6D30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2839554B"/>
    <w:multiLevelType w:val="hybridMultilevel"/>
    <w:tmpl w:val="BA642A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A76FD2"/>
    <w:multiLevelType w:val="hybridMultilevel"/>
    <w:tmpl w:val="1682CE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8C3A5D"/>
    <w:multiLevelType w:val="hybridMultilevel"/>
    <w:tmpl w:val="7402F70E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84E5588"/>
    <w:multiLevelType w:val="hybridMultilevel"/>
    <w:tmpl w:val="28189490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2">
    <w:nsid w:val="38C1724C"/>
    <w:multiLevelType w:val="hybridMultilevel"/>
    <w:tmpl w:val="E76A90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193046"/>
    <w:multiLevelType w:val="hybridMultilevel"/>
    <w:tmpl w:val="62D269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2C11B2"/>
    <w:multiLevelType w:val="hybridMultilevel"/>
    <w:tmpl w:val="139E1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FFA61B5"/>
    <w:multiLevelType w:val="hybridMultilevel"/>
    <w:tmpl w:val="708C30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2292E55"/>
    <w:multiLevelType w:val="hybridMultilevel"/>
    <w:tmpl w:val="3C969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58352DA"/>
    <w:multiLevelType w:val="hybridMultilevel"/>
    <w:tmpl w:val="7D9080F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58475A8C"/>
    <w:multiLevelType w:val="hybridMultilevel"/>
    <w:tmpl w:val="08A60BA6"/>
    <w:lvl w:ilvl="0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C7008F1"/>
    <w:multiLevelType w:val="hybridMultilevel"/>
    <w:tmpl w:val="7B6EB3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D0712A6"/>
    <w:multiLevelType w:val="hybridMultilevel"/>
    <w:tmpl w:val="388A577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F3B1F5D"/>
    <w:multiLevelType w:val="hybridMultilevel"/>
    <w:tmpl w:val="CEAC1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2313998"/>
    <w:multiLevelType w:val="hybridMultilevel"/>
    <w:tmpl w:val="99E8CA9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3D417E8"/>
    <w:multiLevelType w:val="hybridMultilevel"/>
    <w:tmpl w:val="90663DD4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D757BC2"/>
    <w:multiLevelType w:val="hybridMultilevel"/>
    <w:tmpl w:val="27A68FBC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136059E"/>
    <w:multiLevelType w:val="hybridMultilevel"/>
    <w:tmpl w:val="3AD42C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663835"/>
    <w:multiLevelType w:val="hybridMultilevel"/>
    <w:tmpl w:val="93BADC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8E292D"/>
    <w:multiLevelType w:val="hybridMultilevel"/>
    <w:tmpl w:val="D4D8F8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AF4255E"/>
    <w:multiLevelType w:val="hybridMultilevel"/>
    <w:tmpl w:val="66FEBF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B4C5C37"/>
    <w:multiLevelType w:val="hybridMultilevel"/>
    <w:tmpl w:val="F01C20D4"/>
    <w:lvl w:ilvl="0">
      <w:start w:val="1"/>
      <w:numFmt w:val="lowerLetter"/>
      <w:lvlText w:val="%1)"/>
      <w:lvlJc w:val="left"/>
      <w:pPr>
        <w:ind w:left="171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abstractNum w:abstractNumId="30">
    <w:nsid w:val="7B4E2E8F"/>
    <w:multiLevelType w:val="hybridMultilevel"/>
    <w:tmpl w:val="BE569DB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FBE7891"/>
    <w:multiLevelType w:val="hybridMultilevel"/>
    <w:tmpl w:val="6534FA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6"/>
  </w:num>
  <w:num w:numId="2">
    <w:abstractNumId w:val="25"/>
  </w:num>
  <w:num w:numId="3">
    <w:abstractNumId w:val="15"/>
  </w:num>
  <w:num w:numId="4">
    <w:abstractNumId w:val="2"/>
  </w:num>
  <w:num w:numId="5">
    <w:abstractNumId w:val="5"/>
  </w:num>
  <w:num w:numId="6">
    <w:abstractNumId w:val="31"/>
  </w:num>
  <w:num w:numId="7">
    <w:abstractNumId w:val="13"/>
  </w:num>
  <w:num w:numId="8">
    <w:abstractNumId w:val="9"/>
  </w:num>
  <w:num w:numId="9">
    <w:abstractNumId w:val="6"/>
  </w:num>
  <w:num w:numId="10">
    <w:abstractNumId w:val="17"/>
  </w:num>
  <w:num w:numId="11">
    <w:abstractNumId w:val="12"/>
  </w:num>
  <w:num w:numId="12">
    <w:abstractNumId w:val="8"/>
  </w:num>
  <w:num w:numId="13">
    <w:abstractNumId w:val="7"/>
  </w:num>
  <w:num w:numId="14">
    <w:abstractNumId w:val="28"/>
  </w:num>
  <w:num w:numId="15">
    <w:abstractNumId w:val="27"/>
  </w:num>
  <w:num w:numId="16">
    <w:abstractNumId w:val="16"/>
  </w:num>
  <w:num w:numId="17">
    <w:abstractNumId w:val="21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4"/>
  </w:num>
  <w:num w:numId="23">
    <w:abstractNumId w:val="29"/>
  </w:num>
  <w:num w:numId="24">
    <w:abstractNumId w:val="20"/>
  </w:num>
  <w:num w:numId="25">
    <w:abstractNumId w:val="30"/>
  </w:num>
  <w:num w:numId="26">
    <w:abstractNumId w:val="23"/>
  </w:num>
  <w:num w:numId="27">
    <w:abstractNumId w:val="19"/>
  </w:num>
  <w:num w:numId="28">
    <w:abstractNumId w:val="10"/>
  </w:num>
  <w:num w:numId="29">
    <w:abstractNumId w:val="1"/>
  </w:num>
  <w:num w:numId="30">
    <w:abstractNumId w:val="11"/>
  </w:num>
  <w:num w:numId="31">
    <w:abstractNumId w:val="18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4821"/>
    <w:rsid w:val="00026532"/>
    <w:rsid w:val="000505D3"/>
    <w:rsid w:val="000512DE"/>
    <w:rsid w:val="0005670F"/>
    <w:rsid w:val="00062AC3"/>
    <w:rsid w:val="00077777"/>
    <w:rsid w:val="00077884"/>
    <w:rsid w:val="00080C6A"/>
    <w:rsid w:val="00082239"/>
    <w:rsid w:val="00091F35"/>
    <w:rsid w:val="000A296A"/>
    <w:rsid w:val="000A5F18"/>
    <w:rsid w:val="000B430F"/>
    <w:rsid w:val="000B4803"/>
    <w:rsid w:val="000D042F"/>
    <w:rsid w:val="000F7138"/>
    <w:rsid w:val="0013221E"/>
    <w:rsid w:val="0015147C"/>
    <w:rsid w:val="00151A6D"/>
    <w:rsid w:val="001677D7"/>
    <w:rsid w:val="00171447"/>
    <w:rsid w:val="001763BD"/>
    <w:rsid w:val="0017764C"/>
    <w:rsid w:val="001A508F"/>
    <w:rsid w:val="001A6B73"/>
    <w:rsid w:val="001D5C90"/>
    <w:rsid w:val="001E4587"/>
    <w:rsid w:val="001F6633"/>
    <w:rsid w:val="001F71E7"/>
    <w:rsid w:val="00212717"/>
    <w:rsid w:val="00224F25"/>
    <w:rsid w:val="002311C8"/>
    <w:rsid w:val="00237FAA"/>
    <w:rsid w:val="00262794"/>
    <w:rsid w:val="00272DC4"/>
    <w:rsid w:val="00281D54"/>
    <w:rsid w:val="00296F59"/>
    <w:rsid w:val="002B7377"/>
    <w:rsid w:val="002C70D0"/>
    <w:rsid w:val="002D1B80"/>
    <w:rsid w:val="002F089F"/>
    <w:rsid w:val="00303121"/>
    <w:rsid w:val="00315170"/>
    <w:rsid w:val="003271D5"/>
    <w:rsid w:val="003328FF"/>
    <w:rsid w:val="0034051B"/>
    <w:rsid w:val="00350D02"/>
    <w:rsid w:val="003776A5"/>
    <w:rsid w:val="00381BE2"/>
    <w:rsid w:val="003857B7"/>
    <w:rsid w:val="00391DC5"/>
    <w:rsid w:val="003B4E3F"/>
    <w:rsid w:val="003D392C"/>
    <w:rsid w:val="0040524D"/>
    <w:rsid w:val="004166F2"/>
    <w:rsid w:val="00421FB3"/>
    <w:rsid w:val="00422E31"/>
    <w:rsid w:val="00443E0E"/>
    <w:rsid w:val="00455E86"/>
    <w:rsid w:val="00464DF9"/>
    <w:rsid w:val="00466123"/>
    <w:rsid w:val="00483E43"/>
    <w:rsid w:val="00495C9C"/>
    <w:rsid w:val="004B3847"/>
    <w:rsid w:val="004D286E"/>
    <w:rsid w:val="004D7667"/>
    <w:rsid w:val="004F7C51"/>
    <w:rsid w:val="00500F0B"/>
    <w:rsid w:val="005170A9"/>
    <w:rsid w:val="00532019"/>
    <w:rsid w:val="00534FF5"/>
    <w:rsid w:val="005368F0"/>
    <w:rsid w:val="0055135C"/>
    <w:rsid w:val="00557502"/>
    <w:rsid w:val="00573A87"/>
    <w:rsid w:val="005A15DD"/>
    <w:rsid w:val="005A5922"/>
    <w:rsid w:val="005C51F6"/>
    <w:rsid w:val="005E192D"/>
    <w:rsid w:val="005E7738"/>
    <w:rsid w:val="005F2D2A"/>
    <w:rsid w:val="00603412"/>
    <w:rsid w:val="006411DB"/>
    <w:rsid w:val="00641991"/>
    <w:rsid w:val="006537FA"/>
    <w:rsid w:val="006567F7"/>
    <w:rsid w:val="006610F5"/>
    <w:rsid w:val="00672EFA"/>
    <w:rsid w:val="00680575"/>
    <w:rsid w:val="00680C8E"/>
    <w:rsid w:val="006855A4"/>
    <w:rsid w:val="00692989"/>
    <w:rsid w:val="006A13A8"/>
    <w:rsid w:val="006A5815"/>
    <w:rsid w:val="006B7F25"/>
    <w:rsid w:val="006D028A"/>
    <w:rsid w:val="006D355D"/>
    <w:rsid w:val="006E4B16"/>
    <w:rsid w:val="006E6C41"/>
    <w:rsid w:val="006F0CE8"/>
    <w:rsid w:val="00702DBA"/>
    <w:rsid w:val="00705449"/>
    <w:rsid w:val="00741B55"/>
    <w:rsid w:val="00755FB2"/>
    <w:rsid w:val="0078125A"/>
    <w:rsid w:val="007816AA"/>
    <w:rsid w:val="0079646F"/>
    <w:rsid w:val="007A24B3"/>
    <w:rsid w:val="007A5DB1"/>
    <w:rsid w:val="007D0F09"/>
    <w:rsid w:val="007F1CFA"/>
    <w:rsid w:val="00802281"/>
    <w:rsid w:val="0082041B"/>
    <w:rsid w:val="0082065C"/>
    <w:rsid w:val="00850295"/>
    <w:rsid w:val="00886A31"/>
    <w:rsid w:val="00895A10"/>
    <w:rsid w:val="008B1C4B"/>
    <w:rsid w:val="008C4975"/>
    <w:rsid w:val="008C54C3"/>
    <w:rsid w:val="00931FE6"/>
    <w:rsid w:val="009416DC"/>
    <w:rsid w:val="00944C52"/>
    <w:rsid w:val="0095017B"/>
    <w:rsid w:val="0095366E"/>
    <w:rsid w:val="009571F5"/>
    <w:rsid w:val="009603EA"/>
    <w:rsid w:val="00987DD9"/>
    <w:rsid w:val="009A19BC"/>
    <w:rsid w:val="009B0E5E"/>
    <w:rsid w:val="009C317E"/>
    <w:rsid w:val="009D49B0"/>
    <w:rsid w:val="009E11EE"/>
    <w:rsid w:val="009E4055"/>
    <w:rsid w:val="00A03125"/>
    <w:rsid w:val="00A2066A"/>
    <w:rsid w:val="00A55A77"/>
    <w:rsid w:val="00A61BA6"/>
    <w:rsid w:val="00A6590D"/>
    <w:rsid w:val="00A73CAB"/>
    <w:rsid w:val="00A9063F"/>
    <w:rsid w:val="00A9549D"/>
    <w:rsid w:val="00AC1BD7"/>
    <w:rsid w:val="00AC3B39"/>
    <w:rsid w:val="00AC7452"/>
    <w:rsid w:val="00AD4A4F"/>
    <w:rsid w:val="00AD73C6"/>
    <w:rsid w:val="00B14D4F"/>
    <w:rsid w:val="00B26CB3"/>
    <w:rsid w:val="00B278B5"/>
    <w:rsid w:val="00B349E6"/>
    <w:rsid w:val="00B40E76"/>
    <w:rsid w:val="00B5376E"/>
    <w:rsid w:val="00BB2EF7"/>
    <w:rsid w:val="00BC3C6F"/>
    <w:rsid w:val="00BC41AD"/>
    <w:rsid w:val="00BC58DD"/>
    <w:rsid w:val="00BF13EA"/>
    <w:rsid w:val="00C02904"/>
    <w:rsid w:val="00C460B3"/>
    <w:rsid w:val="00C50000"/>
    <w:rsid w:val="00C8496E"/>
    <w:rsid w:val="00C92FF6"/>
    <w:rsid w:val="00C96E70"/>
    <w:rsid w:val="00CA4A4E"/>
    <w:rsid w:val="00CD7956"/>
    <w:rsid w:val="00CE2EEE"/>
    <w:rsid w:val="00CE67D7"/>
    <w:rsid w:val="00D0085A"/>
    <w:rsid w:val="00D012C1"/>
    <w:rsid w:val="00D23D61"/>
    <w:rsid w:val="00D25A1E"/>
    <w:rsid w:val="00D3730C"/>
    <w:rsid w:val="00D4723C"/>
    <w:rsid w:val="00D60CB6"/>
    <w:rsid w:val="00D7681E"/>
    <w:rsid w:val="00D97D11"/>
    <w:rsid w:val="00DA0F6C"/>
    <w:rsid w:val="00DA257A"/>
    <w:rsid w:val="00DA6042"/>
    <w:rsid w:val="00DB41C5"/>
    <w:rsid w:val="00DC3DFC"/>
    <w:rsid w:val="00DE527E"/>
    <w:rsid w:val="00DF59FE"/>
    <w:rsid w:val="00E11877"/>
    <w:rsid w:val="00E148DA"/>
    <w:rsid w:val="00E15301"/>
    <w:rsid w:val="00E164E0"/>
    <w:rsid w:val="00E27AA7"/>
    <w:rsid w:val="00EB5658"/>
    <w:rsid w:val="00EC23C4"/>
    <w:rsid w:val="00ED039C"/>
    <w:rsid w:val="00ED7ABC"/>
    <w:rsid w:val="00EF2DFB"/>
    <w:rsid w:val="00F0666D"/>
    <w:rsid w:val="00F13EE3"/>
    <w:rsid w:val="00F1771B"/>
    <w:rsid w:val="00F21719"/>
    <w:rsid w:val="00F22CD4"/>
    <w:rsid w:val="00F26784"/>
    <w:rsid w:val="00F44995"/>
    <w:rsid w:val="00F71FCC"/>
    <w:rsid w:val="00F87930"/>
    <w:rsid w:val="00F968B9"/>
    <w:rsid w:val="00FB350B"/>
    <w:rsid w:val="00FC49CA"/>
    <w:rsid w:val="00FC6FAD"/>
    <w:rsid w:val="00FD2EBE"/>
    <w:rsid w:val="00FE428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center"/>
    </w:pPr>
    <w:rPr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61BA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5366E"/>
    <w:pPr>
      <w:overflowPunct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Zkladntext">
    <w:name w:val="Základní text"/>
    <w:uiPriority w:val="99"/>
    <w:rsid w:val="0095366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1714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ArialNarrow10ptPodaokraja">
    <w:name w:val="Štýl Arial Narrow 10 pt Podľa okraja"/>
    <w:basedOn w:val="Normal"/>
    <w:rsid w:val="003328FF"/>
    <w:pPr>
      <w:jc w:val="both"/>
    </w:pPr>
    <w:rPr>
      <w:rFonts w:ascii="Arial Narrow" w:hAnsi="Arial Narrow"/>
      <w:sz w:val="20"/>
      <w:szCs w:val="20"/>
    </w:rPr>
  </w:style>
  <w:style w:type="paragraph" w:styleId="ListParagraph">
    <w:name w:val="List Paragraph"/>
    <w:basedOn w:val="Normal"/>
    <w:uiPriority w:val="34"/>
    <w:qFormat/>
    <w:rsid w:val="00DB41C5"/>
    <w:pPr>
      <w:autoSpaceDE/>
      <w:autoSpaceDN/>
      <w:spacing w:after="200" w:line="276" w:lineRule="auto"/>
      <w:ind w:left="720"/>
      <w:contextualSpacing/>
      <w:jc w:val="left"/>
    </w:pPr>
    <w:rPr>
      <w:rFonts w:ascii="Arial Narrow" w:hAnsi="Arial Narrow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4</Pages>
  <Words>1549</Words>
  <Characters>8830</Characters>
  <Application>Microsoft Office Word</Application>
  <DocSecurity>0</DocSecurity>
  <Lines>0</Lines>
  <Paragraphs>0</Paragraphs>
  <ScaleCrop>false</ScaleCrop>
  <Company>ÚV SR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Danisovic Milan</cp:lastModifiedBy>
  <cp:revision>10</cp:revision>
  <cp:lastPrinted>2017-08-09T15:04:00Z</cp:lastPrinted>
  <dcterms:created xsi:type="dcterms:W3CDTF">2017-08-07T09:49:00Z</dcterms:created>
  <dcterms:modified xsi:type="dcterms:W3CDTF">2017-08-17T09:02:00Z</dcterms:modified>
</cp:coreProperties>
</file>