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Analý</w:t>
            </w: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za s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6D0D0C" w:rsidRPr="00CD4982" w:rsidP="008F1711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Vplyvy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m,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ziu,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 vplyvy na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D0D0C" w:rsidRPr="0040544D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ktoré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budú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pozití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vne/negatí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 ovplyvnené.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CD4982" w:rsidP="008F1711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Vedie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alebo zníž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</w:p>
          <w:p w:rsidR="006D0D0C" w:rsidRPr="00CD4982" w:rsidP="008F1711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takto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spô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sobom? </w:t>
            </w:r>
          </w:p>
          <w:p w:rsidR="006D0D0C" w:rsidRPr="00CD4982" w:rsidP="008F1711">
            <w:pPr>
              <w:shd w:val="clear" w:color="auto" w:fill="F2F2F2"/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medzi potenciá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skupinami skupiny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vny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40544D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40544D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E538C0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vny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40544D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40544D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riziku chudoby alebo sociá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lneho vylúč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D0D0C" w:rsidRPr="0040544D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Kvantifikujte rast alebo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za jednotlivé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/ skupiny jednotlivcov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stva/domá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predkladaný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materiá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lom.</w:t>
            </w:r>
          </w:p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vyšš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ieho poč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tu ovplyvnený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doplň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do tabuľ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ky ď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alš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riadky.</w:t>
            </w:r>
          </w:p>
          <w:p w:rsidR="006D0D0C" w:rsidRPr="0040544D" w:rsidP="008F1711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pade, ak neuvá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dzate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ciu,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D0D0C" w:rsidRPr="00CA6BAF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D0D0C" w:rsidRPr="00CA6BAF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A6BAF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D0D0C" w:rsidRPr="00CA6BAF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D0D0C" w:rsidRPr="00CA6BAF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A6BAF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vod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cej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A6BAF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vplyvov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jmy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davky vyšš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pecifikovaný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chudoby, identifikujte a kvantifikujte vplyv na chudobu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(napr. mieru rizika chudoby, podiel rastu/poklesu v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na celkový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davkoch/prí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A6BAF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</w:tbl>
    <w:p w:rsidR="006D0D0C" w:rsidRPr="00A30F1C" w:rsidP="006D0D0C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6D0D0C" w:rsidP="006D0D0C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6D0D0C" w:rsidP="006D0D0C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6D0D0C">
          <w:footerReference w:type="default" r:id="rId6"/>
          <w:footnotePr>
            <w:numFmt w:val="chicago"/>
          </w:footnotePr>
          <w:type w:val="continuous"/>
          <w:pgSz w:w="11906" w:h="16838" w:code="9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titlePg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4.2 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vplyvy na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stup k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m u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jednotlivý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stva 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 na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vplyv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vam, tovarom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m? </w:t>
            </w:r>
          </w:p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pecifikujete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skupiny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stva a charakter zmeny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stupnosti s ohľ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adom na dostupnosť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finanč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geografickú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kvalitu, organizovanie a pod.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  <w:bottom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Rozumie sa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stup k: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lno-prá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(vrá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ieb starostlivosti 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deti, 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m), 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kvalitnej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ci, ochrane zdravia,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stojnosti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bezpeč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 pri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pre zamestnancov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cim za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mestnanecký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vam,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pomoci pri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davkov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visiacich so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zamestnaniu,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(napr. uľ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ahč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enie 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ladenia rodinný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pracovný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povinností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by zamestnanosti),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koleniam, odborné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prave na trh pr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ce,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zdravotnej starostlivosti 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cenovo dostupný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pomô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cok pre obč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anov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i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celo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softHyphen/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vaniu, 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visiacim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kladný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komuná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doprave,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alší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vš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eobecné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ujmu a tovarom,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spravodlivosti,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</w:t>
            </w:r>
          </w:p>
          <w:p w:rsidR="006D0D0C" w:rsidRPr="00CD4982" w:rsidP="006D0D0C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 (napr. politický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vrh zá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 zavá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dza kataló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g prá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 obetí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trestný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č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inov v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rovine vš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eobecnej odbornej</w:t>
            </w:r>
            <w:r w:rsidRPr="00E1673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pomoc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 (prá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 na informá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cie, prá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 na prá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vnu pomoc, psychická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podpora, 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poradenstvo tý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kajú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ce sa rizika a predchá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dzania opakovanej viktimizá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cii, zastraš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ovaniu 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Pr="00E1673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pomste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) a jednak v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rovine 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pecializovanej odbornej</w:t>
            </w:r>
            <w:r w:rsidRPr="00E1673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pomoc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obzvlášť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zraniteľ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 obetiam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D33CE8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 w:rsidR="006D0D0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Ovplyvnenou sk</w:t>
            </w:r>
            <w:r w:rsidR="006D0D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upinou obyvateľ</w:t>
            </w:r>
            <w:r w:rsidR="006D0D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stva sú</w:t>
            </w:r>
            <w:r w:rsidR="006D0D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obe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te trestný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č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inov a 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ich rodinní</w:t>
            </w:r>
            <w:r w:rsidR="006D0D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prí</w:t>
            </w:r>
            <w:r w:rsidR="006D0D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sluš</w:t>
            </w:r>
            <w:r w:rsidR="006D0D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ní</w:t>
            </w:r>
            <w:r w:rsidR="006D0D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 za podmienok ustanoven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ý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predkladaný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 ná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vrhom zá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kona, ktoré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budú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mať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prí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 k 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vš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eobecnej alebo š</w:t>
            </w:r>
            <w:r w:rsidR="00546EE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pecializovanej odbornej pomoci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 primeraný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poplatok alebo bezplatne. </w:t>
            </w:r>
          </w:p>
          <w:p w:rsidR="00D33CE8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pade obzvlá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šť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zraniteľ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obeti ide o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bezplatný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 k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pecializovanej odbornej pomoci, ktorá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zahŕň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a:</w:t>
            </w:r>
          </w:p>
          <w:p w:rsidR="00D33CE8" w:rsidRPr="00D33CE8" w:rsidP="00D33CE8">
            <w:pPr>
              <w:numPr>
                <w:numId w:val="4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poskytovanie vš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eobecnej odbornej pomoci,</w:t>
            </w:r>
          </w:p>
          <w:p w:rsidR="00D33CE8" w:rsidRPr="00D33CE8" w:rsidP="00D33CE8">
            <w:pPr>
              <w:numPr>
                <w:numId w:val="4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poskytnutie 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krí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zovej psychologickej intervencie, ak poskytnutá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psychická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podpora na zmiernenie ná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sledkov trestné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č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inu p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odľ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 odseku 2 pí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sm. d) nie je pre obzvlášť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zraniteľ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nú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obeť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dostač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ujú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ca,</w:t>
            </w:r>
          </w:p>
          <w:p w:rsidR="00D33CE8" w:rsidRPr="00D33CE8" w:rsidP="00D33CE8">
            <w:pPr>
              <w:numPr>
                <w:numId w:val="4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vyhodnotenie hrozby nebezpeč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enstva ohrozenia ž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ivota alebo zdravia,</w:t>
            </w:r>
          </w:p>
          <w:p w:rsidR="00D33CE8" w:rsidRPr="00D33CE8" w:rsidP="00D33CE8">
            <w:pPr>
              <w:numPr>
                <w:numId w:val="4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sprostredkovanie krí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zové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ubytovania na nevyhnutný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č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as v 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zariadení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a 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za podmienok podľ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 osobitné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predpisu,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rtl w:val="0"/>
                <w:lang w:eastAsia="sk-SK"/>
              </w:rPr>
              <w:footnoteReference w:id="2"/>
            </w:r>
            <w:r w:rsidRPr="00D33CE8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) ak ob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zvlášť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zraniteľ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obeti hrozí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bezprostredné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ohrozenia ž</w:t>
            </w:r>
            <w:r w:rsidRP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ivota alebo zdravia.    </w:t>
            </w:r>
          </w:p>
          <w:p w:rsidR="006D0D0C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1B4EE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Ta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ký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to kataló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g odbornej pomoci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(vš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eobecná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a 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š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pecializovaná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), ktorú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garantuje š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tá</w:t>
            </w:r>
            <w:r w:rsidR="0098789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t,</w:t>
            </w:r>
            <w:r w:rsidR="00D33CE8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doteraz absentoval v 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prá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vnom poriadku Slovenskej republiky, a preto sa v 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tomto prí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pade jedná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 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najvý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znamnejš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ie opatrenie predkladané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ná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vrhu zá</w:t>
            </w:r>
            <w:r w:rsidR="00D33CE8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kona.</w:t>
            </w:r>
            <w:r w:rsidR="004A1115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Ide o 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vytvorenie komplexné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a fungujú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ceho systé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mu podporný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služ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ieb na ú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zemí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Slovenskej republiky, ktor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ý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bude poskytovať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 a 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zabezpeč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ovať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obetiam trestný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č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inov adekvá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tnu odbornú</w:t>
            </w:r>
            <w:r w:rsidRPr="004A1115" w:rsidR="004A1115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pomoc a podporu.  </w:t>
            </w:r>
            <w:r w:rsidR="00D33CE8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6D0D0C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 vš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eobecnosti sa ná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vrhom zá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 uľ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ahčí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obetiam trestný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č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inov prí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 k 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vnym služ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m, spravodlivosti, zdravotnej starostlivosti, sociá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služ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sociá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ochrane</w:t>
            </w:r>
            <w:r w:rsidR="00B93F9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ako aj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prí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 k 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informá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ciá</w:t>
            </w:r>
            <w:r w:rsidR="00B93F97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resp. prá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vam, ktoré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obetiam priná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lež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ia podľ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 navrhované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zá</w:t>
            </w:r>
            <w:r w:rsidR="001B4EE2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</w:t>
            </w:r>
            <w:r w:rsidR="00B93F97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:rsidR="00B93F97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6D0D0C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Veľ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kosť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jednotlivý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ovplyvnený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 nie je mož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objektí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vne urč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iť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. </w:t>
            </w:r>
          </w:p>
          <w:p w:rsidR="006D0D0C" w:rsidRPr="0040544D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niektorú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alebo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v 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enia? </w:t>
            </w:r>
          </w:p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v riziku chudoby a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 na ne. Je tento vplyv väčší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ako vplyv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subjekty?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Zraniteľ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zkym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(napr.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iba zo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lnych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jmov, alebo z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jmov pod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hranicou rizika chudoby, alebo 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pod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minimom, alebo patriace medzi 25%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 najnižší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jmom),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dlhodobo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nad 50 rokov,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deti (0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17),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udia (18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25 rokov),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udia, napr.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vo veku nad 65 rokov alebo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chodcovia,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marginalizované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ró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mske komunity 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3 a viac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jednorodič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(neú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plné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rodiny,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tvoria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osamelé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matky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mi),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tretí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krají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n, azylanti,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iadatelia o azyl,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skupiny, ako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 bezdomovci,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opúšť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detské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domovy alebo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inš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titucioná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 zariadenia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E16732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 zá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kona sa osobitne zameriava na kategó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riu obzvlášť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zraniteľ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 obetí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, 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ktorý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mi sú</w:t>
            </w:r>
            <w:r w:rsidRPr="00E16732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</w:t>
            </w:r>
          </w:p>
          <w:p w:rsidR="006D0D0C" w:rsidP="00546EE7">
            <w:pPr>
              <w:tabs>
                <w:tab w:val="left" w:pos="4358"/>
              </w:tabs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1. 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dieť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a,</w:t>
            </w:r>
          </w:p>
          <w:p w:rsidR="00546EE7" w:rsidRPr="00546EE7" w:rsidP="00546EE7">
            <w:pPr>
              <w:tabs>
                <w:tab w:val="left" w:pos="4358"/>
              </w:tabs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2. </w:t>
            </w:r>
            <w:r w:rsidRPr="00546EE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osoba starš</w:t>
            </w:r>
            <w:r w:rsidRPr="00546EE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ia ako 75 rokov,</w:t>
            </w:r>
          </w:p>
          <w:p w:rsidR="006D0D0C" w:rsidRPr="00E16732" w:rsidP="00546EE7">
            <w:pPr>
              <w:tabs>
                <w:tab w:val="left" w:pos="4358"/>
              </w:tabs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</w:pPr>
            <w:r w:rsidR="00546EE7">
              <w:rPr>
                <w:rFonts w:ascii="Times New Roman" w:eastAsia="Calibri" w:hAnsi="Times New Roman" w:cs="Times New Roman"/>
                <w:sz w:val="20"/>
                <w:lang w:eastAsia="sk-SK"/>
              </w:rPr>
              <w:t>3</w:t>
            </w:r>
            <w:r w:rsidRPr="00E16732">
              <w:rPr>
                <w:rFonts w:ascii="Times New Roman" w:eastAsia="Calibri" w:hAnsi="Times New Roman" w:cs="Times New Roman"/>
                <w:sz w:val="20"/>
                <w:lang w:eastAsia="sk-SK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osoba so zdravotný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 postihnutí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m, ktorá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trpí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fyzickou poruchou alebo duš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evnou poruchou, ktorá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jej brá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ni k riadnemu uplatneniu prá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 podľ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 tohto zá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kona,</w:t>
            </w:r>
          </w:p>
          <w:p w:rsidR="006D0D0C" w:rsidRPr="00E16732" w:rsidP="00546EE7">
            <w:pPr>
              <w:tabs>
                <w:tab w:val="left" w:pos="4358"/>
              </w:tabs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</w:pPr>
            <w:r w:rsidR="00546EE7">
              <w:rPr>
                <w:rFonts w:ascii="Times New Roman" w:eastAsia="Calibri" w:hAnsi="Times New Roman" w:cs="Times New Roman"/>
                <w:sz w:val="20"/>
                <w:lang w:eastAsia="sk-SK"/>
              </w:rPr>
              <w:t>4</w:t>
            </w:r>
            <w:r w:rsidRPr="00E16732">
              <w:rPr>
                <w:rFonts w:ascii="Times New Roman" w:eastAsia="Calibri" w:hAnsi="Times New Roman" w:cs="Times New Roman"/>
                <w:sz w:val="20"/>
                <w:lang w:eastAsia="sk-SK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obeť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trestné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 obchodovania s 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uď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mi, trest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 tý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rania blí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zkej osoby a zverenej osoby, trestné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 spá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chané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organizovanou skupinou, niektoré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z trestný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inov proti 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udskej dô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stojnosti, niektoré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z trestný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inov terorizmu,  </w:t>
            </w:r>
          </w:p>
          <w:p w:rsidR="006D0D0C" w:rsidRPr="00E16732" w:rsidP="00546EE7">
            <w:pPr>
              <w:tabs>
                <w:tab w:val="left" w:pos="4358"/>
              </w:tabs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</w:pPr>
            <w:r w:rsidR="00546EE7">
              <w:rPr>
                <w:rFonts w:ascii="Times New Roman" w:eastAsia="Calibri" w:hAnsi="Times New Roman" w:cs="Times New Roman"/>
                <w:sz w:val="20"/>
                <w:lang w:eastAsia="sk-SK"/>
              </w:rPr>
              <w:t>5</w:t>
            </w:r>
            <w:r w:rsidRPr="00E16732">
              <w:rPr>
                <w:rFonts w:ascii="Times New Roman" w:eastAsia="Calibri" w:hAnsi="Times New Roman" w:cs="Times New Roman"/>
                <w:sz w:val="20"/>
                <w:lang w:eastAsia="sk-SK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obeť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trestné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 spá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chané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silí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 alebo hrozbou 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silia z dô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vodu jej, pohlavia, sexuá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lnej orientá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cie, rodu, 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rodnosti, rasovej alebo etnickej prí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sluš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nosti, 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bož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enské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vyznania,</w:t>
            </w:r>
          </w:p>
          <w:p w:rsidR="006D0D0C" w:rsidP="00546EE7">
            <w:pPr>
              <w:tabs>
                <w:tab w:val="left" w:pos="4358"/>
              </w:tabs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546EE7">
              <w:rPr>
                <w:rFonts w:ascii="Times New Roman" w:eastAsia="Calibri" w:hAnsi="Times New Roman" w:cs="Times New Roman"/>
                <w:sz w:val="20"/>
                <w:lang w:eastAsia="sk-SK"/>
              </w:rPr>
              <w:t>6</w:t>
            </w:r>
            <w:r w:rsidRPr="00E16732">
              <w:rPr>
                <w:rFonts w:ascii="Times New Roman" w:eastAsia="Calibri" w:hAnsi="Times New Roman" w:cs="Times New Roman"/>
                <w:sz w:val="20"/>
                <w:lang w:eastAsia="sk-SK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obeť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iné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trestné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inu, ktorá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je vystavená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vyšš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iemu riziku opakovanej viktimizá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cie, zastraš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ovania a pomsty zo strany pá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hateľ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 zistené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na zá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klade individuá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lneho posú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denia obete a jej osobný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 vlastností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, druhu alebo povahy a okolností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spá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chania trestné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>.</w:t>
            </w:r>
          </w:p>
          <w:p w:rsidR="006D0D0C" w:rsidP="00546EE7">
            <w:pPr>
              <w:tabs>
                <w:tab w:val="left" w:pos="4358"/>
              </w:tabs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6D0D0C" w:rsidP="00546EE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Veľ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kosť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jednotlivý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ovplyvnený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 nie je mož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objektí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vne urč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iť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. </w:t>
            </w:r>
          </w:p>
          <w:p w:rsidR="006D0D0C" w:rsidRPr="0040544D" w:rsidP="008F1711">
            <w:pPr>
              <w:tabs>
                <w:tab w:val="left" w:pos="4358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6D0D0C" w:rsidP="006D0D0C">
      <w:pPr>
        <w:bidi w:val="0"/>
      </w:pPr>
    </w:p>
    <w:p w:rsidR="006D0D0C" w:rsidP="006D0D0C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4.3 Identifikujte a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vplyv na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itostí.</w:t>
            </w:r>
          </w:p>
          <w:p w:rsidR="006D0D0C" w:rsidRPr="00CD4982" w:rsidP="008F1711">
            <w:pPr>
              <w:bidi w:val="0"/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 na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Dodrž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povinnosť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rovnaké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zaobchá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dzania so skupinami alebo jednotlivcami na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klade pohlavia,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rasy, etnicity,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bož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enstva alebo viery, zdravotné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postihnutia veku a sexuá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lnej orientá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cie? Mohol by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nepriamej diskriminá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cii niektorý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D0D0C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Podľ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 §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3 ods. 2 ná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vrhu zá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kona „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Prá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va priznané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obe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ti tý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mto zá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konom sa uplatň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ujú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bez akejkoľ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vek diskriminá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cie založ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enej na pohlaví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, 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bož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enskom vyznaní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alebo viere, rase, prí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sluš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nosti k 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rodnosti alebo etnickej skupine, zdravotnom stave, veku, sexuá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lnej orientá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cii, rodinnom stave, farbe pleti, jazyku, po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itickom alebo inom zmýšľ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aní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, 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rodnom alebo sociá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lnom pô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vode, maje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tku, rode alebo inom postavení.“</w:t>
            </w:r>
          </w:p>
          <w:p w:rsidR="006D0D0C" w:rsidRPr="00E1673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6D0D0C" w:rsidRPr="00CD4982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Môž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mať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odliš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eny a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enami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alebo naopak bude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zväčš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ovaniu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nerovností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vplyvy.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  <w:bottom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RPr="00CD4982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Pri identifikovaní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vplyvov treba vziať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vahy 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rozdiely medzi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enami,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relevantné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danej politike. Podpora rodovej rovnosti spočí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odstraň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obmedzení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barié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 pre plnohodnotnú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ekonomick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om, politickom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lnom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ivote spoloč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 s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rolami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pohlaví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m. Hlavné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oblasti podpory rodovej rovnosti: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vyrovná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vania ekonomickej nezá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vislosti, 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ladenie pracovné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ho,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kromné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rodinné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ivota, 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rovnej participá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cie na rozhodovaní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boj proti rodovo podmienené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siliu a obchodovaniu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mi, </w:t>
            </w:r>
          </w:p>
          <w:p w:rsidR="006D0D0C" w:rsidRPr="00CD4982" w:rsidP="006D0D0C">
            <w:pPr>
              <w:numPr>
                <w:numId w:val="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eliminá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cia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stereotypov.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D0C" w:rsidP="004A1115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 zá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kona nerobí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rozdiely medzi obeť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ami v 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zá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vislosti na pohlaví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(„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Prá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va priznané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obeti tý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mto zá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konom sa uplatň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uj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ú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bez akejkoľ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vek diskriminá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cie založ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enej na pohlaví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...“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), avš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ak na strane druhej venuje zvýš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enú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pozornosť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obetiam 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trestné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 obchodovania s 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uď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mi, trestné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 tý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rania blí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zkej osoby a zverenej osoby, 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a </w:t>
            </w:r>
            <w:r w:rsidRPr="00E16732">
              <w:rPr>
                <w:rFonts w:ascii="Times New Roman" w:eastAsia="Calibri" w:hAnsi="Times New Roman" w:cs="Times New Roman"/>
                <w:sz w:val="20"/>
                <w:lang w:eastAsia="sk-SK"/>
              </w:rPr>
              <w:t>obe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>ti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iné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trestné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inu, ktorá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je vystavená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v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yšš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iemu riziku opakovanej viktimizá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cie, zastraš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ovania a pomsty zo strany pá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chateľ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 zistené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na zá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klade individuá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lneho posú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denia obete a jej osobný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 vlastností,</w:t>
            </w:r>
            <w:r w:rsidR="00FC6F77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</w:t>
            </w:r>
            <w:r w:rsidRPr="00FC6F77" w:rsidR="00FC6F7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vzť</w:t>
            </w:r>
            <w:r w:rsidRPr="00FC6F77" w:rsidR="00FC6F7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ahu k pá</w:t>
            </w:r>
            <w:r w:rsidRPr="00FC6F77" w:rsidR="00FC6F7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chateľ</w:t>
            </w:r>
            <w:r w:rsidRPr="00FC6F77" w:rsidR="00FC6F7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ovi alebo zá</w:t>
            </w:r>
            <w:r w:rsidRPr="00FC6F77" w:rsidR="00FC6F7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vislosti od pá</w:t>
            </w:r>
            <w:r w:rsidRPr="00FC6F77" w:rsidR="00FC6F7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chateľ</w:t>
            </w:r>
            <w:r w:rsidRPr="00FC6F77" w:rsidR="00FC6F77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</w:t>
            </w:r>
            <w:r w:rsidR="00FC6F77">
              <w:rPr>
                <w:rFonts w:ascii="Times New Roman" w:eastAsia="Calibri" w:hAnsi="Times New Roman" w:cs="Times New Roman"/>
                <w:sz w:val="20"/>
                <w:lang w:eastAsia="sk-SK"/>
              </w:rPr>
              <w:t>,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druhu alebo povahy a okolností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spá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chania t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restné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č</w:t>
            </w:r>
            <w:r w:rsidRPr="00E16732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inu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>. Z 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tohto pohľ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adu mož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no vní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mať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 zá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kona ako ná</w:t>
            </w:r>
            <w:r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stroj pre podporu rodovej rovnosti. </w:t>
            </w:r>
          </w:p>
          <w:p w:rsidR="006D0D0C" w:rsidP="004A1115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</w:pPr>
          </w:p>
          <w:p w:rsidR="006D0D0C" w:rsidP="004A1115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</w:pPr>
          </w:p>
          <w:p w:rsidR="006D0D0C" w:rsidRPr="00CA6BAF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vplyvy na zamestnanosť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na trh prá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ce.</w:t>
            </w:r>
          </w:p>
          <w:p w:rsidR="006D0D0C" w:rsidRPr="00994C53" w:rsidP="008F171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V prí</w:t>
            </w:r>
            <w:r w:rsidRP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pade kladnej odpovede pripojte </w:t>
            </w:r>
            <w:r w:rsidRP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odô</w:t>
            </w:r>
            <w:r w:rsidRP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vodnenie</w:t>
            </w:r>
            <w:r w:rsidRP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 v sú</w:t>
            </w:r>
            <w:r w:rsidRP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lade s Metodický</w:t>
            </w:r>
            <w:r w:rsidRP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m postupom pre analý</w:t>
            </w:r>
            <w:r w:rsidRP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zu sociá</w:t>
            </w:r>
            <w:r w:rsidRP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lnych vplyvov.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vznik nový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pre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skup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iny zamestnancov,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A30F1C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Vedie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k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niku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jde a pod. Identifikujte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sledky, skupiny zamestnancov,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budú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viac ovplyvnené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A30F1C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visí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 jednej strane na produkcii tovarov a služ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ieb v ekonomike a na druhej strane na cene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A30F1C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dosah na fungovanie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ka sa makroekonomický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ch dosahov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ako je napr. participá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cia na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ce, dlhodobá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nezamestnanosť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, regioná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Ponuka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ovplyvnená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znymi premenný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mi napr.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ou miezd, inš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titucioná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lnym nastavení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(napr.  zosú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ladenie pracovné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a 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kromné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ho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ivota alebo 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ovanie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A30F1C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negatí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vne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sledky pre isté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skupí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 zamestnancov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ivnostní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pre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ohrozovať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napr. pracovní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kov istý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favorizovaní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pecifický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aktiví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technoló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A30F1C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vekové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zamestnancov?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 spô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994C53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ovplyvniť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rozhodnutia zamestnancov alebo zamestná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vateľ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 a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zdrojom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neskorš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ieho vstupu na trh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alebo predč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asné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odchodu z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0D0C" w:rsidRPr="00A30F1C" w:rsidP="008F171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bezpredmetné</w:t>
            </w:r>
          </w:p>
        </w:tc>
      </w:tr>
    </w:tbl>
    <w:p w:rsidR="006D0D0C" w:rsidP="006D0D0C">
      <w:pPr>
        <w:bidi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p w:rsidR="006D0D0C" w:rsidP="006D0D0C">
      <w:pPr>
        <w:bidi w:val="0"/>
        <w:spacing w:after="0" w:line="240" w:lineRule="auto"/>
        <w:outlineLvl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0C" w:rsidRPr="006D0D0C">
    <w:pPr>
      <w:pStyle w:val="Footer"/>
      <w:bidi w:val="0"/>
      <w:jc w:val="center"/>
      <w:rPr>
        <w:rFonts w:ascii="Times New Roman" w:hAnsi="Times New Roman" w:cs="Times New Roman"/>
        <w:sz w:val="24"/>
      </w:rPr>
    </w:pPr>
    <w:r w:rsidRPr="006D0D0C">
      <w:rPr>
        <w:rFonts w:ascii="Times New Roman" w:hAnsi="Times New Roman" w:cs="Times New Roman"/>
        <w:sz w:val="24"/>
      </w:rPr>
      <w:fldChar w:fldCharType="begin"/>
    </w:r>
    <w:r w:rsidRPr="006D0D0C">
      <w:rPr>
        <w:rFonts w:ascii="Times New Roman" w:hAnsi="Times New Roman" w:cs="Times New Roman"/>
        <w:sz w:val="24"/>
      </w:rPr>
      <w:instrText>PAGE   \* MERGEFORMAT</w:instrText>
    </w:r>
    <w:r w:rsidRPr="006D0D0C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2</w:t>
    </w:r>
    <w:r w:rsidRPr="006D0D0C">
      <w:rPr>
        <w:rFonts w:ascii="Times New Roman" w:hAnsi="Times New Roman" w:cs="Times New Roman"/>
        <w:sz w:val="24"/>
      </w:rPr>
      <w:fldChar w:fldCharType="end"/>
    </w:r>
  </w:p>
  <w:p w:rsidR="006D0D0C" w:rsidRPr="006D0D0C">
    <w:pPr>
      <w:pStyle w:val="Footer"/>
      <w:bidi w:val="0"/>
      <w:rPr>
        <w:rFonts w:ascii="Times New Roman" w:hAnsi="Times New Roman" w:cs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 w:rsidR="00D96E7E">
      <w:rPr>
        <w:rFonts w:ascii="Times New Roman" w:hAnsi="Times New Roman" w:cs="Times New Roman"/>
      </w:rPr>
      <w:fldChar w:fldCharType="begin"/>
    </w:r>
    <w:r w:rsidRPr="001D6749" w:rsidR="00D96E7E">
      <w:rPr>
        <w:rFonts w:ascii="Times New Roman" w:hAnsi="Times New Roman" w:cs="Times New Roman"/>
      </w:rPr>
      <w:instrText>PAGE   \* MERGEFORMAT</w:instrText>
    </w:r>
    <w:r w:rsidRPr="001D6749" w:rsidR="00D96E7E">
      <w:rPr>
        <w:rFonts w:ascii="Times New Roman" w:hAnsi="Times New Roman" w:cs="Times New Roman"/>
      </w:rPr>
      <w:fldChar w:fldCharType="separate"/>
    </w:r>
    <w:r w:rsidR="001A5B22">
      <w:rPr>
        <w:rFonts w:ascii="Times New Roman" w:hAnsi="Times New Roman" w:cs="Times New Roman"/>
        <w:noProof/>
      </w:rPr>
      <w:t>2</w:t>
    </w:r>
    <w:r w:rsidRPr="001D6749" w:rsidR="00D96E7E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81" w:rsidP="006D0D0C">
      <w:pPr>
        <w:bidi w:val="0"/>
        <w:spacing w:after="0" w:line="240" w:lineRule="auto"/>
      </w:pPr>
      <w:r>
        <w:separator/>
      </w:r>
    </w:p>
  </w:footnote>
  <w:footnote w:type="continuationSeparator" w:id="1">
    <w:p w:rsidR="00B57C81" w:rsidP="006D0D0C">
      <w:pPr>
        <w:bidi w:val="0"/>
        <w:spacing w:after="0" w:line="240" w:lineRule="auto"/>
      </w:pPr>
      <w:r>
        <w:continuationSeparator/>
      </w:r>
    </w:p>
  </w:footnote>
  <w:footnote w:id="2">
    <w:p w:rsidP="00D33CE8">
      <w:pPr>
        <w:pStyle w:val="FootnoteText"/>
        <w:bidi w:val="0"/>
        <w:spacing w:after="0" w:line="240" w:lineRule="auto"/>
        <w:jc w:val="both"/>
      </w:pPr>
      <w:r w:rsidR="00D33CE8">
        <w:rPr>
          <w:rStyle w:val="FootnoteReference"/>
        </w:rPr>
        <w:footnoteRef/>
      </w:r>
      <w:r w:rsidR="00D33CE8">
        <w:t xml:space="preserve">) </w:t>
      </w:r>
      <w:r w:rsidRPr="007157E6" w:rsidR="00D33CE8">
        <w:rPr>
          <w:rFonts w:ascii="Times New Roman" w:hAnsi="Times New Roman"/>
        </w:rPr>
        <w:t>Napríklad zákon č. 448/2008 Z. z.</w:t>
      </w:r>
      <w:r w:rsidR="00D33CE8">
        <w:rPr>
          <w:rFonts w:ascii="Times New Roman" w:hAnsi="Times New Roman"/>
        </w:rPr>
        <w:t xml:space="preserve"> v znení neskorších predpisov, zákon č. 305/2005 Z. z. </w:t>
      </w:r>
      <w:r w:rsidRPr="00A06C5D" w:rsidR="00D33CE8">
        <w:rPr>
          <w:rFonts w:ascii="Times New Roman" w:hAnsi="Times New Roman"/>
        </w:rPr>
        <w:t>o sociálnoprávnej ochrane detí a o sociálnej kuratele a o zmene a doplnení niektorých zákonov</w:t>
      </w:r>
      <w:r w:rsidR="00D33CE8">
        <w:rPr>
          <w:rFonts w:ascii="Times New Roman" w:hAnsi="Times New Roman"/>
        </w:rPr>
        <w:t xml:space="preserve"> v 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6D0D0C" w:rsidP="006D0D0C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2E85"/>
    <w:multiLevelType w:val="hybridMultilevel"/>
    <w:tmpl w:val="B866D10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346DEE"/>
    <w:multiLevelType w:val="hybridMultilevel"/>
    <w:tmpl w:val="0846B6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numFmt w:val="chicago"/>
    <w:footnote w:id="0"/>
    <w:footnote w:id="1"/>
  </w:footnotePr>
  <w:compat/>
  <w:rsids>
    <w:rsidRoot w:val="006D0D0C"/>
    <w:rsid w:val="000D094E"/>
    <w:rsid w:val="001A5B22"/>
    <w:rsid w:val="001B4EE2"/>
    <w:rsid w:val="001D6749"/>
    <w:rsid w:val="0040544D"/>
    <w:rsid w:val="004A1115"/>
    <w:rsid w:val="00546EE7"/>
    <w:rsid w:val="00590B96"/>
    <w:rsid w:val="006D0D0C"/>
    <w:rsid w:val="007157E6"/>
    <w:rsid w:val="00886F0B"/>
    <w:rsid w:val="008F1711"/>
    <w:rsid w:val="00987898"/>
    <w:rsid w:val="00994C53"/>
    <w:rsid w:val="00A06C5D"/>
    <w:rsid w:val="00A30F1C"/>
    <w:rsid w:val="00B57C81"/>
    <w:rsid w:val="00B93F97"/>
    <w:rsid w:val="00CA6BAF"/>
    <w:rsid w:val="00CD4982"/>
    <w:rsid w:val="00D33CE8"/>
    <w:rsid w:val="00D63194"/>
    <w:rsid w:val="00D82030"/>
    <w:rsid w:val="00D96E7E"/>
    <w:rsid w:val="00DA4453"/>
    <w:rsid w:val="00DC141E"/>
    <w:rsid w:val="00E16732"/>
    <w:rsid w:val="00E538C0"/>
    <w:rsid w:val="00E601AE"/>
    <w:rsid w:val="00F2597D"/>
    <w:rsid w:val="00FC6F7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D0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6D0D0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0D0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6D0D0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0D0C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D33CE8"/>
    <w:pPr>
      <w:spacing w:after="0" w:line="240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D33CE8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uiPriority w:val="99"/>
    <w:semiHidden/>
    <w:unhideWhenUsed/>
    <w:rsid w:val="00D33C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087B-B7D3-441D-A03D-FE58B3E5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1830</Words>
  <Characters>10433</Characters>
  <Application>Microsoft Office Word</Application>
  <DocSecurity>0</DocSecurity>
  <Lines>0</Lines>
  <Paragraphs>0</Paragraphs>
  <ScaleCrop>false</ScaleCrop>
  <Company/>
  <LinksUpToDate>false</LinksUpToDate>
  <CharactersWithSpaces>12239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PALÚŠ Juraj</cp:lastModifiedBy>
  <cp:revision>2</cp:revision>
  <dcterms:created xsi:type="dcterms:W3CDTF">2017-08-10T13:36:00Z</dcterms:created>
  <dcterms:modified xsi:type="dcterms:W3CDTF">2017-08-10T13:36:00Z</dcterms:modified>
</cp:coreProperties>
</file>