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401B" w:rsidRPr="002F2FAA" w:rsidP="00E8401B">
      <w:pPr>
        <w:pBdr>
          <w:bottom w:val="single" w:sz="12" w:space="1" w:color="auto"/>
        </w:pBdr>
        <w:bidi w:val="0"/>
        <w:spacing w:after="0" w:line="240" w:lineRule="auto"/>
        <w:jc w:val="center"/>
        <w:rPr>
          <w:rFonts w:ascii="Times New Roman" w:hAnsi="Times New Roman"/>
          <w:b/>
          <w:bCs/>
          <w:spacing w:val="20"/>
          <w:sz w:val="24"/>
          <w:szCs w:val="24"/>
        </w:rPr>
      </w:pPr>
      <w:r w:rsidRPr="002F2FAA">
        <w:rPr>
          <w:rFonts w:ascii="Times New Roman" w:hAnsi="Times New Roman"/>
          <w:b/>
          <w:bCs/>
          <w:spacing w:val="20"/>
          <w:sz w:val="24"/>
          <w:szCs w:val="24"/>
        </w:rPr>
        <w:t>NÁRODNÁ RADA SLOVENSKEJ REPUBLIKY</w:t>
      </w:r>
    </w:p>
    <w:p w:rsidR="00251AA0" w:rsidRPr="002F2FAA" w:rsidP="00E8401B">
      <w:pPr>
        <w:pBdr>
          <w:bottom w:val="single" w:sz="12" w:space="1" w:color="auto"/>
        </w:pBdr>
        <w:bidi w:val="0"/>
        <w:spacing w:after="0" w:line="240" w:lineRule="auto"/>
        <w:jc w:val="center"/>
        <w:rPr>
          <w:rFonts w:ascii="Times New Roman" w:hAnsi="Times New Roman"/>
          <w:b/>
          <w:bCs/>
          <w:spacing w:val="20"/>
          <w:sz w:val="24"/>
          <w:szCs w:val="24"/>
        </w:rPr>
      </w:pPr>
      <w:r w:rsidRPr="002F2FAA">
        <w:rPr>
          <w:rFonts w:ascii="Times New Roman" w:hAnsi="Times New Roman"/>
          <w:b/>
          <w:spacing w:val="20"/>
          <w:sz w:val="24"/>
          <w:szCs w:val="24"/>
        </w:rPr>
        <w:t>VII. volebné obdobie</w:t>
      </w:r>
    </w:p>
    <w:p w:rsidR="00E8401B" w:rsidRPr="002F2FAA" w:rsidP="00E8401B">
      <w:pPr>
        <w:bidi w:val="0"/>
        <w:spacing w:after="0" w:line="240" w:lineRule="auto"/>
        <w:jc w:val="center"/>
        <w:rPr>
          <w:rFonts w:ascii="Times New Roman" w:hAnsi="Times New Roman"/>
          <w:spacing w:val="20"/>
          <w:sz w:val="24"/>
          <w:szCs w:val="24"/>
        </w:rPr>
      </w:pPr>
    </w:p>
    <w:p w:rsidR="00E8401B" w:rsidRPr="002F2FAA" w:rsidP="00E8401B">
      <w:pPr>
        <w:bidi w:val="0"/>
        <w:spacing w:after="0" w:line="240" w:lineRule="auto"/>
        <w:jc w:val="center"/>
        <w:rPr>
          <w:rFonts w:ascii="Times New Roman" w:hAnsi="Times New Roman"/>
          <w:spacing w:val="20"/>
          <w:sz w:val="24"/>
          <w:szCs w:val="24"/>
        </w:rPr>
      </w:pPr>
    </w:p>
    <w:p w:rsidR="00E8401B" w:rsidRPr="002F2FAA" w:rsidP="00E8401B">
      <w:pPr>
        <w:bidi w:val="0"/>
        <w:spacing w:after="0" w:line="240" w:lineRule="auto"/>
        <w:jc w:val="center"/>
        <w:rPr>
          <w:rFonts w:ascii="Times New Roman" w:hAnsi="Times New Roman"/>
          <w:b/>
          <w:bCs/>
          <w:spacing w:val="30"/>
          <w:sz w:val="24"/>
          <w:szCs w:val="24"/>
        </w:rPr>
      </w:pPr>
    </w:p>
    <w:p w:rsidR="00E8401B" w:rsidRPr="002F2FAA" w:rsidP="00E8401B">
      <w:pPr>
        <w:bidi w:val="0"/>
        <w:spacing w:after="0" w:line="240" w:lineRule="auto"/>
        <w:jc w:val="center"/>
        <w:rPr>
          <w:rFonts w:ascii="Times New Roman" w:hAnsi="Times New Roman"/>
          <w:b/>
          <w:bCs/>
          <w:spacing w:val="30"/>
          <w:sz w:val="24"/>
          <w:szCs w:val="24"/>
        </w:rPr>
      </w:pPr>
    </w:p>
    <w:p w:rsidR="00E8401B" w:rsidRPr="002F2FAA" w:rsidP="00E8401B">
      <w:pPr>
        <w:bidi w:val="0"/>
        <w:spacing w:after="0" w:line="240" w:lineRule="auto"/>
        <w:jc w:val="center"/>
        <w:rPr>
          <w:rFonts w:ascii="Times New Roman" w:hAnsi="Times New Roman"/>
          <w:b/>
          <w:bCs/>
          <w:spacing w:val="30"/>
          <w:sz w:val="24"/>
          <w:szCs w:val="24"/>
        </w:rPr>
      </w:pPr>
    </w:p>
    <w:p w:rsidR="00E8401B" w:rsidRPr="002F2FAA" w:rsidP="00E8401B">
      <w:pPr>
        <w:bidi w:val="0"/>
        <w:spacing w:after="0" w:line="240" w:lineRule="auto"/>
        <w:jc w:val="center"/>
        <w:rPr>
          <w:rFonts w:ascii="Times New Roman" w:hAnsi="Times New Roman"/>
          <w:b/>
          <w:bCs/>
          <w:spacing w:val="30"/>
          <w:sz w:val="24"/>
          <w:szCs w:val="24"/>
        </w:rPr>
      </w:pPr>
    </w:p>
    <w:p w:rsidR="00E8401B" w:rsidRPr="002F2FAA" w:rsidP="00E8401B">
      <w:pPr>
        <w:bidi w:val="0"/>
        <w:spacing w:after="0" w:line="240" w:lineRule="auto"/>
        <w:jc w:val="center"/>
        <w:rPr>
          <w:rFonts w:ascii="Times New Roman" w:hAnsi="Times New Roman"/>
          <w:b/>
          <w:bCs/>
          <w:spacing w:val="30"/>
          <w:sz w:val="24"/>
          <w:szCs w:val="24"/>
        </w:rPr>
      </w:pPr>
      <w:r w:rsidRPr="002F2FAA">
        <w:rPr>
          <w:rFonts w:ascii="Times New Roman" w:hAnsi="Times New Roman"/>
          <w:b/>
          <w:bCs/>
          <w:spacing w:val="30"/>
          <w:sz w:val="24"/>
          <w:szCs w:val="24"/>
        </w:rPr>
        <w:t xml:space="preserve">Návrh </w:t>
      </w:r>
    </w:p>
    <w:p w:rsidR="00E8401B" w:rsidRPr="002F2FAA" w:rsidP="00E8401B">
      <w:pPr>
        <w:bidi w:val="0"/>
        <w:spacing w:after="0" w:line="240" w:lineRule="auto"/>
        <w:jc w:val="center"/>
        <w:rPr>
          <w:rFonts w:ascii="Times New Roman" w:hAnsi="Times New Roman"/>
          <w:b/>
          <w:bCs/>
          <w:spacing w:val="30"/>
          <w:sz w:val="24"/>
          <w:szCs w:val="24"/>
        </w:rPr>
      </w:pPr>
    </w:p>
    <w:p w:rsidR="00E8401B" w:rsidRPr="002F2FAA" w:rsidP="00E8401B">
      <w:pPr>
        <w:bidi w:val="0"/>
        <w:spacing w:after="0" w:line="240" w:lineRule="auto"/>
        <w:jc w:val="center"/>
        <w:rPr>
          <w:rFonts w:ascii="Times New Roman" w:hAnsi="Times New Roman"/>
          <w:b/>
          <w:bCs/>
          <w:spacing w:val="30"/>
          <w:sz w:val="24"/>
          <w:szCs w:val="24"/>
        </w:rPr>
      </w:pPr>
    </w:p>
    <w:p w:rsidR="00E8401B" w:rsidRPr="002F2FAA" w:rsidP="00E8401B">
      <w:pPr>
        <w:bidi w:val="0"/>
        <w:spacing w:after="0" w:line="240" w:lineRule="auto"/>
        <w:jc w:val="center"/>
        <w:rPr>
          <w:rFonts w:ascii="Times New Roman" w:hAnsi="Times New Roman"/>
          <w:b/>
          <w:bCs/>
          <w:caps/>
          <w:spacing w:val="30"/>
          <w:sz w:val="24"/>
          <w:szCs w:val="24"/>
        </w:rPr>
      </w:pPr>
      <w:r w:rsidRPr="002F2FAA">
        <w:rPr>
          <w:rFonts w:ascii="Times New Roman" w:hAnsi="Times New Roman"/>
          <w:b/>
          <w:bCs/>
          <w:caps/>
          <w:spacing w:val="30"/>
          <w:sz w:val="24"/>
          <w:szCs w:val="24"/>
        </w:rPr>
        <w:t>zákon</w:t>
      </w:r>
    </w:p>
    <w:p w:rsidR="00E8401B" w:rsidRPr="002F2FAA" w:rsidP="00E8401B">
      <w:pPr>
        <w:bidi w:val="0"/>
        <w:spacing w:after="0" w:line="240" w:lineRule="auto"/>
        <w:jc w:val="center"/>
        <w:rPr>
          <w:rFonts w:ascii="Times New Roman" w:hAnsi="Times New Roman"/>
          <w:b/>
          <w:bCs/>
          <w:caps/>
          <w:spacing w:val="30"/>
          <w:sz w:val="24"/>
          <w:szCs w:val="24"/>
        </w:rPr>
      </w:pPr>
    </w:p>
    <w:p w:rsidR="00E8401B" w:rsidRPr="002F2FAA" w:rsidP="00E8401B">
      <w:pPr>
        <w:bidi w:val="0"/>
        <w:spacing w:after="0" w:line="240" w:lineRule="auto"/>
        <w:jc w:val="center"/>
        <w:rPr>
          <w:rFonts w:ascii="Times New Roman" w:hAnsi="Times New Roman"/>
          <w:sz w:val="24"/>
          <w:szCs w:val="24"/>
        </w:rPr>
      </w:pPr>
    </w:p>
    <w:p w:rsidR="00E8401B" w:rsidRPr="002F2FAA" w:rsidP="00E8401B">
      <w:pPr>
        <w:bidi w:val="0"/>
        <w:spacing w:after="0" w:line="240" w:lineRule="auto"/>
        <w:jc w:val="center"/>
        <w:rPr>
          <w:rFonts w:ascii="Times New Roman" w:hAnsi="Times New Roman"/>
          <w:sz w:val="24"/>
          <w:szCs w:val="24"/>
        </w:rPr>
      </w:pPr>
      <w:r w:rsidRPr="002F2FAA" w:rsidR="00251AA0">
        <w:rPr>
          <w:rFonts w:ascii="Times New Roman" w:hAnsi="Times New Roman"/>
          <w:sz w:val="24"/>
          <w:szCs w:val="24"/>
        </w:rPr>
        <w:t>z .............. 2017</w:t>
      </w:r>
      <w:r w:rsidRPr="002F2FAA">
        <w:rPr>
          <w:rFonts w:ascii="Times New Roman" w:hAnsi="Times New Roman"/>
          <w:sz w:val="24"/>
          <w:szCs w:val="24"/>
        </w:rPr>
        <w:t>,</w:t>
      </w:r>
    </w:p>
    <w:p w:rsidR="00E8401B" w:rsidRPr="002F2FAA" w:rsidP="00E8401B">
      <w:pPr>
        <w:bidi w:val="0"/>
        <w:spacing w:after="0" w:line="240" w:lineRule="auto"/>
        <w:jc w:val="center"/>
        <w:rPr>
          <w:rFonts w:ascii="Times New Roman" w:hAnsi="Times New Roman"/>
          <w:sz w:val="24"/>
          <w:szCs w:val="24"/>
        </w:rPr>
      </w:pPr>
    </w:p>
    <w:p w:rsidR="00E8401B" w:rsidRPr="002F2FAA" w:rsidP="00E8401B">
      <w:pPr>
        <w:bidi w:val="0"/>
        <w:spacing w:after="0" w:line="240" w:lineRule="auto"/>
        <w:jc w:val="center"/>
        <w:rPr>
          <w:rFonts w:ascii="Times New Roman" w:hAnsi="Times New Roman"/>
          <w:sz w:val="24"/>
          <w:szCs w:val="24"/>
        </w:rPr>
      </w:pPr>
    </w:p>
    <w:p w:rsidR="00E8401B" w:rsidRPr="002F2FAA" w:rsidP="00E8401B">
      <w:pPr>
        <w:bidi w:val="0"/>
        <w:spacing w:after="0" w:line="240" w:lineRule="auto"/>
        <w:jc w:val="center"/>
        <w:rPr>
          <w:rFonts w:ascii="Times New Roman" w:hAnsi="Times New Roman"/>
          <w:b/>
          <w:bCs/>
          <w:sz w:val="24"/>
          <w:szCs w:val="24"/>
        </w:rPr>
      </w:pPr>
      <w:r w:rsidRPr="002F2FAA">
        <w:rPr>
          <w:rFonts w:ascii="Times New Roman" w:hAnsi="Times New Roman"/>
          <w:b/>
          <w:bCs/>
          <w:sz w:val="24"/>
          <w:szCs w:val="24"/>
        </w:rPr>
        <w:t xml:space="preserve">ktorým sa mení a dopĺňa zákon č. 251/2012 Z. z. o energetike a o zmene a doplnení niektorých zákonov v znení neskorších predpisov a ktorým sa mení a dopĺňa zákon </w:t>
      </w:r>
      <w:r w:rsidRPr="002F2FAA" w:rsidR="00251AA0">
        <w:rPr>
          <w:rFonts w:ascii="Times New Roman" w:hAnsi="Times New Roman"/>
          <w:b/>
          <w:bCs/>
          <w:sz w:val="24"/>
          <w:szCs w:val="24"/>
        </w:rPr>
        <w:t xml:space="preserve">              </w:t>
      </w:r>
      <w:r w:rsidRPr="002F2FAA">
        <w:rPr>
          <w:rFonts w:ascii="Times New Roman" w:hAnsi="Times New Roman"/>
          <w:b/>
          <w:bCs/>
          <w:sz w:val="24"/>
          <w:szCs w:val="24"/>
        </w:rPr>
        <w:t>č. 250/2012 Z. z. o regulácii v sieťových odvetviach v znení neskorších predpisov</w:t>
      </w:r>
    </w:p>
    <w:p w:rsidR="00E8401B" w:rsidRPr="002F2FAA" w:rsidP="00E8401B">
      <w:pPr>
        <w:bidi w:val="0"/>
        <w:spacing w:after="0" w:line="240" w:lineRule="auto"/>
        <w:jc w:val="center"/>
        <w:rPr>
          <w:rFonts w:ascii="Times New Roman" w:hAnsi="Times New Roman"/>
          <w:b/>
          <w:sz w:val="24"/>
          <w:szCs w:val="24"/>
        </w:rPr>
      </w:pPr>
    </w:p>
    <w:p w:rsidR="00E8401B" w:rsidRPr="002F2FAA" w:rsidP="00E8401B">
      <w:pPr>
        <w:bidi w:val="0"/>
        <w:spacing w:after="0" w:line="240" w:lineRule="auto"/>
        <w:jc w:val="center"/>
        <w:rPr>
          <w:rFonts w:ascii="Times New Roman" w:hAnsi="Times New Roman"/>
          <w:sz w:val="24"/>
          <w:szCs w:val="24"/>
        </w:rPr>
      </w:pPr>
    </w:p>
    <w:p w:rsidR="00E8401B" w:rsidRPr="002F2FAA" w:rsidP="00E8401B">
      <w:pPr>
        <w:bidi w:val="0"/>
        <w:spacing w:after="0" w:line="240" w:lineRule="auto"/>
        <w:rPr>
          <w:rFonts w:ascii="Times New Roman" w:hAnsi="Times New Roman"/>
          <w:sz w:val="24"/>
          <w:szCs w:val="24"/>
        </w:rPr>
      </w:pPr>
      <w:r w:rsidRPr="002F2FAA">
        <w:rPr>
          <w:rFonts w:ascii="Times New Roman" w:hAnsi="Times New Roman"/>
          <w:sz w:val="24"/>
          <w:szCs w:val="24"/>
        </w:rPr>
        <w:t xml:space="preserve">Národná rada Slovenskej republiky sa uzniesla na tomto zákone: </w:t>
      </w:r>
    </w:p>
    <w:p w:rsidR="00E8401B" w:rsidRPr="002F2FAA" w:rsidP="00E8401B">
      <w:pPr>
        <w:bidi w:val="0"/>
        <w:spacing w:after="0" w:line="240" w:lineRule="auto"/>
        <w:jc w:val="center"/>
        <w:rPr>
          <w:rFonts w:ascii="Times New Roman" w:hAnsi="Times New Roman"/>
          <w:b/>
          <w:bCs/>
          <w:sz w:val="24"/>
          <w:szCs w:val="24"/>
        </w:rPr>
      </w:pPr>
    </w:p>
    <w:p w:rsidR="00E8401B" w:rsidRPr="002F2FAA" w:rsidP="00E8401B">
      <w:pPr>
        <w:bidi w:val="0"/>
        <w:spacing w:after="0" w:line="240" w:lineRule="auto"/>
        <w:jc w:val="center"/>
        <w:rPr>
          <w:rFonts w:ascii="Times New Roman" w:hAnsi="Times New Roman"/>
          <w:b/>
          <w:bCs/>
          <w:sz w:val="24"/>
          <w:szCs w:val="24"/>
        </w:rPr>
      </w:pPr>
    </w:p>
    <w:p w:rsidR="00E8401B" w:rsidRPr="002F2FAA" w:rsidP="00E8401B">
      <w:pPr>
        <w:bidi w:val="0"/>
        <w:spacing w:after="0" w:line="240" w:lineRule="auto"/>
        <w:jc w:val="center"/>
        <w:rPr>
          <w:rFonts w:ascii="Times New Roman" w:hAnsi="Times New Roman"/>
          <w:b/>
          <w:bCs/>
          <w:sz w:val="24"/>
          <w:szCs w:val="24"/>
        </w:rPr>
      </w:pPr>
      <w:r w:rsidRPr="002F2FAA">
        <w:rPr>
          <w:rFonts w:ascii="Times New Roman" w:hAnsi="Times New Roman"/>
          <w:b/>
          <w:bCs/>
          <w:sz w:val="24"/>
          <w:szCs w:val="24"/>
        </w:rPr>
        <w:t>Čl. I</w:t>
      </w:r>
    </w:p>
    <w:p w:rsidR="00E8401B" w:rsidRPr="002F2FAA" w:rsidP="00E8401B">
      <w:pPr>
        <w:bidi w:val="0"/>
        <w:spacing w:after="0" w:line="240" w:lineRule="auto"/>
        <w:jc w:val="center"/>
        <w:rPr>
          <w:rFonts w:ascii="Times New Roman" w:hAnsi="Times New Roman"/>
          <w:b/>
          <w:bCs/>
          <w:sz w:val="24"/>
          <w:szCs w:val="24"/>
        </w:rPr>
      </w:pPr>
    </w:p>
    <w:p w:rsidR="00E8401B" w:rsidRPr="002F2FAA" w:rsidP="00251AA0">
      <w:pPr>
        <w:bidi w:val="0"/>
        <w:spacing w:after="0" w:line="240" w:lineRule="auto"/>
        <w:ind w:firstLine="567"/>
        <w:jc w:val="both"/>
        <w:rPr>
          <w:rFonts w:ascii="Times New Roman" w:hAnsi="Times New Roman"/>
          <w:bCs/>
          <w:sz w:val="24"/>
          <w:szCs w:val="24"/>
        </w:rPr>
      </w:pPr>
      <w:r w:rsidRPr="002F2FAA">
        <w:rPr>
          <w:rFonts w:ascii="Times New Roman" w:hAnsi="Times New Roman"/>
          <w:bCs/>
          <w:sz w:val="24"/>
          <w:szCs w:val="24"/>
        </w:rPr>
        <w:t xml:space="preserve">Zákon č. 251/2012 Z. z. o energetike a o zmene a doplnení niektorých zákonov v znení v znení zákona č. 391/2012 Z.z., zákona č. 352/2013 Z.z., zákona č. 382/2013 Z.z., zákona </w:t>
      </w:r>
      <w:r w:rsidRPr="002F2FAA" w:rsidR="00251AA0">
        <w:rPr>
          <w:rFonts w:ascii="Times New Roman" w:hAnsi="Times New Roman"/>
          <w:bCs/>
          <w:sz w:val="24"/>
          <w:szCs w:val="24"/>
        </w:rPr>
        <w:t xml:space="preserve">             </w:t>
      </w:r>
      <w:r w:rsidRPr="002F2FAA">
        <w:rPr>
          <w:rFonts w:ascii="Times New Roman" w:hAnsi="Times New Roman"/>
          <w:bCs/>
          <w:sz w:val="24"/>
          <w:szCs w:val="24"/>
        </w:rPr>
        <w:t>č. 102/2014 Z.z., zákona č. 321/2014 Z.z.</w:t>
      </w:r>
      <w:r w:rsidRPr="002F2FAA" w:rsidR="00897073">
        <w:rPr>
          <w:rFonts w:ascii="Times New Roman" w:hAnsi="Times New Roman"/>
          <w:bCs/>
          <w:sz w:val="24"/>
          <w:szCs w:val="24"/>
        </w:rPr>
        <w:t>,</w:t>
      </w:r>
      <w:r w:rsidRPr="002F2FAA">
        <w:rPr>
          <w:rFonts w:ascii="Times New Roman" w:hAnsi="Times New Roman"/>
          <w:bCs/>
          <w:sz w:val="24"/>
          <w:szCs w:val="24"/>
        </w:rPr>
        <w:t xml:space="preserve"> zákona č. 91/2016 Z. z. </w:t>
      </w:r>
      <w:r w:rsidRPr="002F2FAA" w:rsidR="00897073">
        <w:rPr>
          <w:rFonts w:ascii="Times New Roman" w:hAnsi="Times New Roman"/>
          <w:bCs/>
          <w:sz w:val="24"/>
          <w:szCs w:val="24"/>
        </w:rPr>
        <w:t xml:space="preserve">a zákona č. </w:t>
      </w:r>
      <w:r w:rsidRPr="002F2FAA" w:rsidR="00C21A3E">
        <w:rPr>
          <w:rFonts w:ascii="Times New Roman" w:hAnsi="Times New Roman"/>
          <w:bCs/>
          <w:sz w:val="24"/>
          <w:szCs w:val="24"/>
        </w:rPr>
        <w:t xml:space="preserve">315/2016 Z. z. </w:t>
      </w:r>
      <w:r w:rsidRPr="002F2FAA" w:rsidR="00897073">
        <w:rPr>
          <w:rFonts w:ascii="Times New Roman" w:hAnsi="Times New Roman"/>
          <w:bCs/>
          <w:sz w:val="24"/>
          <w:szCs w:val="24"/>
        </w:rPr>
        <w:t xml:space="preserve"> </w:t>
      </w:r>
      <w:r w:rsidRPr="002F2FAA">
        <w:rPr>
          <w:rFonts w:ascii="Times New Roman" w:hAnsi="Times New Roman"/>
          <w:bCs/>
          <w:sz w:val="24"/>
          <w:szCs w:val="24"/>
        </w:rPr>
        <w:t>sa mení a dopĺňa takto:</w:t>
      </w:r>
    </w:p>
    <w:p w:rsidR="00E8401B" w:rsidRPr="002F2FAA" w:rsidP="00251AA0">
      <w:pPr>
        <w:tabs>
          <w:tab w:val="left" w:pos="851"/>
        </w:tabs>
        <w:bidi w:val="0"/>
        <w:spacing w:after="0" w:line="240" w:lineRule="auto"/>
        <w:ind w:firstLine="284"/>
        <w:jc w:val="both"/>
        <w:rPr>
          <w:rFonts w:ascii="Times New Roman" w:hAnsi="Times New Roman"/>
          <w:bCs/>
          <w:sz w:val="24"/>
          <w:szCs w:val="24"/>
        </w:rPr>
      </w:pPr>
    </w:p>
    <w:p w:rsidR="00E8401B" w:rsidRPr="002F2FAA" w:rsidP="00E8401B">
      <w:pPr>
        <w:numPr>
          <w:numId w:val="20"/>
        </w:numPr>
        <w:autoSpaceDE w:val="0"/>
        <w:autoSpaceDN w:val="0"/>
        <w:bidi w:val="0"/>
        <w:spacing w:after="0" w:line="240" w:lineRule="auto"/>
        <w:ind w:left="567" w:hanging="567"/>
        <w:jc w:val="both"/>
        <w:rPr>
          <w:rFonts w:ascii="Times New Roman" w:hAnsi="Times New Roman"/>
          <w:bCs/>
          <w:sz w:val="24"/>
          <w:szCs w:val="24"/>
        </w:rPr>
      </w:pPr>
      <w:r w:rsidRPr="002F2FAA">
        <w:rPr>
          <w:rFonts w:ascii="Times New Roman" w:hAnsi="Times New Roman"/>
          <w:bCs/>
          <w:sz w:val="24"/>
          <w:szCs w:val="24"/>
        </w:rPr>
        <w:t>V § 24 odsek 2 znie:</w:t>
      </w:r>
    </w:p>
    <w:p w:rsidR="00E8401B" w:rsidRPr="002F2FAA" w:rsidP="00E8401B">
      <w:pPr>
        <w:autoSpaceDE w:val="0"/>
        <w:autoSpaceDN w:val="0"/>
        <w:bidi w:val="0"/>
        <w:spacing w:after="0" w:line="240" w:lineRule="auto"/>
        <w:rPr>
          <w:rFonts w:ascii="Times New Roman" w:hAnsi="Times New Roman"/>
          <w:bCs/>
          <w:sz w:val="24"/>
          <w:szCs w:val="24"/>
        </w:rPr>
      </w:pPr>
    </w:p>
    <w:p w:rsidR="00E8401B" w:rsidRPr="002F2FAA" w:rsidP="00897073">
      <w:pPr>
        <w:autoSpaceDE w:val="0"/>
        <w:autoSpaceDN w:val="0"/>
        <w:bidi w:val="0"/>
        <w:spacing w:after="0" w:line="240" w:lineRule="auto"/>
        <w:jc w:val="both"/>
        <w:rPr>
          <w:rFonts w:ascii="Times New Roman" w:hAnsi="Times New Roman"/>
          <w:bCs/>
          <w:sz w:val="24"/>
          <w:szCs w:val="24"/>
        </w:rPr>
      </w:pPr>
      <w:r w:rsidRPr="002F2FAA">
        <w:rPr>
          <w:rFonts w:ascii="Times New Roman" w:hAnsi="Times New Roman"/>
          <w:bCs/>
          <w:sz w:val="24"/>
          <w:szCs w:val="24"/>
        </w:rPr>
        <w:t>„(2) Všeobecný hospodársky záujem v energetike schvaľuje vláda na návrh ministerstva na obdobie najviac troch rokov s možnosťou opakovaného schválenia. Ministerstvo pred predložením návrhu na schválenie všeobecného hospodárskeho záujmu vypracuje a predloží vláde analýzu primeranosti navrhovaných opatrení vo všeobecnom hospodárskom záujme a ich vplyvov na účastníkov trhu s elektrinou a trhu s plynom, na spotrebiteľov, na rozpočet verejnej správy</w:t>
      </w:r>
      <w:r w:rsidRPr="002F2FAA" w:rsidR="00FE7970">
        <w:rPr>
          <w:rFonts w:ascii="Times New Roman" w:hAnsi="Times New Roman"/>
          <w:bCs/>
          <w:sz w:val="24"/>
          <w:szCs w:val="24"/>
        </w:rPr>
        <w:t xml:space="preserve">, </w:t>
      </w:r>
      <w:r w:rsidRPr="002F2FAA">
        <w:rPr>
          <w:rFonts w:ascii="Times New Roman" w:hAnsi="Times New Roman"/>
          <w:bCs/>
          <w:sz w:val="24"/>
          <w:szCs w:val="24"/>
        </w:rPr>
        <w:t>na podnikateľské prostredie</w:t>
      </w:r>
      <w:r w:rsidRPr="002F2FAA" w:rsidR="00FE7970">
        <w:rPr>
          <w:rFonts w:ascii="Times New Roman" w:hAnsi="Times New Roman"/>
          <w:bCs/>
          <w:sz w:val="24"/>
          <w:szCs w:val="24"/>
        </w:rPr>
        <w:t>, na životné prostredie, na zdravie obyvateľstva</w:t>
      </w:r>
      <w:r w:rsidRPr="002F2FAA" w:rsidR="00872081">
        <w:rPr>
          <w:rFonts w:ascii="Times New Roman" w:hAnsi="Times New Roman"/>
          <w:bCs/>
          <w:sz w:val="24"/>
          <w:szCs w:val="24"/>
        </w:rPr>
        <w:t>,</w:t>
      </w:r>
      <w:r w:rsidRPr="002F2FAA" w:rsidR="00FE7970">
        <w:rPr>
          <w:rFonts w:ascii="Times New Roman" w:hAnsi="Times New Roman"/>
          <w:bCs/>
          <w:sz w:val="24"/>
          <w:szCs w:val="24"/>
        </w:rPr>
        <w:t xml:space="preserve"> a</w:t>
      </w:r>
      <w:r w:rsidRPr="002F2FAA" w:rsidR="00872081">
        <w:rPr>
          <w:rFonts w:ascii="Times New Roman" w:hAnsi="Times New Roman"/>
          <w:bCs/>
          <w:sz w:val="24"/>
          <w:szCs w:val="24"/>
        </w:rPr>
        <w:t xml:space="preserve">ko aj </w:t>
      </w:r>
      <w:r w:rsidRPr="002F2FAA" w:rsidR="00FE7970">
        <w:rPr>
          <w:rFonts w:ascii="Times New Roman" w:hAnsi="Times New Roman"/>
          <w:bCs/>
          <w:sz w:val="24"/>
          <w:szCs w:val="24"/>
        </w:rPr>
        <w:t>sociáln</w:t>
      </w:r>
      <w:r w:rsidRPr="002F2FAA" w:rsidR="00872081">
        <w:rPr>
          <w:rFonts w:ascii="Times New Roman" w:hAnsi="Times New Roman"/>
          <w:bCs/>
          <w:sz w:val="24"/>
          <w:szCs w:val="24"/>
        </w:rPr>
        <w:t>ych</w:t>
      </w:r>
      <w:r w:rsidRPr="002F2FAA" w:rsidR="00FE7970">
        <w:rPr>
          <w:rFonts w:ascii="Times New Roman" w:hAnsi="Times New Roman"/>
          <w:bCs/>
          <w:sz w:val="24"/>
          <w:szCs w:val="24"/>
        </w:rPr>
        <w:t xml:space="preserve"> vplyv</w:t>
      </w:r>
      <w:r w:rsidRPr="002F2FAA" w:rsidR="00872081">
        <w:rPr>
          <w:rFonts w:ascii="Times New Roman" w:hAnsi="Times New Roman"/>
          <w:bCs/>
          <w:sz w:val="24"/>
          <w:szCs w:val="24"/>
        </w:rPr>
        <w:t>ov</w:t>
      </w:r>
      <w:r w:rsidRPr="002F2FAA">
        <w:rPr>
          <w:rFonts w:ascii="Times New Roman" w:hAnsi="Times New Roman"/>
          <w:bCs/>
          <w:sz w:val="24"/>
          <w:szCs w:val="24"/>
        </w:rPr>
        <w:t>. K návrhu na schválenie všeobecného hospodárskeho záujmu sa prikladá aj stanovisko Protimonopolného úradu Slovenskej republiky podľa osobitného predpisu.</w:t>
      </w:r>
      <w:r w:rsidRPr="002F2FAA">
        <w:rPr>
          <w:rFonts w:ascii="Times New Roman" w:hAnsi="Times New Roman"/>
          <w:bCs/>
          <w:sz w:val="24"/>
          <w:szCs w:val="24"/>
          <w:vertAlign w:val="superscript"/>
        </w:rPr>
        <w:t>49a</w:t>
      </w:r>
      <w:r w:rsidRPr="002F2FAA">
        <w:rPr>
          <w:rFonts w:ascii="Times New Roman" w:hAnsi="Times New Roman"/>
          <w:bCs/>
          <w:sz w:val="24"/>
          <w:szCs w:val="24"/>
        </w:rPr>
        <w:t>) Vláda schváli všeobecný hospodársky záujem, iba ak analýza ministerstva preukáže primeranosť a opodstatnenie navrhovaných opatrení vo všeobecnom hospodárskom záujme a ak je štátna pomoc, ktorú obsahujú navrhované opatrenia vo všeobecnom hospodárskom záujme v súlade s osobitnými predpismi</w:t>
      </w:r>
      <w:r w:rsidRPr="002F2FAA">
        <w:rPr>
          <w:rFonts w:ascii="Times New Roman" w:hAnsi="Times New Roman"/>
          <w:bCs/>
          <w:sz w:val="24"/>
          <w:szCs w:val="24"/>
          <w:vertAlign w:val="superscript"/>
        </w:rPr>
        <w:t>49b</w:t>
      </w:r>
      <w:r w:rsidRPr="002F2FAA">
        <w:rPr>
          <w:rFonts w:ascii="Times New Roman" w:hAnsi="Times New Roman"/>
          <w:bCs/>
          <w:sz w:val="24"/>
          <w:szCs w:val="24"/>
        </w:rPr>
        <w:t>) alebo ak je vopred schválená Komisiou.“.</w:t>
      </w:r>
    </w:p>
    <w:p w:rsidR="00E8401B" w:rsidRPr="002F2FAA" w:rsidP="00E8401B">
      <w:pPr>
        <w:autoSpaceDE w:val="0"/>
        <w:autoSpaceDN w:val="0"/>
        <w:bidi w:val="0"/>
        <w:spacing w:after="0" w:line="240" w:lineRule="auto"/>
        <w:rPr>
          <w:rFonts w:ascii="Times New Roman" w:hAnsi="Times New Roman"/>
          <w:bCs/>
          <w:sz w:val="24"/>
          <w:szCs w:val="24"/>
        </w:rPr>
      </w:pPr>
    </w:p>
    <w:p w:rsidR="00E8401B" w:rsidRPr="002F2FAA" w:rsidP="00E8401B">
      <w:pPr>
        <w:bidi w:val="0"/>
        <w:spacing w:after="0" w:line="240" w:lineRule="auto"/>
        <w:rPr>
          <w:rFonts w:ascii="Times New Roman" w:hAnsi="Times New Roman"/>
          <w:sz w:val="24"/>
        </w:rPr>
      </w:pPr>
      <w:r w:rsidRPr="002F2FAA">
        <w:rPr>
          <w:rFonts w:ascii="Times New Roman" w:hAnsi="Times New Roman"/>
          <w:sz w:val="24"/>
        </w:rPr>
        <w:t xml:space="preserve">Poznámky pod čiarou k odkazom 49a a 49b znejú: </w:t>
      </w:r>
    </w:p>
    <w:p w:rsidR="00E8401B" w:rsidRPr="002F2FAA" w:rsidP="00E8401B">
      <w:pPr>
        <w:autoSpaceDE w:val="0"/>
        <w:autoSpaceDN w:val="0"/>
        <w:bidi w:val="0"/>
        <w:spacing w:after="0" w:line="240" w:lineRule="auto"/>
        <w:rPr>
          <w:rFonts w:ascii="Times New Roman" w:hAnsi="Times New Roman"/>
          <w:sz w:val="24"/>
        </w:rPr>
      </w:pPr>
      <w:r w:rsidRPr="002F2FAA">
        <w:rPr>
          <w:rFonts w:ascii="Times New Roman" w:hAnsi="Times New Roman"/>
          <w:sz w:val="24"/>
        </w:rPr>
        <w:t>„</w:t>
      </w:r>
      <w:r w:rsidRPr="002F2FAA">
        <w:rPr>
          <w:rFonts w:ascii="Times New Roman" w:hAnsi="Times New Roman"/>
          <w:sz w:val="24"/>
          <w:vertAlign w:val="superscript"/>
        </w:rPr>
        <w:t>49a</w:t>
      </w:r>
      <w:r w:rsidRPr="002F2FAA">
        <w:rPr>
          <w:rFonts w:ascii="Times New Roman" w:hAnsi="Times New Roman"/>
          <w:sz w:val="24"/>
        </w:rPr>
        <w:t>) § 7 ods. 4 a § 8 ods. 2 a 3 zákona č. 358/2015 Z. z. o úprave niektorých vzťahov v oblasti štátnej pomoci a minimálnej pomoci a o zmene a doplnení niektorých zákonov (zákon o štátnej pomoci).</w:t>
      </w:r>
    </w:p>
    <w:p w:rsidR="00E8401B" w:rsidRPr="002F2FAA" w:rsidP="00E8401B">
      <w:pPr>
        <w:autoSpaceDE w:val="0"/>
        <w:autoSpaceDN w:val="0"/>
        <w:bidi w:val="0"/>
        <w:spacing w:after="0" w:line="240" w:lineRule="auto"/>
        <w:rPr>
          <w:rFonts w:ascii="Times New Roman" w:hAnsi="Times New Roman"/>
          <w:bCs/>
          <w:sz w:val="24"/>
          <w:szCs w:val="24"/>
        </w:rPr>
      </w:pPr>
      <w:r w:rsidRPr="002F2FAA">
        <w:rPr>
          <w:rFonts w:ascii="Times New Roman" w:hAnsi="Times New Roman"/>
          <w:sz w:val="24"/>
          <w:vertAlign w:val="superscript"/>
        </w:rPr>
        <w:t>49b</w:t>
      </w:r>
      <w:r w:rsidRPr="002F2FAA">
        <w:rPr>
          <w:rFonts w:ascii="Times New Roman" w:hAnsi="Times New Roman"/>
          <w:sz w:val="24"/>
        </w:rPr>
        <w:t>) Napríklad nariadenie (EÚ) č. 651/2014 zo 17. júna 2014 o vyhlásení určitých kategórií pomoci za zlučiteľné s vnútorným trhom podľa článkov 107 a 108 zmluvy (Ú.v. EÚ L 187, 26.6.2014).“.</w:t>
      </w:r>
    </w:p>
    <w:p w:rsidR="00E8401B" w:rsidRPr="002F2FAA" w:rsidP="00E8401B">
      <w:pPr>
        <w:autoSpaceDE w:val="0"/>
        <w:autoSpaceDN w:val="0"/>
        <w:bidi w:val="0"/>
        <w:spacing w:after="0" w:line="240" w:lineRule="auto"/>
        <w:rPr>
          <w:rFonts w:ascii="Times New Roman" w:hAnsi="Times New Roman"/>
          <w:bCs/>
          <w:sz w:val="24"/>
          <w:szCs w:val="24"/>
        </w:rPr>
      </w:pPr>
    </w:p>
    <w:p w:rsidR="00E8401B" w:rsidRPr="002F2FAA" w:rsidP="00897073">
      <w:pPr>
        <w:autoSpaceDE w:val="0"/>
        <w:autoSpaceDN w:val="0"/>
        <w:bidi w:val="0"/>
        <w:spacing w:after="0" w:line="240" w:lineRule="auto"/>
        <w:jc w:val="both"/>
        <w:rPr>
          <w:rFonts w:ascii="Times New Roman" w:hAnsi="Times New Roman"/>
          <w:bCs/>
          <w:sz w:val="24"/>
          <w:szCs w:val="24"/>
        </w:rPr>
      </w:pPr>
      <w:r w:rsidRPr="002F2FAA">
        <w:rPr>
          <w:rFonts w:ascii="Times New Roman" w:hAnsi="Times New Roman"/>
          <w:bCs/>
          <w:sz w:val="24"/>
          <w:szCs w:val="24"/>
        </w:rPr>
        <w:t>2.</w:t>
        <w:tab/>
        <w:t>V § 24 ods. 4 sa za slová „kontrolovateľné,“ vkladajú slová „primerané,“ a za prvú vetu sa vkladá nová druhá veta, ktorá znie: „Povinnosti podľa odseku 3 môžu byť uložené iba v rozsahu a na čas, ktoré sú nevyhnutné na dosiahnutie účelu schváleného všeobecného hospodárskeho záujmu.“.</w:t>
      </w:r>
    </w:p>
    <w:p w:rsidR="00E8401B" w:rsidRPr="002F2FAA" w:rsidP="00E8401B">
      <w:pPr>
        <w:autoSpaceDE w:val="0"/>
        <w:autoSpaceDN w:val="0"/>
        <w:bidi w:val="0"/>
        <w:spacing w:after="0" w:line="240" w:lineRule="auto"/>
        <w:rPr>
          <w:rFonts w:ascii="Times New Roman" w:hAnsi="Times New Roman"/>
          <w:bCs/>
          <w:sz w:val="24"/>
          <w:szCs w:val="24"/>
        </w:rPr>
      </w:pPr>
    </w:p>
    <w:p w:rsidR="00E8401B" w:rsidRPr="002F2FAA" w:rsidP="00897073">
      <w:pPr>
        <w:autoSpaceDE w:val="0"/>
        <w:autoSpaceDN w:val="0"/>
        <w:bidi w:val="0"/>
        <w:spacing w:after="0" w:line="240" w:lineRule="auto"/>
        <w:jc w:val="both"/>
        <w:rPr>
          <w:rFonts w:ascii="Times New Roman" w:hAnsi="Times New Roman"/>
          <w:bCs/>
          <w:sz w:val="24"/>
          <w:szCs w:val="24"/>
        </w:rPr>
      </w:pPr>
      <w:r w:rsidRPr="002F2FAA">
        <w:rPr>
          <w:rFonts w:ascii="Times New Roman" w:hAnsi="Times New Roman"/>
          <w:bCs/>
          <w:sz w:val="24"/>
          <w:szCs w:val="24"/>
        </w:rPr>
        <w:t>3.</w:t>
        <w:tab/>
        <w:t>§ 24 sa dopĺňa odsekom 5, ktorý znie:</w:t>
      </w:r>
    </w:p>
    <w:p w:rsidR="00E8401B" w:rsidRPr="002F2FAA" w:rsidP="00897073">
      <w:pPr>
        <w:autoSpaceDE w:val="0"/>
        <w:autoSpaceDN w:val="0"/>
        <w:bidi w:val="0"/>
        <w:spacing w:after="0" w:line="240" w:lineRule="auto"/>
        <w:jc w:val="both"/>
        <w:rPr>
          <w:rFonts w:ascii="Times New Roman" w:hAnsi="Times New Roman"/>
          <w:bCs/>
          <w:sz w:val="24"/>
          <w:szCs w:val="24"/>
        </w:rPr>
      </w:pPr>
      <w:r w:rsidRPr="002F2FAA">
        <w:rPr>
          <w:rFonts w:ascii="Times New Roman" w:hAnsi="Times New Roman"/>
          <w:bCs/>
          <w:sz w:val="24"/>
          <w:szCs w:val="24"/>
        </w:rPr>
        <w:t>„(5) Ak vláda schváli všeobecný hospodársky záujem, ministerstvo každoročne aktualizuje analýzu vypracovanú podľa odseku 2 a do 31. mája ju predloží vláde. Vláda zruší rozhodnutie o všeobecnom hospodárskom záujme, ak sa nepreukáže primeranosť alebo ďalšia opodstatnenosť opatrení uložených vo všeobecnom hospodárskom záujme alebo ak sa preukáže, že všeobecný hospodársky záujem bol schválený na základe nesprávnych alebo neúplných údajov alebo sa zmenili podmienky alebo skutočnosti, na základe ktorých bol všeobecný hospodársky záujem schválený. Zrušením všeobecného hospodárskeho záujmu vládou alebo uplynutím doby trvania všeobecného hospodárskeho záujmu zanikajú povinnosti uložené vo všeobecnom hospodárskom záujme podľa odseku 3.“.</w:t>
      </w:r>
    </w:p>
    <w:p w:rsidR="00E8401B" w:rsidRPr="002F2FAA" w:rsidP="00897073">
      <w:pPr>
        <w:autoSpaceDE w:val="0"/>
        <w:autoSpaceDN w:val="0"/>
        <w:bidi w:val="0"/>
        <w:spacing w:after="0" w:line="240" w:lineRule="auto"/>
        <w:jc w:val="both"/>
        <w:rPr>
          <w:rFonts w:ascii="Times New Roman" w:hAnsi="Times New Roman"/>
          <w:bCs/>
          <w:sz w:val="24"/>
          <w:szCs w:val="24"/>
        </w:rPr>
      </w:pPr>
    </w:p>
    <w:p w:rsidR="00E8401B" w:rsidRPr="002F2FAA" w:rsidP="00E8401B">
      <w:pPr>
        <w:autoSpaceDE w:val="0"/>
        <w:autoSpaceDN w:val="0"/>
        <w:bidi w:val="0"/>
        <w:spacing w:after="0" w:line="240" w:lineRule="auto"/>
        <w:rPr>
          <w:rFonts w:ascii="Times New Roman" w:hAnsi="Times New Roman"/>
          <w:bCs/>
          <w:sz w:val="24"/>
          <w:szCs w:val="24"/>
        </w:rPr>
      </w:pPr>
      <w:r w:rsidRPr="002F2FAA">
        <w:rPr>
          <w:rFonts w:ascii="Times New Roman" w:hAnsi="Times New Roman"/>
          <w:bCs/>
          <w:sz w:val="24"/>
          <w:szCs w:val="24"/>
        </w:rPr>
        <w:t>4.</w:t>
        <w:tab/>
        <w:t>§ 38 sa dopĺňa odsekom 5, ktorý znie:</w:t>
      </w:r>
    </w:p>
    <w:p w:rsidR="00E8401B" w:rsidRPr="002F2FAA" w:rsidP="00E8401B">
      <w:pPr>
        <w:autoSpaceDE w:val="0"/>
        <w:autoSpaceDN w:val="0"/>
        <w:bidi w:val="0"/>
        <w:spacing w:after="0" w:line="240" w:lineRule="auto"/>
        <w:rPr>
          <w:rFonts w:ascii="Times New Roman" w:hAnsi="Times New Roman"/>
          <w:bCs/>
          <w:sz w:val="24"/>
          <w:szCs w:val="24"/>
        </w:rPr>
      </w:pPr>
      <w:r w:rsidRPr="002F2FAA">
        <w:rPr>
          <w:rFonts w:ascii="Times New Roman" w:hAnsi="Times New Roman"/>
          <w:bCs/>
          <w:sz w:val="24"/>
          <w:szCs w:val="24"/>
        </w:rPr>
        <w:t>„(5) Na všeobecný hospodársky záujem a ukladanie povinností vo všeobecnom hospodárskom záujme podľa odsekov 1 až 4 sa primerane vzťahujú ustanovenia § 24.“.</w:t>
      </w:r>
    </w:p>
    <w:p w:rsidR="00E8401B" w:rsidRPr="002F2FAA" w:rsidP="00E8401B">
      <w:pPr>
        <w:autoSpaceDE w:val="0"/>
        <w:autoSpaceDN w:val="0"/>
        <w:bidi w:val="0"/>
        <w:spacing w:after="0" w:line="240" w:lineRule="auto"/>
        <w:rPr>
          <w:rFonts w:ascii="Times New Roman" w:hAnsi="Times New Roman"/>
          <w:bCs/>
          <w:sz w:val="24"/>
          <w:szCs w:val="24"/>
        </w:rPr>
      </w:pPr>
    </w:p>
    <w:p w:rsidR="00E8401B" w:rsidRPr="002F2FAA" w:rsidP="00E8401B">
      <w:pPr>
        <w:autoSpaceDE w:val="0"/>
        <w:autoSpaceDN w:val="0"/>
        <w:bidi w:val="0"/>
        <w:spacing w:after="0" w:line="240" w:lineRule="auto"/>
        <w:rPr>
          <w:rFonts w:ascii="Times New Roman" w:hAnsi="Times New Roman"/>
          <w:sz w:val="24"/>
        </w:rPr>
      </w:pPr>
      <w:r w:rsidRPr="002F2FAA">
        <w:rPr>
          <w:rFonts w:ascii="Times New Roman" w:hAnsi="Times New Roman"/>
          <w:sz w:val="24"/>
        </w:rPr>
        <w:t>5.</w:t>
        <w:tab/>
        <w:t>Za § 96</w:t>
      </w:r>
      <w:r w:rsidRPr="002F2FAA" w:rsidR="00897073">
        <w:rPr>
          <w:rFonts w:ascii="Times New Roman" w:hAnsi="Times New Roman"/>
          <w:sz w:val="24"/>
        </w:rPr>
        <w:t>d sa vkladá § 96e</w:t>
      </w:r>
      <w:r w:rsidRPr="002F2FAA">
        <w:rPr>
          <w:rFonts w:ascii="Times New Roman" w:hAnsi="Times New Roman"/>
          <w:sz w:val="24"/>
        </w:rPr>
        <w:t>, ktorý vrátane nadpisu znie:</w:t>
      </w:r>
    </w:p>
    <w:p w:rsidR="00E8401B" w:rsidRPr="002F2FAA" w:rsidP="00E8401B">
      <w:pPr>
        <w:autoSpaceDE w:val="0"/>
        <w:autoSpaceDN w:val="0"/>
        <w:bidi w:val="0"/>
        <w:spacing w:after="0" w:line="240" w:lineRule="auto"/>
        <w:rPr>
          <w:rFonts w:ascii="Times New Roman" w:hAnsi="Times New Roman"/>
          <w:sz w:val="24"/>
        </w:rPr>
      </w:pPr>
    </w:p>
    <w:p w:rsidR="00E8401B" w:rsidRPr="002F2FAA" w:rsidP="00E8401B">
      <w:pPr>
        <w:autoSpaceDE w:val="0"/>
        <w:autoSpaceDN w:val="0"/>
        <w:bidi w:val="0"/>
        <w:spacing w:after="0" w:line="240" w:lineRule="auto"/>
        <w:jc w:val="center"/>
        <w:rPr>
          <w:rFonts w:ascii="Times New Roman" w:hAnsi="Times New Roman"/>
          <w:b/>
          <w:sz w:val="24"/>
        </w:rPr>
      </w:pPr>
      <w:r w:rsidRPr="002F2FAA">
        <w:rPr>
          <w:rFonts w:ascii="Times New Roman" w:hAnsi="Times New Roman"/>
          <w:sz w:val="24"/>
        </w:rPr>
        <w:t>„</w:t>
      </w:r>
      <w:r w:rsidRPr="002F2FAA">
        <w:rPr>
          <w:rFonts w:ascii="Times New Roman" w:hAnsi="Times New Roman"/>
          <w:b/>
          <w:sz w:val="24"/>
        </w:rPr>
        <w:t>§ 96</w:t>
      </w:r>
      <w:r w:rsidRPr="002F2FAA" w:rsidR="00897073">
        <w:rPr>
          <w:rFonts w:ascii="Times New Roman" w:hAnsi="Times New Roman"/>
          <w:b/>
          <w:sz w:val="24"/>
        </w:rPr>
        <w:t>e</w:t>
      </w:r>
    </w:p>
    <w:p w:rsidR="00E8401B" w:rsidRPr="002F2FAA" w:rsidP="00E8401B">
      <w:pPr>
        <w:autoSpaceDE w:val="0"/>
        <w:autoSpaceDN w:val="0"/>
        <w:bidi w:val="0"/>
        <w:spacing w:after="0" w:line="240" w:lineRule="auto"/>
        <w:jc w:val="center"/>
        <w:rPr>
          <w:rFonts w:ascii="Times New Roman" w:hAnsi="Times New Roman"/>
          <w:sz w:val="24"/>
        </w:rPr>
      </w:pPr>
      <w:r w:rsidRPr="002F2FAA">
        <w:rPr>
          <w:rFonts w:ascii="Times New Roman" w:hAnsi="Times New Roman"/>
          <w:b/>
          <w:sz w:val="24"/>
        </w:rPr>
        <w:t>Prechodné ustanovenia účinné od 1. januára 201</w:t>
      </w:r>
      <w:r w:rsidRPr="002F2FAA" w:rsidR="00897073">
        <w:rPr>
          <w:rFonts w:ascii="Times New Roman" w:hAnsi="Times New Roman"/>
          <w:b/>
          <w:sz w:val="24"/>
        </w:rPr>
        <w:t>8</w:t>
      </w:r>
    </w:p>
    <w:p w:rsidR="00E8401B" w:rsidRPr="002F2FAA" w:rsidP="00E8401B">
      <w:pPr>
        <w:autoSpaceDE w:val="0"/>
        <w:autoSpaceDN w:val="0"/>
        <w:bidi w:val="0"/>
        <w:spacing w:after="0" w:line="240" w:lineRule="auto"/>
        <w:rPr>
          <w:rFonts w:ascii="Times New Roman" w:hAnsi="Times New Roman"/>
          <w:sz w:val="24"/>
        </w:rPr>
      </w:pPr>
      <w:r w:rsidRPr="002F2FAA">
        <w:rPr>
          <w:rFonts w:ascii="Times New Roman" w:hAnsi="Times New Roman"/>
          <w:sz w:val="24"/>
        </w:rPr>
        <w:t xml:space="preserve">  </w:t>
      </w:r>
    </w:p>
    <w:p w:rsidR="00E8401B" w:rsidRPr="002F2FAA" w:rsidP="00897073">
      <w:pPr>
        <w:autoSpaceDE w:val="0"/>
        <w:autoSpaceDN w:val="0"/>
        <w:bidi w:val="0"/>
        <w:spacing w:after="0" w:line="240" w:lineRule="auto"/>
        <w:ind w:firstLine="567"/>
        <w:jc w:val="both"/>
        <w:rPr>
          <w:rFonts w:ascii="Times New Roman" w:hAnsi="Times New Roman"/>
          <w:sz w:val="24"/>
        </w:rPr>
      </w:pPr>
      <w:r w:rsidRPr="002F2FAA">
        <w:rPr>
          <w:rFonts w:ascii="Times New Roman" w:hAnsi="Times New Roman"/>
          <w:sz w:val="24"/>
        </w:rPr>
        <w:t>(1) Všeobecný hospodársky záujem schválený vládou pred 31. de</w:t>
      </w:r>
      <w:r w:rsidRPr="002F2FAA" w:rsidR="00897073">
        <w:rPr>
          <w:rFonts w:ascii="Times New Roman" w:hAnsi="Times New Roman"/>
          <w:sz w:val="24"/>
        </w:rPr>
        <w:t>cembrom 2017</w:t>
      </w:r>
      <w:r w:rsidRPr="002F2FAA">
        <w:rPr>
          <w:rFonts w:ascii="Times New Roman" w:hAnsi="Times New Roman"/>
          <w:sz w:val="24"/>
        </w:rPr>
        <w:t xml:space="preserve"> sa považuje za všeobecný hospodársky záujem schválený podľa zá</w:t>
      </w:r>
      <w:r w:rsidRPr="002F2FAA" w:rsidR="00897073">
        <w:rPr>
          <w:rFonts w:ascii="Times New Roman" w:hAnsi="Times New Roman"/>
          <w:sz w:val="24"/>
        </w:rPr>
        <w:t>kona účinného od 1. januára 2018</w:t>
      </w:r>
      <w:r w:rsidRPr="002F2FAA">
        <w:rPr>
          <w:rFonts w:ascii="Times New Roman" w:hAnsi="Times New Roman"/>
          <w:sz w:val="24"/>
        </w:rPr>
        <w:t>. Všeobecný hospodársky záujem schválen</w:t>
      </w:r>
      <w:r w:rsidRPr="002F2FAA" w:rsidR="00897073">
        <w:rPr>
          <w:rFonts w:ascii="Times New Roman" w:hAnsi="Times New Roman"/>
          <w:sz w:val="24"/>
        </w:rPr>
        <w:t>ý vládou pred 31. decembrom 2017</w:t>
      </w:r>
      <w:r w:rsidRPr="002F2FAA">
        <w:rPr>
          <w:rFonts w:ascii="Times New Roman" w:hAnsi="Times New Roman"/>
          <w:sz w:val="24"/>
        </w:rPr>
        <w:t xml:space="preserve"> však zostáva v platnosti najdlhšie</w:t>
      </w:r>
      <w:r w:rsidRPr="002F2FAA" w:rsidR="00897073">
        <w:rPr>
          <w:rFonts w:ascii="Times New Roman" w:hAnsi="Times New Roman"/>
          <w:sz w:val="24"/>
        </w:rPr>
        <w:t xml:space="preserve"> do 31. decembra 2018</w:t>
      </w:r>
      <w:r w:rsidRPr="002F2FAA">
        <w:rPr>
          <w:rFonts w:ascii="Times New Roman" w:hAnsi="Times New Roman"/>
          <w:sz w:val="24"/>
        </w:rPr>
        <w:t>.</w:t>
      </w:r>
    </w:p>
    <w:p w:rsidR="00E8401B" w:rsidRPr="002F2FAA" w:rsidP="00897073">
      <w:pPr>
        <w:autoSpaceDE w:val="0"/>
        <w:autoSpaceDN w:val="0"/>
        <w:bidi w:val="0"/>
        <w:spacing w:after="0" w:line="240" w:lineRule="auto"/>
        <w:ind w:firstLine="567"/>
        <w:jc w:val="both"/>
        <w:rPr>
          <w:rFonts w:ascii="Times New Roman" w:hAnsi="Times New Roman"/>
          <w:sz w:val="24"/>
        </w:rPr>
      </w:pPr>
    </w:p>
    <w:p w:rsidR="00E8401B" w:rsidRPr="002F2FAA" w:rsidP="00897073">
      <w:pPr>
        <w:autoSpaceDE w:val="0"/>
        <w:autoSpaceDN w:val="0"/>
        <w:bidi w:val="0"/>
        <w:spacing w:after="0" w:line="240" w:lineRule="auto"/>
        <w:ind w:firstLine="567"/>
        <w:jc w:val="both"/>
        <w:rPr>
          <w:rFonts w:ascii="Times New Roman" w:hAnsi="Times New Roman"/>
          <w:sz w:val="24"/>
        </w:rPr>
      </w:pPr>
      <w:r w:rsidRPr="002F2FAA">
        <w:rPr>
          <w:rFonts w:ascii="Times New Roman" w:hAnsi="Times New Roman"/>
          <w:sz w:val="24"/>
        </w:rPr>
        <w:t>(2) Povinnosti vo všeobecnom hospodárskom záujme uložené ministerstvom podľa § 24 ods. 3 a § 38 ods. 1 a 3 zákona účinného do 31. decembra 201</w:t>
      </w:r>
      <w:r w:rsidRPr="002F2FAA" w:rsidR="00897073">
        <w:rPr>
          <w:rFonts w:ascii="Times New Roman" w:hAnsi="Times New Roman"/>
          <w:sz w:val="24"/>
        </w:rPr>
        <w:t>7</w:t>
      </w:r>
      <w:r w:rsidRPr="002F2FAA">
        <w:rPr>
          <w:rFonts w:ascii="Times New Roman" w:hAnsi="Times New Roman"/>
          <w:sz w:val="24"/>
        </w:rPr>
        <w:t xml:space="preserve"> sa považujú za povinnosti uložené vo všeobecnom hospodárskom záujme podľa zákona účinného od 1. januára 201</w:t>
      </w:r>
      <w:r w:rsidRPr="002F2FAA" w:rsidR="00897073">
        <w:rPr>
          <w:rFonts w:ascii="Times New Roman" w:hAnsi="Times New Roman"/>
          <w:sz w:val="24"/>
        </w:rPr>
        <w:t>8</w:t>
      </w:r>
      <w:r w:rsidRPr="002F2FAA">
        <w:rPr>
          <w:rFonts w:ascii="Times New Roman" w:hAnsi="Times New Roman"/>
          <w:sz w:val="24"/>
        </w:rPr>
        <w:t>.“.</w:t>
      </w:r>
    </w:p>
    <w:p w:rsidR="00E8401B" w:rsidRPr="002F2FAA" w:rsidP="00E8401B">
      <w:pPr>
        <w:autoSpaceDE w:val="0"/>
        <w:autoSpaceDN w:val="0"/>
        <w:bidi w:val="0"/>
        <w:spacing w:after="0" w:line="240" w:lineRule="auto"/>
        <w:rPr>
          <w:rFonts w:ascii="Times New Roman" w:hAnsi="Times New Roman"/>
          <w:sz w:val="24"/>
        </w:rPr>
      </w:pPr>
    </w:p>
    <w:p w:rsidR="00E8401B" w:rsidRPr="002F2FAA" w:rsidP="00E8401B">
      <w:pPr>
        <w:keepNext/>
        <w:bidi w:val="0"/>
        <w:spacing w:after="0" w:line="240" w:lineRule="auto"/>
        <w:jc w:val="center"/>
        <w:rPr>
          <w:rFonts w:ascii="Times New Roman" w:hAnsi="Times New Roman"/>
          <w:b/>
          <w:bCs/>
          <w:sz w:val="24"/>
          <w:szCs w:val="24"/>
        </w:rPr>
      </w:pPr>
      <w:r w:rsidRPr="002F2FAA">
        <w:rPr>
          <w:rFonts w:ascii="Times New Roman" w:hAnsi="Times New Roman"/>
          <w:b/>
          <w:bCs/>
          <w:sz w:val="24"/>
          <w:szCs w:val="24"/>
        </w:rPr>
        <w:t>Čl. II</w:t>
      </w:r>
    </w:p>
    <w:p w:rsidR="00E8401B" w:rsidRPr="002F2FAA" w:rsidP="00E8401B">
      <w:pPr>
        <w:keepNext/>
        <w:bidi w:val="0"/>
        <w:spacing w:after="0" w:line="240" w:lineRule="auto"/>
        <w:jc w:val="center"/>
        <w:rPr>
          <w:rFonts w:ascii="Times New Roman" w:hAnsi="Times New Roman"/>
          <w:b/>
          <w:bCs/>
          <w:sz w:val="24"/>
          <w:szCs w:val="24"/>
        </w:rPr>
      </w:pPr>
    </w:p>
    <w:p w:rsidR="00E8401B" w:rsidRPr="002F2FAA" w:rsidP="00E8401B">
      <w:pPr>
        <w:keepNext/>
        <w:bidi w:val="0"/>
        <w:spacing w:after="0" w:line="240" w:lineRule="auto"/>
        <w:ind w:firstLine="567"/>
        <w:rPr>
          <w:rFonts w:ascii="Times New Roman" w:hAnsi="Times New Roman"/>
          <w:bCs/>
          <w:sz w:val="24"/>
          <w:szCs w:val="24"/>
        </w:rPr>
      </w:pPr>
      <w:r w:rsidRPr="002F2FAA">
        <w:rPr>
          <w:rFonts w:ascii="Times New Roman" w:hAnsi="Times New Roman"/>
          <w:bCs/>
          <w:sz w:val="24"/>
          <w:szCs w:val="24"/>
        </w:rPr>
        <w:t>Zákon č. 250/2012 Z. z. o regulácii v sieťových odvetviach v znení zákona č. 435/2013 Z. z., zákona č. 321/2014 Z. z.</w:t>
      </w:r>
      <w:r w:rsidRPr="002F2FAA" w:rsidR="00A47A4B">
        <w:rPr>
          <w:rFonts w:ascii="Times New Roman" w:hAnsi="Times New Roman"/>
          <w:bCs/>
          <w:sz w:val="24"/>
          <w:szCs w:val="24"/>
        </w:rPr>
        <w:t xml:space="preserve">, zákona č. 391/2015 Z. z. a zákona č. 164/2017 Z. z. </w:t>
      </w:r>
      <w:r w:rsidRPr="002F2FAA">
        <w:rPr>
          <w:rFonts w:ascii="Times New Roman" w:hAnsi="Times New Roman"/>
          <w:bCs/>
          <w:sz w:val="24"/>
          <w:szCs w:val="24"/>
        </w:rPr>
        <w:t>sa mení a dopĺňa takto:</w:t>
      </w:r>
    </w:p>
    <w:p w:rsidR="00E8401B" w:rsidRPr="002F2FAA" w:rsidP="00E8401B">
      <w:pPr>
        <w:bidi w:val="0"/>
        <w:spacing w:after="0" w:line="240" w:lineRule="auto"/>
        <w:ind w:firstLine="567"/>
        <w:rPr>
          <w:rFonts w:ascii="Times New Roman" w:hAnsi="Times New Roman"/>
          <w:bCs/>
          <w:sz w:val="24"/>
          <w:szCs w:val="24"/>
        </w:rPr>
      </w:pPr>
    </w:p>
    <w:p w:rsidR="00E8401B" w:rsidRPr="002F2FAA" w:rsidP="00E8401B">
      <w:pPr>
        <w:bidi w:val="0"/>
        <w:spacing w:after="0" w:line="240" w:lineRule="auto"/>
        <w:rPr>
          <w:rFonts w:ascii="Times New Roman" w:hAnsi="Times New Roman"/>
          <w:bCs/>
          <w:sz w:val="24"/>
          <w:szCs w:val="24"/>
        </w:rPr>
      </w:pPr>
      <w:r w:rsidRPr="002F2FAA">
        <w:rPr>
          <w:rFonts w:ascii="Times New Roman" w:hAnsi="Times New Roman"/>
          <w:bCs/>
          <w:sz w:val="24"/>
          <w:szCs w:val="24"/>
        </w:rPr>
        <w:t>1.</w:t>
        <w:tab/>
        <w:t>V § 9 ods. 1 písm. b) prvý bod znie:</w:t>
      </w:r>
    </w:p>
    <w:p w:rsidR="00E8401B" w:rsidRPr="002F2FAA" w:rsidP="00E8401B">
      <w:pPr>
        <w:bidi w:val="0"/>
        <w:spacing w:after="0" w:line="240" w:lineRule="auto"/>
        <w:rPr>
          <w:rFonts w:ascii="Times New Roman" w:hAnsi="Times New Roman"/>
          <w:bCs/>
          <w:sz w:val="24"/>
          <w:szCs w:val="24"/>
        </w:rPr>
      </w:pPr>
      <w:r w:rsidRPr="002F2FAA">
        <w:rPr>
          <w:rFonts w:ascii="Times New Roman" w:hAnsi="Times New Roman"/>
          <w:bCs/>
          <w:sz w:val="24"/>
          <w:szCs w:val="24"/>
        </w:rPr>
        <w:t>„1. cenovú reguláciu podľa § 11, 12 a 14 a reguláciu ceny domáceho uhlia podľa § 39a,“.</w:t>
      </w:r>
    </w:p>
    <w:p w:rsidR="00E8401B" w:rsidRPr="002F2FAA" w:rsidP="00E8401B">
      <w:pPr>
        <w:bidi w:val="0"/>
        <w:spacing w:after="0" w:line="240" w:lineRule="auto"/>
        <w:rPr>
          <w:rFonts w:ascii="Times New Roman" w:hAnsi="Times New Roman"/>
          <w:bCs/>
          <w:sz w:val="24"/>
          <w:szCs w:val="24"/>
        </w:rPr>
      </w:pPr>
    </w:p>
    <w:p w:rsidR="00E8401B" w:rsidRPr="002F2FAA" w:rsidP="00E8401B">
      <w:pPr>
        <w:bidi w:val="0"/>
        <w:spacing w:after="0" w:line="240" w:lineRule="auto"/>
        <w:rPr>
          <w:rFonts w:ascii="Times New Roman" w:hAnsi="Times New Roman"/>
          <w:bCs/>
          <w:sz w:val="24"/>
          <w:szCs w:val="24"/>
        </w:rPr>
      </w:pPr>
      <w:r w:rsidRPr="002F2FAA">
        <w:rPr>
          <w:rFonts w:ascii="Times New Roman" w:hAnsi="Times New Roman"/>
          <w:bCs/>
          <w:sz w:val="24"/>
          <w:szCs w:val="24"/>
        </w:rPr>
        <w:t>2.</w:t>
        <w:tab/>
        <w:t xml:space="preserve"> § 12 sa dopĺňa odsekom 10, ktorý znie:</w:t>
      </w:r>
    </w:p>
    <w:p w:rsidR="00E8401B" w:rsidRPr="002F2FAA" w:rsidP="00A47A4B">
      <w:pPr>
        <w:bidi w:val="0"/>
        <w:spacing w:after="0" w:line="240" w:lineRule="auto"/>
        <w:jc w:val="both"/>
        <w:rPr>
          <w:rFonts w:ascii="Times New Roman" w:hAnsi="Times New Roman"/>
          <w:bCs/>
          <w:sz w:val="24"/>
          <w:szCs w:val="24"/>
        </w:rPr>
      </w:pPr>
      <w:r w:rsidRPr="002F2FAA">
        <w:rPr>
          <w:rFonts w:ascii="Times New Roman" w:hAnsi="Times New Roman"/>
          <w:bCs/>
          <w:sz w:val="24"/>
          <w:szCs w:val="24"/>
        </w:rPr>
        <w:t>„(10)  Pri cenovej regulácii regulovanej činnosti podľa § 11 ods. 1 písm. b) sa do ceny určenej alebo schválenej úradom započítavajú ekonomicky oprávnené náklady na nákup domáceho uhlia najviac vo výške úradne určenej ceny domáceho uhlia podľa osobitného predpisu.</w:t>
      </w:r>
      <w:r w:rsidRPr="002F2FAA">
        <w:rPr>
          <w:rFonts w:ascii="Times New Roman" w:hAnsi="Times New Roman"/>
          <w:bCs/>
          <w:sz w:val="24"/>
          <w:szCs w:val="24"/>
          <w:vertAlign w:val="superscript"/>
        </w:rPr>
        <w:t>22a</w:t>
      </w:r>
      <w:r w:rsidRPr="002F2FAA">
        <w:rPr>
          <w:rFonts w:ascii="Times New Roman" w:hAnsi="Times New Roman"/>
          <w:bCs/>
          <w:sz w:val="24"/>
          <w:szCs w:val="24"/>
        </w:rPr>
        <w:t>)“.</w:t>
      </w:r>
    </w:p>
    <w:p w:rsidR="00E8401B" w:rsidRPr="002F2FAA" w:rsidP="00A47A4B">
      <w:pPr>
        <w:bidi w:val="0"/>
        <w:spacing w:after="0" w:line="240" w:lineRule="auto"/>
        <w:jc w:val="both"/>
        <w:rPr>
          <w:rFonts w:ascii="Times New Roman" w:hAnsi="Times New Roman"/>
          <w:bCs/>
          <w:sz w:val="24"/>
          <w:szCs w:val="24"/>
        </w:rPr>
      </w:pPr>
    </w:p>
    <w:p w:rsidR="00E8401B" w:rsidRPr="002F2FAA" w:rsidP="00E8401B">
      <w:pPr>
        <w:keepNext/>
        <w:bidi w:val="0"/>
        <w:spacing w:after="0" w:line="240" w:lineRule="auto"/>
        <w:rPr>
          <w:rFonts w:ascii="Times New Roman" w:hAnsi="Times New Roman"/>
          <w:sz w:val="24"/>
        </w:rPr>
      </w:pPr>
      <w:r w:rsidRPr="002F2FAA">
        <w:rPr>
          <w:rFonts w:ascii="Times New Roman" w:hAnsi="Times New Roman"/>
          <w:sz w:val="24"/>
        </w:rPr>
        <w:t>Poznámka pod čiarou k odkazu 22a znie:</w:t>
      </w:r>
    </w:p>
    <w:p w:rsidR="00E8401B" w:rsidRPr="002F2FAA" w:rsidP="00E8401B">
      <w:pPr>
        <w:keepNext/>
        <w:autoSpaceDE w:val="0"/>
        <w:autoSpaceDN w:val="0"/>
        <w:bidi w:val="0"/>
        <w:spacing w:after="0" w:line="240" w:lineRule="auto"/>
        <w:rPr>
          <w:rFonts w:ascii="Times New Roman" w:hAnsi="Times New Roman"/>
          <w:bCs/>
          <w:sz w:val="24"/>
          <w:szCs w:val="24"/>
        </w:rPr>
      </w:pPr>
      <w:r w:rsidRPr="002F2FAA">
        <w:rPr>
          <w:rFonts w:ascii="Times New Roman" w:hAnsi="Times New Roman"/>
          <w:sz w:val="24"/>
        </w:rPr>
        <w:t>„</w:t>
      </w:r>
      <w:r w:rsidRPr="002F2FAA">
        <w:rPr>
          <w:rFonts w:ascii="Times New Roman" w:hAnsi="Times New Roman"/>
          <w:sz w:val="24"/>
          <w:vertAlign w:val="superscript"/>
        </w:rPr>
        <w:t>22a</w:t>
      </w:r>
      <w:r w:rsidRPr="002F2FAA">
        <w:rPr>
          <w:rFonts w:ascii="Times New Roman" w:hAnsi="Times New Roman"/>
          <w:sz w:val="24"/>
        </w:rPr>
        <w:t>) zákon Národnej rady Slovenskej republiky č. 18/1996 Z. z. o cenách v znení neskorších predpisov.“.</w:t>
      </w:r>
    </w:p>
    <w:p w:rsidR="00E8401B" w:rsidRPr="002F2FAA" w:rsidP="00E8401B">
      <w:pPr>
        <w:bidi w:val="0"/>
        <w:spacing w:after="0" w:line="240" w:lineRule="auto"/>
        <w:rPr>
          <w:rFonts w:ascii="Times New Roman" w:hAnsi="Times New Roman"/>
          <w:bCs/>
          <w:sz w:val="24"/>
          <w:szCs w:val="24"/>
        </w:rPr>
      </w:pPr>
      <w:r w:rsidRPr="002F2FAA">
        <w:rPr>
          <w:rFonts w:ascii="Times New Roman" w:hAnsi="Times New Roman"/>
          <w:bCs/>
          <w:sz w:val="24"/>
          <w:szCs w:val="24"/>
        </w:rPr>
        <w:t xml:space="preserve"> </w:t>
      </w:r>
    </w:p>
    <w:p w:rsidR="00E8401B" w:rsidRPr="002F2FAA" w:rsidP="00E8401B">
      <w:pPr>
        <w:keepNext/>
        <w:bidi w:val="0"/>
        <w:spacing w:after="0" w:line="240" w:lineRule="auto"/>
        <w:rPr>
          <w:rFonts w:ascii="Times New Roman" w:hAnsi="Times New Roman"/>
          <w:bCs/>
          <w:sz w:val="24"/>
          <w:szCs w:val="24"/>
        </w:rPr>
      </w:pPr>
      <w:r w:rsidRPr="002F2FAA">
        <w:rPr>
          <w:rFonts w:ascii="Times New Roman" w:hAnsi="Times New Roman"/>
          <w:bCs/>
          <w:sz w:val="24"/>
          <w:szCs w:val="24"/>
        </w:rPr>
        <w:t>3.</w:t>
        <w:tab/>
        <w:t>Za § 39 sa vkladá § 39a, ktorý vrátane nadpisu znie:</w:t>
      </w:r>
    </w:p>
    <w:p w:rsidR="00E8401B" w:rsidRPr="002F2FAA" w:rsidP="00E8401B">
      <w:pPr>
        <w:keepNext/>
        <w:bidi w:val="0"/>
        <w:spacing w:after="0" w:line="240" w:lineRule="auto"/>
        <w:rPr>
          <w:rFonts w:ascii="Times New Roman" w:hAnsi="Times New Roman"/>
          <w:bCs/>
          <w:sz w:val="24"/>
          <w:szCs w:val="24"/>
        </w:rPr>
      </w:pPr>
    </w:p>
    <w:p w:rsidR="00E8401B" w:rsidRPr="002F2FAA" w:rsidP="00E8401B">
      <w:pPr>
        <w:keepNext/>
        <w:autoSpaceDE w:val="0"/>
        <w:autoSpaceDN w:val="0"/>
        <w:bidi w:val="0"/>
        <w:spacing w:after="0" w:line="240" w:lineRule="auto"/>
        <w:jc w:val="center"/>
        <w:rPr>
          <w:rFonts w:ascii="Times New Roman" w:hAnsi="Times New Roman"/>
          <w:b/>
          <w:sz w:val="24"/>
        </w:rPr>
      </w:pPr>
      <w:r w:rsidRPr="002F2FAA">
        <w:rPr>
          <w:rFonts w:ascii="Times New Roman" w:hAnsi="Times New Roman"/>
          <w:sz w:val="24"/>
        </w:rPr>
        <w:t>„</w:t>
      </w:r>
      <w:r w:rsidRPr="002F2FAA">
        <w:rPr>
          <w:rFonts w:ascii="Times New Roman" w:hAnsi="Times New Roman"/>
          <w:b/>
          <w:sz w:val="24"/>
        </w:rPr>
        <w:t>§ 39a</w:t>
      </w:r>
    </w:p>
    <w:p w:rsidR="00E8401B" w:rsidRPr="002F2FAA" w:rsidP="00E8401B">
      <w:pPr>
        <w:keepNext/>
        <w:autoSpaceDE w:val="0"/>
        <w:autoSpaceDN w:val="0"/>
        <w:bidi w:val="0"/>
        <w:spacing w:after="0" w:line="240" w:lineRule="auto"/>
        <w:jc w:val="center"/>
        <w:rPr>
          <w:rFonts w:ascii="Times New Roman" w:hAnsi="Times New Roman"/>
          <w:sz w:val="24"/>
        </w:rPr>
      </w:pPr>
      <w:r w:rsidRPr="002F2FAA">
        <w:rPr>
          <w:rFonts w:ascii="Times New Roman" w:hAnsi="Times New Roman"/>
          <w:b/>
          <w:sz w:val="24"/>
        </w:rPr>
        <w:t>Regulácia ceny domáceho uhlia</w:t>
      </w:r>
    </w:p>
    <w:p w:rsidR="00E8401B" w:rsidRPr="002F2FAA" w:rsidP="00E8401B">
      <w:pPr>
        <w:keepNext/>
        <w:autoSpaceDE w:val="0"/>
        <w:autoSpaceDN w:val="0"/>
        <w:bidi w:val="0"/>
        <w:spacing w:after="0" w:line="240" w:lineRule="auto"/>
        <w:rPr>
          <w:rFonts w:ascii="Times New Roman" w:hAnsi="Times New Roman"/>
          <w:sz w:val="24"/>
        </w:rPr>
      </w:pPr>
      <w:r w:rsidRPr="002F2FAA">
        <w:rPr>
          <w:rFonts w:ascii="Times New Roman" w:hAnsi="Times New Roman"/>
          <w:sz w:val="24"/>
        </w:rPr>
        <w:t xml:space="preserve">  </w:t>
      </w:r>
    </w:p>
    <w:p w:rsidR="00E8401B" w:rsidRPr="002F2FAA" w:rsidP="00A47A4B">
      <w:pPr>
        <w:keepNext/>
        <w:bidi w:val="0"/>
        <w:spacing w:after="0" w:line="240" w:lineRule="auto"/>
        <w:ind w:firstLine="567"/>
        <w:jc w:val="both"/>
        <w:rPr>
          <w:rFonts w:ascii="Times New Roman" w:hAnsi="Times New Roman"/>
          <w:sz w:val="24"/>
        </w:rPr>
      </w:pPr>
      <w:r w:rsidRPr="002F2FAA">
        <w:rPr>
          <w:rFonts w:ascii="Times New Roman" w:hAnsi="Times New Roman"/>
          <w:sz w:val="24"/>
        </w:rPr>
        <w:t>(1) Úrad vykonáva reguláciu ceny domáceho uhlia, ktoré nakupuje regulovaný subjekt na účely výroby elektriny z domáceho uhlia na základe rozhodnutia ministerstva o uložení povinnosti vo všeobecnom hospodárskom záujme. Pri výkone regulácie ceny domáceho uhlia má úrad postavenie cenového orgánu podľa osobitného predpisu.</w:t>
      </w:r>
      <w:r w:rsidRPr="002F2FAA">
        <w:rPr>
          <w:rFonts w:ascii="Times New Roman" w:hAnsi="Times New Roman"/>
          <w:sz w:val="24"/>
          <w:vertAlign w:val="superscript"/>
        </w:rPr>
        <w:t>57a</w:t>
      </w:r>
      <w:r w:rsidRPr="002F2FAA">
        <w:rPr>
          <w:rFonts w:ascii="Times New Roman" w:hAnsi="Times New Roman"/>
          <w:sz w:val="24"/>
        </w:rPr>
        <w:t>)</w:t>
      </w:r>
    </w:p>
    <w:p w:rsidR="00E8401B" w:rsidRPr="002F2FAA" w:rsidP="00A47A4B">
      <w:pPr>
        <w:bidi w:val="0"/>
        <w:spacing w:after="0" w:line="240" w:lineRule="auto"/>
        <w:ind w:firstLine="567"/>
        <w:jc w:val="both"/>
        <w:rPr>
          <w:rFonts w:ascii="Times New Roman" w:hAnsi="Times New Roman"/>
          <w:sz w:val="24"/>
        </w:rPr>
      </w:pPr>
    </w:p>
    <w:p w:rsidR="00E8401B" w:rsidRPr="002F2FAA" w:rsidP="00A47A4B">
      <w:pPr>
        <w:bidi w:val="0"/>
        <w:spacing w:after="0" w:line="240" w:lineRule="auto"/>
        <w:ind w:firstLine="567"/>
        <w:jc w:val="both"/>
        <w:rPr>
          <w:rFonts w:ascii="Times New Roman" w:hAnsi="Times New Roman"/>
          <w:sz w:val="24"/>
        </w:rPr>
      </w:pPr>
      <w:r w:rsidRPr="002F2FAA">
        <w:rPr>
          <w:rFonts w:ascii="Times New Roman" w:hAnsi="Times New Roman"/>
          <w:sz w:val="24"/>
        </w:rPr>
        <w:t>(2)  Reguláciu ceny domáceho uhlia podľa odseku 1 vykonáva úrad spôsobom úradného určenia ceny podľa osobitného predpisu.</w:t>
      </w:r>
      <w:r w:rsidRPr="002F2FAA">
        <w:rPr>
          <w:rFonts w:ascii="Times New Roman" w:hAnsi="Times New Roman"/>
          <w:sz w:val="24"/>
          <w:vertAlign w:val="superscript"/>
        </w:rPr>
        <w:t>57b</w:t>
      </w:r>
      <w:r w:rsidRPr="002F2FAA">
        <w:rPr>
          <w:rFonts w:ascii="Times New Roman" w:hAnsi="Times New Roman"/>
          <w:sz w:val="24"/>
        </w:rPr>
        <w:t>).</w:t>
      </w:r>
    </w:p>
    <w:p w:rsidR="00E8401B" w:rsidRPr="002F2FAA" w:rsidP="00A47A4B">
      <w:pPr>
        <w:bidi w:val="0"/>
        <w:spacing w:after="0" w:line="240" w:lineRule="auto"/>
        <w:ind w:firstLine="567"/>
        <w:jc w:val="both"/>
        <w:rPr>
          <w:rFonts w:ascii="Times New Roman" w:hAnsi="Times New Roman"/>
          <w:sz w:val="24"/>
        </w:rPr>
      </w:pPr>
    </w:p>
    <w:p w:rsidR="00E8401B" w:rsidRPr="002F2FAA" w:rsidP="00A47A4B">
      <w:pPr>
        <w:bidi w:val="0"/>
        <w:spacing w:after="0" w:line="240" w:lineRule="auto"/>
        <w:ind w:firstLine="567"/>
        <w:jc w:val="both"/>
        <w:rPr>
          <w:rFonts w:ascii="Times New Roman" w:hAnsi="Times New Roman"/>
          <w:sz w:val="24"/>
        </w:rPr>
      </w:pPr>
      <w:r w:rsidRPr="002F2FAA">
        <w:rPr>
          <w:rFonts w:ascii="Times New Roman" w:hAnsi="Times New Roman"/>
          <w:sz w:val="24"/>
        </w:rPr>
        <w:t>(3) Pri regulácii ceny domáceho uhlia podľa odsekov 1 a 2 sa postupuje podľa osobitného predpisu.</w:t>
      </w:r>
      <w:r w:rsidRPr="002F2FAA">
        <w:rPr>
          <w:rFonts w:ascii="Times New Roman" w:hAnsi="Times New Roman"/>
          <w:sz w:val="24"/>
          <w:vertAlign w:val="superscript"/>
        </w:rPr>
        <w:t>22a</w:t>
      </w:r>
      <w:r w:rsidRPr="002F2FAA">
        <w:rPr>
          <w:rFonts w:ascii="Times New Roman" w:hAnsi="Times New Roman"/>
          <w:sz w:val="24"/>
        </w:rPr>
        <w:t>)“.</w:t>
      </w:r>
    </w:p>
    <w:p w:rsidR="00E8401B" w:rsidRPr="002F2FAA" w:rsidP="00A47A4B">
      <w:pPr>
        <w:bidi w:val="0"/>
        <w:spacing w:after="0" w:line="240" w:lineRule="auto"/>
        <w:jc w:val="both"/>
        <w:rPr>
          <w:rFonts w:ascii="Times New Roman" w:hAnsi="Times New Roman"/>
          <w:sz w:val="24"/>
        </w:rPr>
      </w:pPr>
    </w:p>
    <w:p w:rsidR="00E8401B" w:rsidRPr="002F2FAA" w:rsidP="00E8401B">
      <w:pPr>
        <w:bidi w:val="0"/>
        <w:spacing w:after="0" w:line="240" w:lineRule="auto"/>
        <w:rPr>
          <w:rFonts w:ascii="Times New Roman" w:hAnsi="Times New Roman"/>
          <w:sz w:val="24"/>
        </w:rPr>
      </w:pPr>
      <w:r w:rsidRPr="002F2FAA">
        <w:rPr>
          <w:rFonts w:ascii="Times New Roman" w:hAnsi="Times New Roman"/>
          <w:sz w:val="24"/>
        </w:rPr>
        <w:t xml:space="preserve">Poznámky pod čiarou k odkazom 57a a 57b znejú: </w:t>
      </w:r>
    </w:p>
    <w:p w:rsidR="00E8401B" w:rsidRPr="002F2FAA" w:rsidP="00E8401B">
      <w:pPr>
        <w:autoSpaceDE w:val="0"/>
        <w:autoSpaceDN w:val="0"/>
        <w:bidi w:val="0"/>
        <w:spacing w:after="0" w:line="240" w:lineRule="auto"/>
        <w:rPr>
          <w:rFonts w:ascii="Times New Roman" w:hAnsi="Times New Roman"/>
          <w:sz w:val="24"/>
        </w:rPr>
      </w:pPr>
      <w:r w:rsidRPr="002F2FAA">
        <w:rPr>
          <w:rFonts w:ascii="Times New Roman" w:hAnsi="Times New Roman"/>
          <w:sz w:val="24"/>
        </w:rPr>
        <w:t>„</w:t>
      </w:r>
      <w:r w:rsidRPr="002F2FAA">
        <w:rPr>
          <w:rFonts w:ascii="Times New Roman" w:hAnsi="Times New Roman"/>
          <w:sz w:val="24"/>
          <w:vertAlign w:val="superscript"/>
        </w:rPr>
        <w:t>57a</w:t>
      </w:r>
      <w:r w:rsidRPr="002F2FAA">
        <w:rPr>
          <w:rFonts w:ascii="Times New Roman" w:hAnsi="Times New Roman"/>
          <w:sz w:val="24"/>
        </w:rPr>
        <w:t>) § 20 ods. 1 písm. c) zákona Národnej rady Slovenskej republiky č. 18/1996 Z. z.</w:t>
      </w:r>
    </w:p>
    <w:p w:rsidR="00E8401B" w:rsidRPr="002F2FAA" w:rsidP="00E8401B">
      <w:pPr>
        <w:autoSpaceDE w:val="0"/>
        <w:autoSpaceDN w:val="0"/>
        <w:bidi w:val="0"/>
        <w:spacing w:after="0" w:line="240" w:lineRule="auto"/>
        <w:rPr>
          <w:rFonts w:ascii="Times New Roman" w:hAnsi="Times New Roman"/>
          <w:sz w:val="24"/>
        </w:rPr>
      </w:pPr>
      <w:r w:rsidRPr="002F2FAA">
        <w:rPr>
          <w:rFonts w:ascii="Times New Roman" w:hAnsi="Times New Roman"/>
          <w:sz w:val="24"/>
          <w:vertAlign w:val="superscript"/>
        </w:rPr>
        <w:t>57b</w:t>
      </w:r>
      <w:r w:rsidRPr="002F2FAA">
        <w:rPr>
          <w:rFonts w:ascii="Times New Roman" w:hAnsi="Times New Roman"/>
          <w:sz w:val="24"/>
        </w:rPr>
        <w:t>) § 6 zákona Národnej rady Slovenskej republiky č. 18/1996 Z. z.“.</w:t>
      </w:r>
    </w:p>
    <w:p w:rsidR="00E8401B" w:rsidRPr="002F2FAA" w:rsidP="00E8401B">
      <w:pPr>
        <w:autoSpaceDE w:val="0"/>
        <w:autoSpaceDN w:val="0"/>
        <w:bidi w:val="0"/>
        <w:spacing w:after="0" w:line="240" w:lineRule="auto"/>
        <w:rPr>
          <w:rFonts w:ascii="Times New Roman" w:hAnsi="Times New Roman"/>
          <w:sz w:val="24"/>
        </w:rPr>
      </w:pPr>
    </w:p>
    <w:p w:rsidR="00E8401B" w:rsidRPr="002F2FAA" w:rsidP="00E8401B">
      <w:pPr>
        <w:autoSpaceDE w:val="0"/>
        <w:autoSpaceDN w:val="0"/>
        <w:bidi w:val="0"/>
        <w:spacing w:after="0" w:line="240" w:lineRule="auto"/>
        <w:rPr>
          <w:rFonts w:ascii="Times New Roman" w:hAnsi="Times New Roman"/>
          <w:sz w:val="24"/>
        </w:rPr>
      </w:pPr>
      <w:r w:rsidRPr="002F2FAA">
        <w:rPr>
          <w:rFonts w:ascii="Times New Roman" w:hAnsi="Times New Roman"/>
          <w:sz w:val="24"/>
        </w:rPr>
        <w:t>4.</w:t>
        <w:tab/>
        <w:t xml:space="preserve">§ 40 sa dopĺňa odsekom 7, ktorý znie: </w:t>
      </w:r>
    </w:p>
    <w:p w:rsidR="00E8401B" w:rsidRPr="002F2FAA" w:rsidP="00E8401B">
      <w:pPr>
        <w:autoSpaceDE w:val="0"/>
        <w:autoSpaceDN w:val="0"/>
        <w:bidi w:val="0"/>
        <w:spacing w:after="0" w:line="240" w:lineRule="auto"/>
        <w:rPr>
          <w:rFonts w:ascii="Times New Roman" w:hAnsi="Times New Roman"/>
          <w:sz w:val="24"/>
        </w:rPr>
      </w:pPr>
    </w:p>
    <w:p w:rsidR="00E8401B" w:rsidRPr="002F2FAA" w:rsidP="00A47A4B">
      <w:pPr>
        <w:autoSpaceDE w:val="0"/>
        <w:autoSpaceDN w:val="0"/>
        <w:bidi w:val="0"/>
        <w:spacing w:after="0" w:line="240" w:lineRule="auto"/>
        <w:jc w:val="both"/>
        <w:rPr>
          <w:rFonts w:ascii="Times New Roman" w:hAnsi="Times New Roman"/>
          <w:sz w:val="24"/>
        </w:rPr>
      </w:pPr>
      <w:r w:rsidRPr="002F2FAA">
        <w:rPr>
          <w:rFonts w:ascii="Times New Roman" w:hAnsi="Times New Roman"/>
          <w:sz w:val="24"/>
        </w:rPr>
        <w:t>„(7) Úrad vydá všeobecne záväzný právny predpis, ktorý ustanoví podmienky regulácie ceny domáceho uhlia podľa § 39a a rozsah ekonomicky oprávnených nákladov a primeraného zisku, z ktorých sa vychádza pri regulácii ceny domáceho uhlia podľa § 39a.“.</w:t>
      </w:r>
    </w:p>
    <w:p w:rsidR="00E8401B" w:rsidRPr="002F2FAA" w:rsidP="00A47A4B">
      <w:pPr>
        <w:autoSpaceDE w:val="0"/>
        <w:autoSpaceDN w:val="0"/>
        <w:bidi w:val="0"/>
        <w:spacing w:after="0" w:line="240" w:lineRule="auto"/>
        <w:jc w:val="both"/>
        <w:rPr>
          <w:rFonts w:ascii="Times New Roman" w:hAnsi="Times New Roman"/>
          <w:sz w:val="24"/>
        </w:rPr>
      </w:pPr>
    </w:p>
    <w:p w:rsidR="00E8401B" w:rsidRPr="002F2FAA" w:rsidP="00E8401B">
      <w:pPr>
        <w:autoSpaceDE w:val="0"/>
        <w:autoSpaceDN w:val="0"/>
        <w:bidi w:val="0"/>
        <w:spacing w:after="0" w:line="240" w:lineRule="auto"/>
        <w:rPr>
          <w:rFonts w:ascii="Times New Roman" w:hAnsi="Times New Roman"/>
          <w:sz w:val="24"/>
        </w:rPr>
      </w:pPr>
      <w:r w:rsidRPr="002F2FAA">
        <w:rPr>
          <w:rFonts w:ascii="Times New Roman" w:hAnsi="Times New Roman"/>
          <w:sz w:val="24"/>
        </w:rPr>
        <w:t>5.</w:t>
        <w:tab/>
        <w:t>Za § 45</w:t>
      </w:r>
      <w:r w:rsidRPr="002F2FAA" w:rsidR="00C21A3E">
        <w:rPr>
          <w:rFonts w:ascii="Times New Roman" w:hAnsi="Times New Roman"/>
          <w:sz w:val="24"/>
        </w:rPr>
        <w:t>b sa vkladá § 45c</w:t>
      </w:r>
      <w:r w:rsidRPr="002F2FAA">
        <w:rPr>
          <w:rFonts w:ascii="Times New Roman" w:hAnsi="Times New Roman"/>
          <w:sz w:val="24"/>
        </w:rPr>
        <w:t>, ktorý vrátane nadpisu znie:</w:t>
      </w:r>
    </w:p>
    <w:p w:rsidR="00E8401B" w:rsidRPr="002F2FAA" w:rsidP="00E8401B">
      <w:pPr>
        <w:autoSpaceDE w:val="0"/>
        <w:autoSpaceDN w:val="0"/>
        <w:bidi w:val="0"/>
        <w:spacing w:after="0" w:line="240" w:lineRule="auto"/>
        <w:rPr>
          <w:rFonts w:ascii="Times New Roman" w:hAnsi="Times New Roman"/>
          <w:sz w:val="24"/>
        </w:rPr>
      </w:pPr>
    </w:p>
    <w:p w:rsidR="00E8401B" w:rsidRPr="002F2FAA" w:rsidP="00E8401B">
      <w:pPr>
        <w:autoSpaceDE w:val="0"/>
        <w:autoSpaceDN w:val="0"/>
        <w:bidi w:val="0"/>
        <w:spacing w:after="0" w:line="240" w:lineRule="auto"/>
        <w:ind w:firstLine="567"/>
        <w:jc w:val="center"/>
        <w:rPr>
          <w:rFonts w:ascii="Times New Roman" w:hAnsi="Times New Roman"/>
          <w:b/>
          <w:sz w:val="24"/>
        </w:rPr>
      </w:pPr>
      <w:r w:rsidRPr="002F2FAA">
        <w:rPr>
          <w:rFonts w:ascii="Times New Roman" w:hAnsi="Times New Roman"/>
          <w:sz w:val="24"/>
        </w:rPr>
        <w:t>„</w:t>
      </w:r>
      <w:r w:rsidRPr="002F2FAA">
        <w:rPr>
          <w:rFonts w:ascii="Times New Roman" w:hAnsi="Times New Roman"/>
          <w:b/>
          <w:sz w:val="24"/>
        </w:rPr>
        <w:t>§ 45</w:t>
      </w:r>
      <w:r w:rsidRPr="002F2FAA" w:rsidR="00C21A3E">
        <w:rPr>
          <w:rFonts w:ascii="Times New Roman" w:hAnsi="Times New Roman"/>
          <w:b/>
          <w:sz w:val="24"/>
        </w:rPr>
        <w:t>c</w:t>
      </w:r>
    </w:p>
    <w:p w:rsidR="00E8401B" w:rsidRPr="002F2FAA" w:rsidP="00E8401B">
      <w:pPr>
        <w:autoSpaceDE w:val="0"/>
        <w:autoSpaceDN w:val="0"/>
        <w:bidi w:val="0"/>
        <w:spacing w:after="0" w:line="240" w:lineRule="auto"/>
        <w:ind w:firstLine="567"/>
        <w:jc w:val="center"/>
        <w:rPr>
          <w:rFonts w:ascii="Times New Roman" w:hAnsi="Times New Roman"/>
          <w:sz w:val="24"/>
        </w:rPr>
      </w:pPr>
      <w:r w:rsidRPr="002F2FAA">
        <w:rPr>
          <w:rFonts w:ascii="Times New Roman" w:hAnsi="Times New Roman"/>
          <w:b/>
          <w:sz w:val="24"/>
        </w:rPr>
        <w:t>Prechodné ustanovenia k úprave účinnej</w:t>
      </w:r>
      <w:r w:rsidRPr="002F2FAA" w:rsidR="00A47A4B">
        <w:rPr>
          <w:rFonts w:ascii="Times New Roman" w:hAnsi="Times New Roman"/>
          <w:b/>
          <w:sz w:val="24"/>
        </w:rPr>
        <w:t xml:space="preserve"> od 1. januára 2018</w:t>
      </w:r>
    </w:p>
    <w:p w:rsidR="00E8401B" w:rsidRPr="002F2FAA" w:rsidP="00E8401B">
      <w:pPr>
        <w:autoSpaceDE w:val="0"/>
        <w:autoSpaceDN w:val="0"/>
        <w:bidi w:val="0"/>
        <w:spacing w:after="0" w:line="240" w:lineRule="auto"/>
        <w:ind w:firstLine="567"/>
        <w:rPr>
          <w:rFonts w:ascii="Times New Roman" w:hAnsi="Times New Roman"/>
          <w:sz w:val="24"/>
        </w:rPr>
      </w:pPr>
      <w:r w:rsidRPr="002F2FAA">
        <w:rPr>
          <w:rFonts w:ascii="Times New Roman" w:hAnsi="Times New Roman"/>
          <w:sz w:val="24"/>
        </w:rPr>
        <w:t xml:space="preserve">  </w:t>
      </w:r>
    </w:p>
    <w:p w:rsidR="00E8401B" w:rsidRPr="002F2FAA" w:rsidP="00A47A4B">
      <w:pPr>
        <w:autoSpaceDE w:val="0"/>
        <w:autoSpaceDN w:val="0"/>
        <w:bidi w:val="0"/>
        <w:spacing w:after="0" w:line="240" w:lineRule="auto"/>
        <w:ind w:firstLine="567"/>
        <w:jc w:val="both"/>
        <w:rPr>
          <w:rFonts w:ascii="Times New Roman" w:hAnsi="Times New Roman"/>
          <w:sz w:val="24"/>
        </w:rPr>
      </w:pPr>
      <w:r w:rsidRPr="002F2FAA">
        <w:rPr>
          <w:rFonts w:ascii="Times New Roman" w:hAnsi="Times New Roman"/>
          <w:sz w:val="24"/>
        </w:rPr>
        <w:t>(1) Úrad vydá všeobecne záväzný právny predpis podľa § 40 od</w:t>
      </w:r>
      <w:r w:rsidRPr="002F2FAA" w:rsidR="00A47A4B">
        <w:rPr>
          <w:rFonts w:ascii="Times New Roman" w:hAnsi="Times New Roman"/>
          <w:sz w:val="24"/>
        </w:rPr>
        <w:t>s. 7 najneskôr do 31. marca 2018</w:t>
      </w:r>
      <w:r w:rsidRPr="002F2FAA">
        <w:rPr>
          <w:rFonts w:ascii="Times New Roman" w:hAnsi="Times New Roman"/>
          <w:sz w:val="24"/>
        </w:rPr>
        <w:t xml:space="preserve">. </w:t>
      </w:r>
    </w:p>
    <w:p w:rsidR="00E8401B" w:rsidRPr="002F2FAA" w:rsidP="00A47A4B">
      <w:pPr>
        <w:autoSpaceDE w:val="0"/>
        <w:autoSpaceDN w:val="0"/>
        <w:bidi w:val="0"/>
        <w:spacing w:after="0" w:line="240" w:lineRule="auto"/>
        <w:ind w:firstLine="567"/>
        <w:jc w:val="both"/>
        <w:rPr>
          <w:rFonts w:ascii="Times New Roman" w:hAnsi="Times New Roman"/>
          <w:sz w:val="24"/>
        </w:rPr>
      </w:pPr>
    </w:p>
    <w:p w:rsidR="00E8401B" w:rsidRPr="002F2FAA" w:rsidP="00A47A4B">
      <w:pPr>
        <w:autoSpaceDE w:val="0"/>
        <w:autoSpaceDN w:val="0"/>
        <w:bidi w:val="0"/>
        <w:spacing w:after="0" w:line="240" w:lineRule="auto"/>
        <w:ind w:firstLine="567"/>
        <w:jc w:val="both"/>
        <w:rPr>
          <w:rFonts w:ascii="Times New Roman" w:hAnsi="Times New Roman"/>
          <w:sz w:val="24"/>
        </w:rPr>
      </w:pPr>
      <w:r w:rsidRPr="002F2FAA">
        <w:rPr>
          <w:rFonts w:ascii="Times New Roman" w:hAnsi="Times New Roman"/>
          <w:sz w:val="24"/>
        </w:rPr>
        <w:t>(2) Úrad prvýkrát úradne určí cenu domáceho uhlia podľa osobitného predpisu</w:t>
      </w:r>
      <w:r w:rsidRPr="002F2FAA">
        <w:rPr>
          <w:rFonts w:ascii="Times New Roman" w:hAnsi="Times New Roman"/>
          <w:sz w:val="24"/>
          <w:vertAlign w:val="superscript"/>
        </w:rPr>
        <w:t>22a</w:t>
      </w:r>
      <w:r w:rsidRPr="002F2FAA" w:rsidR="00A47A4B">
        <w:rPr>
          <w:rFonts w:ascii="Times New Roman" w:hAnsi="Times New Roman"/>
          <w:sz w:val="24"/>
        </w:rPr>
        <w:t>) najneskôr do 30. júna 2018</w:t>
      </w:r>
      <w:r w:rsidRPr="002F2FAA">
        <w:rPr>
          <w:rFonts w:ascii="Times New Roman" w:hAnsi="Times New Roman"/>
          <w:sz w:val="24"/>
        </w:rPr>
        <w:t>.</w:t>
      </w:r>
    </w:p>
    <w:p w:rsidR="00E8401B" w:rsidRPr="002F2FAA" w:rsidP="00A47A4B">
      <w:pPr>
        <w:bidi w:val="0"/>
        <w:spacing w:after="0" w:line="240" w:lineRule="auto"/>
        <w:ind w:firstLine="567"/>
        <w:jc w:val="both"/>
        <w:rPr>
          <w:rFonts w:ascii="Times New Roman" w:hAnsi="Times New Roman"/>
          <w:sz w:val="24"/>
        </w:rPr>
      </w:pPr>
    </w:p>
    <w:p w:rsidR="00E8401B" w:rsidRPr="002F2FAA" w:rsidP="00A47A4B">
      <w:pPr>
        <w:bidi w:val="0"/>
        <w:spacing w:after="0" w:line="240" w:lineRule="auto"/>
        <w:ind w:firstLine="567"/>
        <w:jc w:val="both"/>
        <w:rPr>
          <w:rFonts w:ascii="Times New Roman" w:hAnsi="Times New Roman"/>
          <w:sz w:val="24"/>
        </w:rPr>
      </w:pPr>
      <w:r w:rsidRPr="002F2FAA">
        <w:rPr>
          <w:rFonts w:ascii="Times New Roman" w:hAnsi="Times New Roman"/>
          <w:sz w:val="24"/>
        </w:rPr>
        <w:t>(3) Konanie o cenovej regulácii regulovanej činnosti podľa § 11 ods. 1 písm. b) právoplatne</w:t>
      </w:r>
      <w:r w:rsidRPr="002F2FAA" w:rsidR="00A47A4B">
        <w:rPr>
          <w:rFonts w:ascii="Times New Roman" w:hAnsi="Times New Roman"/>
          <w:sz w:val="24"/>
        </w:rPr>
        <w:t xml:space="preserve"> neskončené do 31. decembra 2017</w:t>
      </w:r>
      <w:r w:rsidRPr="002F2FAA">
        <w:rPr>
          <w:rFonts w:ascii="Times New Roman" w:hAnsi="Times New Roman"/>
          <w:sz w:val="24"/>
        </w:rPr>
        <w:t xml:space="preserve"> sa dokončí podľa záko</w:t>
      </w:r>
      <w:r w:rsidRPr="002F2FAA" w:rsidR="00A47A4B">
        <w:rPr>
          <w:rFonts w:ascii="Times New Roman" w:hAnsi="Times New Roman"/>
          <w:sz w:val="24"/>
        </w:rPr>
        <w:t>na účinného do 31. decembra 2017</w:t>
      </w:r>
      <w:r w:rsidRPr="002F2FAA">
        <w:rPr>
          <w:rFonts w:ascii="Times New Roman" w:hAnsi="Times New Roman"/>
          <w:sz w:val="24"/>
        </w:rPr>
        <w:t xml:space="preserve">. </w:t>
      </w:r>
    </w:p>
    <w:p w:rsidR="00E8401B" w:rsidRPr="002F2FAA" w:rsidP="00A47A4B">
      <w:pPr>
        <w:bidi w:val="0"/>
        <w:spacing w:after="0" w:line="240" w:lineRule="auto"/>
        <w:ind w:firstLine="567"/>
        <w:jc w:val="both"/>
        <w:rPr>
          <w:rFonts w:ascii="Times New Roman" w:hAnsi="Times New Roman"/>
          <w:sz w:val="24"/>
        </w:rPr>
      </w:pPr>
      <w:r w:rsidRPr="002F2FAA">
        <w:rPr>
          <w:rFonts w:ascii="Times New Roman" w:hAnsi="Times New Roman"/>
          <w:sz w:val="24"/>
        </w:rPr>
        <w:t>(4) Ak bude cenovým orgánom podľa osobitného predpisu</w:t>
      </w:r>
      <w:r w:rsidRPr="002F2FAA">
        <w:rPr>
          <w:rFonts w:ascii="Times New Roman" w:hAnsi="Times New Roman"/>
          <w:sz w:val="24"/>
          <w:vertAlign w:val="superscript"/>
        </w:rPr>
        <w:t>22a</w:t>
      </w:r>
      <w:r w:rsidRPr="002F2FAA" w:rsidR="00A47A4B">
        <w:rPr>
          <w:rFonts w:ascii="Times New Roman" w:hAnsi="Times New Roman"/>
          <w:sz w:val="24"/>
        </w:rPr>
        <w:t>) po 1. januári 2018</w:t>
      </w:r>
      <w:r w:rsidRPr="002F2FAA">
        <w:rPr>
          <w:rFonts w:ascii="Times New Roman" w:hAnsi="Times New Roman"/>
          <w:sz w:val="24"/>
        </w:rPr>
        <w:t xml:space="preserve"> úradne určená cena domáceho uhlia vo výške nižšej ako cena domáceho uhlia, ktorá bola započítaná do ceny regulovanej činnosti podľa § 11 ods. 1 písm. b), úrad začne konanie o zmene cenového rozhodnutia najneskôr do 30 dní od účinnosti úradne určenej ceny domáceho uhlia.“.</w:t>
      </w:r>
    </w:p>
    <w:p w:rsidR="00E8401B" w:rsidRPr="002F2FAA" w:rsidP="00A47A4B">
      <w:pPr>
        <w:autoSpaceDE w:val="0"/>
        <w:autoSpaceDN w:val="0"/>
        <w:bidi w:val="0"/>
        <w:spacing w:after="0" w:line="240" w:lineRule="auto"/>
        <w:ind w:firstLine="567"/>
        <w:jc w:val="both"/>
        <w:rPr>
          <w:rFonts w:ascii="Times New Roman" w:hAnsi="Times New Roman"/>
          <w:sz w:val="24"/>
        </w:rPr>
      </w:pPr>
    </w:p>
    <w:p w:rsidR="00E8401B" w:rsidRPr="002F2FAA" w:rsidP="00E8401B">
      <w:pPr>
        <w:keepNext/>
        <w:bidi w:val="0"/>
        <w:spacing w:after="0" w:line="240" w:lineRule="auto"/>
        <w:jc w:val="center"/>
        <w:rPr>
          <w:rFonts w:ascii="Times New Roman" w:hAnsi="Times New Roman"/>
          <w:b/>
          <w:sz w:val="24"/>
        </w:rPr>
      </w:pPr>
      <w:r w:rsidRPr="002F2FAA">
        <w:rPr>
          <w:rFonts w:ascii="Times New Roman" w:hAnsi="Times New Roman"/>
          <w:b/>
          <w:sz w:val="24"/>
        </w:rPr>
        <w:t>Čl. III</w:t>
      </w:r>
    </w:p>
    <w:p w:rsidR="00E8401B" w:rsidRPr="002F2FAA" w:rsidP="00E8401B">
      <w:pPr>
        <w:keepNext/>
        <w:bidi w:val="0"/>
        <w:spacing w:after="0" w:line="240" w:lineRule="auto"/>
        <w:ind w:firstLine="567"/>
        <w:rPr>
          <w:rFonts w:ascii="Times New Roman" w:hAnsi="Times New Roman"/>
          <w:bCs/>
          <w:sz w:val="24"/>
          <w:szCs w:val="24"/>
        </w:rPr>
      </w:pPr>
    </w:p>
    <w:p w:rsidR="00E8401B" w:rsidRPr="002F2FAA" w:rsidP="00E8401B">
      <w:pPr>
        <w:keepNext/>
        <w:bidi w:val="0"/>
        <w:spacing w:after="0" w:line="240" w:lineRule="auto"/>
        <w:ind w:left="709" w:firstLine="709"/>
        <w:rPr>
          <w:rFonts w:ascii="Times New Roman" w:hAnsi="Times New Roman"/>
          <w:bCs/>
          <w:sz w:val="24"/>
          <w:szCs w:val="24"/>
        </w:rPr>
      </w:pPr>
      <w:r w:rsidRPr="002F2FAA">
        <w:rPr>
          <w:rFonts w:ascii="Times New Roman" w:hAnsi="Times New Roman"/>
          <w:bCs/>
          <w:sz w:val="24"/>
          <w:szCs w:val="24"/>
        </w:rPr>
        <w:t>Tento zákon nadobúda</w:t>
      </w:r>
      <w:r w:rsidRPr="002F2FAA" w:rsidR="00A47A4B">
        <w:rPr>
          <w:rFonts w:ascii="Times New Roman" w:hAnsi="Times New Roman"/>
          <w:bCs/>
          <w:sz w:val="24"/>
          <w:szCs w:val="24"/>
        </w:rPr>
        <w:t xml:space="preserve"> účinnosť 1. januára 2018</w:t>
      </w:r>
      <w:r w:rsidRPr="002F2FAA">
        <w:rPr>
          <w:rFonts w:ascii="Times New Roman" w:hAnsi="Times New Roman"/>
          <w:bCs/>
          <w:sz w:val="24"/>
          <w:szCs w:val="24"/>
        </w:rPr>
        <w:t>.</w:t>
      </w:r>
    </w:p>
    <w:p w:rsidR="00E8401B" w:rsidRPr="002F2FAA" w:rsidP="00E8401B">
      <w:pPr>
        <w:autoSpaceDE w:val="0"/>
        <w:autoSpaceDN w:val="0"/>
        <w:bidi w:val="0"/>
        <w:spacing w:after="0" w:line="240" w:lineRule="auto"/>
        <w:rPr>
          <w:rFonts w:ascii="Times New Roman" w:hAnsi="Times New Roman"/>
          <w:sz w:val="24"/>
        </w:rPr>
      </w:pPr>
    </w:p>
    <w:p w:rsidR="00E8401B" w:rsidRPr="002F2FAA" w:rsidP="00E8401B">
      <w:pPr>
        <w:autoSpaceDE w:val="0"/>
        <w:autoSpaceDN w:val="0"/>
        <w:bidi w:val="0"/>
        <w:spacing w:after="0" w:line="240" w:lineRule="auto"/>
        <w:rPr>
          <w:rFonts w:ascii="Times New Roman" w:hAnsi="Times New Roman"/>
          <w:sz w:val="24"/>
        </w:rPr>
      </w:pPr>
    </w:p>
    <w:p w:rsidR="00E8401B" w:rsidRPr="002F2FAA" w:rsidP="00E8401B">
      <w:pPr>
        <w:autoSpaceDE w:val="0"/>
        <w:autoSpaceDN w:val="0"/>
        <w:bidi w:val="0"/>
        <w:spacing w:after="0" w:line="240" w:lineRule="auto"/>
        <w:rPr>
          <w:rFonts w:ascii="Times New Roman" w:hAnsi="Times New Roman"/>
          <w:sz w:val="24"/>
        </w:rPr>
      </w:pPr>
    </w:p>
    <w:p w:rsidR="00E8401B" w:rsidRPr="002F2FAA" w:rsidP="00E8401B">
      <w:pPr>
        <w:bidi w:val="0"/>
        <w:spacing w:after="0"/>
      </w:pPr>
    </w:p>
    <w:p w:rsidR="00FB26EA" w:rsidRPr="002F2FAA" w:rsidP="00E8401B">
      <w:pPr>
        <w:bidi w:val="0"/>
        <w:spacing w:after="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Arial"/>
    <w:panose1 w:val="00000000000000000000"/>
    <w:charset w:val="00"/>
    <w:family w:val="swiss"/>
    <w:pitch w:val="default"/>
    <w:sig w:usb0="00000000" w:usb1="00000000" w:usb2="00000000" w:usb3="00000000" w:csb0="00000001" w:csb1="00000000"/>
  </w:font>
  <w:font w:name="Trebuchet MS">
    <w:panose1 w:val="020B060302020202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831"/>
    <w:multiLevelType w:val="hybridMultilevel"/>
    <w:tmpl w:val="C4C43D30"/>
    <w:lvl w:ilvl="0">
      <w:start w:val="0"/>
      <w:numFmt w:val="bullet"/>
      <w:lvlText w:val="-"/>
      <w:lvlJc w:val="left"/>
      <w:pPr>
        <w:ind w:left="720" w:hanging="360"/>
      </w:pPr>
      <w:rPr>
        <w:rFonts w:ascii="Trebuchet MS" w:eastAsia="Times New Roman"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56310C"/>
    <w:multiLevelType w:val="hybridMultilevel"/>
    <w:tmpl w:val="126297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C82409"/>
    <w:multiLevelType w:val="hybridMultilevel"/>
    <w:tmpl w:val="150020D8"/>
    <w:lvl w:ilvl="0">
      <w:start w:val="0"/>
      <w:numFmt w:val="bullet"/>
      <w:lvlText w:val="-"/>
      <w:lvlJc w:val="left"/>
      <w:pPr>
        <w:ind w:left="1065" w:hanging="360"/>
      </w:pPr>
      <w:rPr>
        <w:rFonts w:ascii="Calibri" w:eastAsia="Times New Roman" w:hAnsi="Calibri"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3">
    <w:nsid w:val="1C5054C1"/>
    <w:multiLevelType w:val="hybridMultilevel"/>
    <w:tmpl w:val="4F7E149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DC42D8E"/>
    <w:multiLevelType w:val="hybridMultilevel"/>
    <w:tmpl w:val="C5D4F8D8"/>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5">
    <w:nsid w:val="27C8541A"/>
    <w:multiLevelType w:val="hybridMultilevel"/>
    <w:tmpl w:val="7B68CF46"/>
    <w:lvl w:ilvl="0">
      <w:start w:val="1"/>
      <w:numFmt w:val="decimal"/>
      <w:lvlText w:val="%1)"/>
      <w:lvlJc w:val="left"/>
      <w:pPr>
        <w:ind w:left="720" w:hanging="360"/>
      </w:pPr>
      <w:rPr>
        <w:rFonts w:ascii="Arial" w:eastAsia="Times New Roman" w:hAnsi="Arial"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9C7660E"/>
    <w:multiLevelType w:val="hybridMultilevel"/>
    <w:tmpl w:val="B824DCC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D537417"/>
    <w:multiLevelType w:val="hybridMultilevel"/>
    <w:tmpl w:val="7294242A"/>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CBD640A"/>
    <w:multiLevelType w:val="hybridMultilevel"/>
    <w:tmpl w:val="02641C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D9131AF"/>
    <w:multiLevelType w:val="hybridMultilevel"/>
    <w:tmpl w:val="7ED8BC4A"/>
    <w:lvl w:ilvl="0">
      <w:start w:val="0"/>
      <w:numFmt w:val="bullet"/>
      <w:lvlText w:val="-"/>
      <w:lvlJc w:val="left"/>
      <w:pPr>
        <w:ind w:left="720" w:hanging="360"/>
      </w:pPr>
      <w:rPr>
        <w:rFonts w:ascii="Trebuchet MS" w:eastAsia="Times New Roman"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3F83ADE"/>
    <w:multiLevelType w:val="hybridMultilevel"/>
    <w:tmpl w:val="BD10901E"/>
    <w:lvl w:ilvl="0">
      <w:start w:val="900"/>
      <w:numFmt w:val="bullet"/>
      <w:lvlText w:val="-"/>
      <w:lvlJc w:val="left"/>
      <w:pPr>
        <w:ind w:left="420" w:hanging="360"/>
      </w:pPr>
      <w:rPr>
        <w:rFonts w:ascii="Arial" w:eastAsia="Times New Roman" w:hAnsi="Arial"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11">
    <w:nsid w:val="48AE0BFC"/>
    <w:multiLevelType w:val="hybridMultilevel"/>
    <w:tmpl w:val="A0B23CD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5B953E0"/>
    <w:multiLevelType w:val="hybridMultilevel"/>
    <w:tmpl w:val="7390D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6CE6AC5"/>
    <w:multiLevelType w:val="hybridMultilevel"/>
    <w:tmpl w:val="FAB463F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4">
    <w:nsid w:val="577F69C9"/>
    <w:multiLevelType w:val="hybridMultilevel"/>
    <w:tmpl w:val="3A5AE8C0"/>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5A68E6"/>
    <w:multiLevelType w:val="hybridMultilevel"/>
    <w:tmpl w:val="B4DE4B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B0A1BA3"/>
    <w:multiLevelType w:val="hybridMultilevel"/>
    <w:tmpl w:val="0486F4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0984598"/>
    <w:multiLevelType w:val="hybridMultilevel"/>
    <w:tmpl w:val="65D879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94E77C3"/>
    <w:multiLevelType w:val="hybridMultilevel"/>
    <w:tmpl w:val="217CE0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E501D8E"/>
    <w:multiLevelType w:val="hybridMultilevel"/>
    <w:tmpl w:val="2AE28B82"/>
    <w:lvl w:ilvl="0">
      <w:start w:val="90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8"/>
  </w:num>
  <w:num w:numId="6">
    <w:abstractNumId w:val="19"/>
  </w:num>
  <w:num w:numId="7">
    <w:abstractNumId w:val="10"/>
  </w:num>
  <w:num w:numId="8">
    <w:abstractNumId w:val="16"/>
  </w:num>
  <w:num w:numId="9">
    <w:abstractNumId w:val="18"/>
  </w:num>
  <w:num w:numId="10">
    <w:abstractNumId w:val="11"/>
  </w:num>
  <w:num w:numId="11">
    <w:abstractNumId w:val="6"/>
  </w:num>
  <w:num w:numId="12">
    <w:abstractNumId w:val="3"/>
  </w:num>
  <w:num w:numId="13">
    <w:abstractNumId w:val="1"/>
  </w:num>
  <w:num w:numId="14">
    <w:abstractNumId w:val="0"/>
  </w:num>
  <w:num w:numId="15">
    <w:abstractNumId w:val="9"/>
  </w:num>
  <w:num w:numId="16">
    <w:abstractNumId w:val="17"/>
  </w:num>
  <w:num w:numId="17">
    <w:abstractNumId w:val="15"/>
  </w:num>
  <w:num w:numId="18">
    <w:abstractNumId w:val="14"/>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13721"/>
    <w:rsid w:val="00031079"/>
    <w:rsid w:val="00061ACA"/>
    <w:rsid w:val="00062D48"/>
    <w:rsid w:val="00064E91"/>
    <w:rsid w:val="000676E0"/>
    <w:rsid w:val="00081585"/>
    <w:rsid w:val="00083C18"/>
    <w:rsid w:val="0009031E"/>
    <w:rsid w:val="00091C12"/>
    <w:rsid w:val="000C10CE"/>
    <w:rsid w:val="000C5B6A"/>
    <w:rsid w:val="000D0172"/>
    <w:rsid w:val="000D1A3C"/>
    <w:rsid w:val="000E71E5"/>
    <w:rsid w:val="001020FC"/>
    <w:rsid w:val="001161AE"/>
    <w:rsid w:val="00116B7E"/>
    <w:rsid w:val="00117910"/>
    <w:rsid w:val="0013733B"/>
    <w:rsid w:val="00142C37"/>
    <w:rsid w:val="001477F4"/>
    <w:rsid w:val="0017381A"/>
    <w:rsid w:val="001763CF"/>
    <w:rsid w:val="00181F56"/>
    <w:rsid w:val="00184FCA"/>
    <w:rsid w:val="0018740A"/>
    <w:rsid w:val="00194639"/>
    <w:rsid w:val="001A650D"/>
    <w:rsid w:val="001B06B5"/>
    <w:rsid w:val="001B3408"/>
    <w:rsid w:val="001B6607"/>
    <w:rsid w:val="001D5215"/>
    <w:rsid w:val="001F68A2"/>
    <w:rsid w:val="002120E9"/>
    <w:rsid w:val="002164E8"/>
    <w:rsid w:val="002302DF"/>
    <w:rsid w:val="002446BA"/>
    <w:rsid w:val="002506FF"/>
    <w:rsid w:val="00251AA0"/>
    <w:rsid w:val="0025679C"/>
    <w:rsid w:val="00264A4F"/>
    <w:rsid w:val="0027413A"/>
    <w:rsid w:val="0028328C"/>
    <w:rsid w:val="0029580B"/>
    <w:rsid w:val="00295C55"/>
    <w:rsid w:val="002974A0"/>
    <w:rsid w:val="002A36D9"/>
    <w:rsid w:val="002B0999"/>
    <w:rsid w:val="002D3B9B"/>
    <w:rsid w:val="002D58BD"/>
    <w:rsid w:val="002D72AE"/>
    <w:rsid w:val="002F2FAA"/>
    <w:rsid w:val="002F34B4"/>
    <w:rsid w:val="00300BB4"/>
    <w:rsid w:val="00302A8A"/>
    <w:rsid w:val="00302EF2"/>
    <w:rsid w:val="00305C9F"/>
    <w:rsid w:val="00316FCA"/>
    <w:rsid w:val="003268F7"/>
    <w:rsid w:val="0032740E"/>
    <w:rsid w:val="0034202C"/>
    <w:rsid w:val="003471F7"/>
    <w:rsid w:val="00347E15"/>
    <w:rsid w:val="00352057"/>
    <w:rsid w:val="003661D9"/>
    <w:rsid w:val="00373B58"/>
    <w:rsid w:val="00375ECE"/>
    <w:rsid w:val="00376B71"/>
    <w:rsid w:val="00383144"/>
    <w:rsid w:val="00384E35"/>
    <w:rsid w:val="00391D89"/>
    <w:rsid w:val="003B16FC"/>
    <w:rsid w:val="003C3087"/>
    <w:rsid w:val="003D6D7F"/>
    <w:rsid w:val="003D6D93"/>
    <w:rsid w:val="003D7ED9"/>
    <w:rsid w:val="00402806"/>
    <w:rsid w:val="00423C66"/>
    <w:rsid w:val="00450685"/>
    <w:rsid w:val="004576ED"/>
    <w:rsid w:val="00462F78"/>
    <w:rsid w:val="004778DE"/>
    <w:rsid w:val="00481AB4"/>
    <w:rsid w:val="00482B84"/>
    <w:rsid w:val="004A1470"/>
    <w:rsid w:val="004A1776"/>
    <w:rsid w:val="004C579F"/>
    <w:rsid w:val="004C71F9"/>
    <w:rsid w:val="004D25DA"/>
    <w:rsid w:val="004D2A4F"/>
    <w:rsid w:val="004D7F9F"/>
    <w:rsid w:val="004F5E6A"/>
    <w:rsid w:val="004F7271"/>
    <w:rsid w:val="00500B14"/>
    <w:rsid w:val="00512C8C"/>
    <w:rsid w:val="00513C83"/>
    <w:rsid w:val="005348C1"/>
    <w:rsid w:val="005434FC"/>
    <w:rsid w:val="005440CE"/>
    <w:rsid w:val="00550EB3"/>
    <w:rsid w:val="00552B5C"/>
    <w:rsid w:val="00556626"/>
    <w:rsid w:val="00556997"/>
    <w:rsid w:val="005734A0"/>
    <w:rsid w:val="005A06B0"/>
    <w:rsid w:val="005B07C8"/>
    <w:rsid w:val="005C17C6"/>
    <w:rsid w:val="005C70E8"/>
    <w:rsid w:val="005D29DF"/>
    <w:rsid w:val="005F6CFC"/>
    <w:rsid w:val="00602E03"/>
    <w:rsid w:val="00604245"/>
    <w:rsid w:val="00606610"/>
    <w:rsid w:val="00610993"/>
    <w:rsid w:val="00622F95"/>
    <w:rsid w:val="00626CE7"/>
    <w:rsid w:val="00630DDF"/>
    <w:rsid w:val="00635EF6"/>
    <w:rsid w:val="0065741D"/>
    <w:rsid w:val="0066330B"/>
    <w:rsid w:val="00663B38"/>
    <w:rsid w:val="0068196D"/>
    <w:rsid w:val="00693726"/>
    <w:rsid w:val="00695081"/>
    <w:rsid w:val="006A664B"/>
    <w:rsid w:val="006C2093"/>
    <w:rsid w:val="006D3CC9"/>
    <w:rsid w:val="006D7A5C"/>
    <w:rsid w:val="006E25AA"/>
    <w:rsid w:val="006F40F0"/>
    <w:rsid w:val="0071717D"/>
    <w:rsid w:val="00723803"/>
    <w:rsid w:val="007519BD"/>
    <w:rsid w:val="00772D23"/>
    <w:rsid w:val="00773C7A"/>
    <w:rsid w:val="00777FD1"/>
    <w:rsid w:val="007812F7"/>
    <w:rsid w:val="007B20F6"/>
    <w:rsid w:val="007B73B8"/>
    <w:rsid w:val="007C1940"/>
    <w:rsid w:val="007C525A"/>
    <w:rsid w:val="007C71BF"/>
    <w:rsid w:val="007E101B"/>
    <w:rsid w:val="007E18C8"/>
    <w:rsid w:val="007F048E"/>
    <w:rsid w:val="008100CA"/>
    <w:rsid w:val="00810F55"/>
    <w:rsid w:val="0085141C"/>
    <w:rsid w:val="00855B57"/>
    <w:rsid w:val="00855DDA"/>
    <w:rsid w:val="00861578"/>
    <w:rsid w:val="00872081"/>
    <w:rsid w:val="00882C76"/>
    <w:rsid w:val="00884209"/>
    <w:rsid w:val="00885E3B"/>
    <w:rsid w:val="008922FC"/>
    <w:rsid w:val="00896A13"/>
    <w:rsid w:val="00897073"/>
    <w:rsid w:val="00897B21"/>
    <w:rsid w:val="008A1097"/>
    <w:rsid w:val="008B064C"/>
    <w:rsid w:val="008D106A"/>
    <w:rsid w:val="008D1AC8"/>
    <w:rsid w:val="008D41B1"/>
    <w:rsid w:val="008D4B95"/>
    <w:rsid w:val="008E56CC"/>
    <w:rsid w:val="008F3B43"/>
    <w:rsid w:val="00905922"/>
    <w:rsid w:val="009148C6"/>
    <w:rsid w:val="00924F7C"/>
    <w:rsid w:val="009347CF"/>
    <w:rsid w:val="00937A67"/>
    <w:rsid w:val="00944A52"/>
    <w:rsid w:val="00954829"/>
    <w:rsid w:val="00954BC4"/>
    <w:rsid w:val="009B13D7"/>
    <w:rsid w:val="009B5156"/>
    <w:rsid w:val="009C7D07"/>
    <w:rsid w:val="009D1803"/>
    <w:rsid w:val="009D25FA"/>
    <w:rsid w:val="009E6779"/>
    <w:rsid w:val="009F6AFD"/>
    <w:rsid w:val="009F7FD6"/>
    <w:rsid w:val="00A023AE"/>
    <w:rsid w:val="00A05D4F"/>
    <w:rsid w:val="00A11728"/>
    <w:rsid w:val="00A14D28"/>
    <w:rsid w:val="00A23059"/>
    <w:rsid w:val="00A3176A"/>
    <w:rsid w:val="00A374DD"/>
    <w:rsid w:val="00A422BE"/>
    <w:rsid w:val="00A46B75"/>
    <w:rsid w:val="00A47A4B"/>
    <w:rsid w:val="00A556F1"/>
    <w:rsid w:val="00A56DD8"/>
    <w:rsid w:val="00A679A3"/>
    <w:rsid w:val="00A67AC6"/>
    <w:rsid w:val="00A70BC0"/>
    <w:rsid w:val="00A71996"/>
    <w:rsid w:val="00A74CDD"/>
    <w:rsid w:val="00A76599"/>
    <w:rsid w:val="00A86C3E"/>
    <w:rsid w:val="00A96688"/>
    <w:rsid w:val="00A96A1A"/>
    <w:rsid w:val="00AB466D"/>
    <w:rsid w:val="00AB5412"/>
    <w:rsid w:val="00AE47B3"/>
    <w:rsid w:val="00AE71AF"/>
    <w:rsid w:val="00B05268"/>
    <w:rsid w:val="00B14F99"/>
    <w:rsid w:val="00B15A4C"/>
    <w:rsid w:val="00B1695D"/>
    <w:rsid w:val="00B208D0"/>
    <w:rsid w:val="00B50CCE"/>
    <w:rsid w:val="00B71DC8"/>
    <w:rsid w:val="00B76536"/>
    <w:rsid w:val="00B83DB6"/>
    <w:rsid w:val="00B87479"/>
    <w:rsid w:val="00B92BF5"/>
    <w:rsid w:val="00BA45EF"/>
    <w:rsid w:val="00BB7ABF"/>
    <w:rsid w:val="00BC4CDF"/>
    <w:rsid w:val="00BC4E6A"/>
    <w:rsid w:val="00BD112F"/>
    <w:rsid w:val="00BE63DE"/>
    <w:rsid w:val="00BE71B3"/>
    <w:rsid w:val="00BF3ED2"/>
    <w:rsid w:val="00BF4948"/>
    <w:rsid w:val="00C12A92"/>
    <w:rsid w:val="00C21A3E"/>
    <w:rsid w:val="00C303EB"/>
    <w:rsid w:val="00C31601"/>
    <w:rsid w:val="00C321B4"/>
    <w:rsid w:val="00C45D9A"/>
    <w:rsid w:val="00C47123"/>
    <w:rsid w:val="00C522C1"/>
    <w:rsid w:val="00C65493"/>
    <w:rsid w:val="00C70283"/>
    <w:rsid w:val="00C755CF"/>
    <w:rsid w:val="00CB2293"/>
    <w:rsid w:val="00CC1A50"/>
    <w:rsid w:val="00CC4C24"/>
    <w:rsid w:val="00CD5951"/>
    <w:rsid w:val="00CE003A"/>
    <w:rsid w:val="00CE7236"/>
    <w:rsid w:val="00CF0F6C"/>
    <w:rsid w:val="00CF33D8"/>
    <w:rsid w:val="00CF3D24"/>
    <w:rsid w:val="00D17744"/>
    <w:rsid w:val="00D23033"/>
    <w:rsid w:val="00D30E92"/>
    <w:rsid w:val="00D36A21"/>
    <w:rsid w:val="00D43369"/>
    <w:rsid w:val="00D43655"/>
    <w:rsid w:val="00D44BF9"/>
    <w:rsid w:val="00D50E7B"/>
    <w:rsid w:val="00D620C4"/>
    <w:rsid w:val="00D70ED0"/>
    <w:rsid w:val="00D77B1F"/>
    <w:rsid w:val="00DA07F7"/>
    <w:rsid w:val="00DB271B"/>
    <w:rsid w:val="00DC3A2D"/>
    <w:rsid w:val="00DC3BB1"/>
    <w:rsid w:val="00DD79C3"/>
    <w:rsid w:val="00E11BAF"/>
    <w:rsid w:val="00E2196F"/>
    <w:rsid w:val="00E31C85"/>
    <w:rsid w:val="00E408B2"/>
    <w:rsid w:val="00E5134E"/>
    <w:rsid w:val="00E52BED"/>
    <w:rsid w:val="00E61D46"/>
    <w:rsid w:val="00E62EEE"/>
    <w:rsid w:val="00E672E5"/>
    <w:rsid w:val="00E8401B"/>
    <w:rsid w:val="00EB5CF3"/>
    <w:rsid w:val="00ED54B1"/>
    <w:rsid w:val="00EE28C5"/>
    <w:rsid w:val="00EE45DB"/>
    <w:rsid w:val="00F06B5E"/>
    <w:rsid w:val="00F15A12"/>
    <w:rsid w:val="00F161B8"/>
    <w:rsid w:val="00F310AC"/>
    <w:rsid w:val="00F406DA"/>
    <w:rsid w:val="00F45D81"/>
    <w:rsid w:val="00F50D8A"/>
    <w:rsid w:val="00F51449"/>
    <w:rsid w:val="00F526C5"/>
    <w:rsid w:val="00F60E59"/>
    <w:rsid w:val="00F64504"/>
    <w:rsid w:val="00F75573"/>
    <w:rsid w:val="00F759A3"/>
    <w:rsid w:val="00F872C1"/>
    <w:rsid w:val="00FA387E"/>
    <w:rsid w:val="00FB26EA"/>
    <w:rsid w:val="00FC7F2C"/>
    <w:rsid w:val="00FD1F08"/>
    <w:rsid w:val="00FE4D09"/>
    <w:rsid w:val="00FE5C9A"/>
    <w:rsid w:val="00FE7970"/>
    <w:rsid w:val="00FF1E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basedOn w:val="Normal"/>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semiHidden/>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styleId="CommentReference">
    <w:name w:val="annotation reference"/>
    <w:basedOn w:val="DefaultParagraphFont"/>
    <w:uiPriority w:val="99"/>
    <w:semiHidden/>
    <w:unhideWhenUsed/>
    <w:rsid w:val="00E8401B"/>
    <w:rPr>
      <w:rFonts w:cs="Times New Roman"/>
      <w:sz w:val="16"/>
      <w:szCs w:val="16"/>
      <w:rtl w:val="0"/>
      <w:cs w:val="0"/>
    </w:rPr>
  </w:style>
  <w:style w:type="paragraph" w:styleId="CommentText">
    <w:name w:val="annotation text"/>
    <w:basedOn w:val="Normal"/>
    <w:link w:val="TextkomentraChar"/>
    <w:uiPriority w:val="99"/>
    <w:semiHidden/>
    <w:unhideWhenUsed/>
    <w:rsid w:val="00E8401B"/>
    <w:pPr>
      <w:spacing w:after="0" w:line="264" w:lineRule="auto"/>
      <w:ind w:left="567" w:hanging="567"/>
      <w:jc w:val="both"/>
    </w:pPr>
    <w:rPr>
      <w:sz w:val="20"/>
      <w:szCs w:val="20"/>
    </w:rPr>
  </w:style>
  <w:style w:type="character" w:customStyle="1" w:styleId="TextkomentraChar">
    <w:name w:val="Text komentára Char"/>
    <w:basedOn w:val="DefaultParagraphFont"/>
    <w:link w:val="CommentText"/>
    <w:uiPriority w:val="99"/>
    <w:semiHidden/>
    <w:locked/>
    <w:rsid w:val="00E8401B"/>
    <w:rPr>
      <w:rFonts w:ascii="Calibri" w:hAnsi="Calibri" w:cs="Times New Roman"/>
      <w:sz w:val="20"/>
      <w:szCs w:val="20"/>
      <w:rtl w:val="0"/>
      <w:cs w:val="0"/>
    </w:rPr>
  </w:style>
  <w:style w:type="paragraph" w:styleId="BalloonText">
    <w:name w:val="Balloon Text"/>
    <w:basedOn w:val="Normal"/>
    <w:link w:val="TextbublinyChar"/>
    <w:uiPriority w:val="99"/>
    <w:semiHidden/>
    <w:unhideWhenUsed/>
    <w:rsid w:val="00E8401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8401B"/>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59</TotalTime>
  <Pages>4</Pages>
  <Words>1053</Words>
  <Characters>6006</Characters>
  <Application>Microsoft Office Word</Application>
  <DocSecurity>0</DocSecurity>
  <Lines>0</Lines>
  <Paragraphs>0</Paragraphs>
  <ScaleCrop>false</ScaleCrop>
  <Company>MVSR</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cp:lastPrinted>2017-08-18T09:55:00Z</cp:lastPrinted>
  <dcterms:created xsi:type="dcterms:W3CDTF">2017-08-15T10:03:00Z</dcterms:created>
  <dcterms:modified xsi:type="dcterms:W3CDTF">2017-08-18T09:59:00Z</dcterms:modified>
</cp:coreProperties>
</file>