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4D0ACD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D0ACD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4D0ACD" w:rsidP="00CD2466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4D0ACD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4D0ACD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1724E" w:rsidRPr="004D0ACD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 w:rsidR="00E963A3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</w:t>
      </w: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4D0ACD" w:rsidR="00E963A3">
        <w:rPr>
          <w:rFonts w:ascii="Times New Roman" w:hAnsi="Times New Roman"/>
          <w:b/>
          <w:bCs/>
          <w:sz w:val="24"/>
          <w:szCs w:val="24"/>
          <w:lang w:eastAsia="sk-SK"/>
        </w:rPr>
        <w:t>návrhu</w:t>
      </w:r>
    </w:p>
    <w:p w:rsidR="00C834B4" w:rsidRPr="004D0ACD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C14DCC" w:rsidRPr="004D0ACD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891B6D" w:rsidP="007F72FB">
      <w:pPr>
        <w:bidi w:val="0"/>
        <w:spacing w:after="0" w:line="240" w:lineRule="auto"/>
        <w:ind w:left="7080" w:firstLine="708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4D0ACD" w:rsidR="007D5748">
        <w:rPr>
          <w:rFonts w:ascii="Times New Roman" w:hAnsi="Times New Roman"/>
          <w:sz w:val="20"/>
          <w:szCs w:val="20"/>
          <w:lang w:eastAsia="sk-SK"/>
        </w:rPr>
        <w:t>Tabuľka č. 1</w:t>
      </w:r>
    </w:p>
    <w:tbl>
      <w:tblPr>
        <w:tblStyle w:val="TableNormal"/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80"/>
        <w:gridCol w:w="960"/>
        <w:gridCol w:w="1020"/>
        <w:gridCol w:w="1020"/>
        <w:gridCol w:w="1020"/>
      </w:tblGrid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40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(cash = ESA2010)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-145 450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9B3D08" w:rsidRPr="009253F0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253F0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-145 450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textDirection w:val="lrTb"/>
            <w:vAlign w:val="center"/>
            <w:hideMark/>
          </w:tcPr>
          <w:p w:rsidR="009B3D08" w:rsidRPr="006412C5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412C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-145 450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-145 450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-145 450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-145 450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93 806 010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253F0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253F0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121 732 547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6412C5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412C5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153 430 309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(MPSVR SR – 07C06 Nesystémové dávky sociálneho poistenia)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-3 634 432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-6 432 199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-9 051 753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(MPSVR SR – 07E0301 Aparát ministerstva)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114 000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440 000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50 000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 (MPSVR SR – 07E0401 Špecializovaná štátna správa)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125 000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ind w:firstLine="200" w:firstLineChars="100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96 276 442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126 794 746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161 812 062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Úrad pre dohľad nad zdravotnou starostlivosťou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925 000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930 000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620 000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-3 395 432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-5 992 199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-9 001 753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štátny rozpočet (MPSVR SR)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-3 395 432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-5 992 199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-9 001 753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rozpočet Sociálnej poisťovne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8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- vplyv na rozpočet Úradu pre dohľad nad zdravotnou starostlivosťou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</w:tr>
      <w:tr>
        <w:tblPrEx>
          <w:tblW w:w="960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93 951 460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121 877 996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153 575 759</w:t>
            </w:r>
          </w:p>
        </w:tc>
      </w:tr>
    </w:tbl>
    <w:p w:rsidR="00AB3C25" w:rsidRPr="004D0ACD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CA0E25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 w:rsidR="007273C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</w:t>
      </w:r>
    </w:p>
    <w:p w:rsidR="007D5748" w:rsidRPr="004D0ACD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 w:rsidR="007273C7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</w:t>
      </w:r>
      <w:r w:rsidR="00866FE4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                     </w:t>
      </w: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4D0ACD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870931" w:rsidRPr="004D0ACD" w:rsidP="00CD24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bCs/>
          <w:lang w:eastAsia="sk-SK"/>
        </w:rPr>
      </w:pPr>
      <w:r w:rsidRPr="004D0ACD" w:rsidR="002439B0">
        <w:rPr>
          <w:rFonts w:ascii="Times New Roman" w:hAnsi="Times New Roman"/>
          <w:bCs/>
          <w:lang w:eastAsia="sk-SK"/>
        </w:rPr>
        <w:t>Zvýšené výdavky rozpočtu S</w:t>
      </w:r>
      <w:r w:rsidRPr="004D0ACD" w:rsidR="00356761">
        <w:rPr>
          <w:rFonts w:ascii="Times New Roman" w:hAnsi="Times New Roman"/>
          <w:bCs/>
          <w:lang w:eastAsia="sk-SK"/>
        </w:rPr>
        <w:t>ociálnej poisťovne</w:t>
      </w:r>
      <w:r w:rsidRPr="004D0ACD" w:rsidR="008D6EA1">
        <w:rPr>
          <w:rFonts w:ascii="Times New Roman" w:hAnsi="Times New Roman"/>
          <w:bCs/>
          <w:lang w:eastAsia="sk-SK"/>
        </w:rPr>
        <w:t xml:space="preserve"> </w:t>
      </w:r>
      <w:r w:rsidRPr="004D0ACD" w:rsidR="001D1AE3">
        <w:rPr>
          <w:rFonts w:ascii="Times New Roman" w:hAnsi="Times New Roman"/>
          <w:bCs/>
          <w:lang w:eastAsia="sk-SK"/>
        </w:rPr>
        <w:t xml:space="preserve">nie sú zahrnuté </w:t>
      </w:r>
      <w:r w:rsidRPr="004D0ACD" w:rsidR="00691E9B">
        <w:rPr>
          <w:rFonts w:ascii="Times New Roman" w:hAnsi="Times New Roman"/>
          <w:bCs/>
          <w:lang w:eastAsia="sk-SK"/>
        </w:rPr>
        <w:t>v</w:t>
      </w:r>
      <w:r w:rsidRPr="004D0ACD" w:rsidR="008D6EA1">
        <w:rPr>
          <w:rFonts w:ascii="Times New Roman" w:hAnsi="Times New Roman"/>
          <w:bCs/>
          <w:lang w:eastAsia="sk-SK"/>
        </w:rPr>
        <w:t xml:space="preserve"> návrhu rozpočtu Sociálnej poisťovne na rok 2018 a rozpočtového výhľadu na roky 2019 a 2020. Predpokladá sa však, že sa po začatí legislatívneho procesu predmetnej novely zapracujú v ďalších fázach prípravy a schvaľovania príslušných rozpočtov</w:t>
      </w:r>
      <w:r w:rsidRPr="004D0ACD" w:rsidR="002439B0">
        <w:rPr>
          <w:rFonts w:ascii="Times New Roman" w:hAnsi="Times New Roman"/>
          <w:bCs/>
          <w:lang w:eastAsia="sk-SK"/>
        </w:rPr>
        <w:t>.</w:t>
      </w:r>
      <w:r w:rsidRPr="004D0ACD" w:rsidR="00AD7A6C">
        <w:rPr>
          <w:rFonts w:ascii="Times New Roman" w:hAnsi="Times New Roman"/>
          <w:bCs/>
          <w:lang w:eastAsia="sk-SK"/>
        </w:rPr>
        <w:t xml:space="preserve"> </w:t>
      </w:r>
    </w:p>
    <w:p w:rsidR="00436870" w:rsidRPr="004D0ACD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439B0" w:rsidRPr="004D0ACD" w:rsidP="00CD246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 w:rsidR="00176F52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9E2092" w:rsidRPr="004D0ACD" w:rsidP="00CD2466">
      <w:pPr>
        <w:bidi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F49A8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Pr="004D0ACD" w:rsidR="00893B84">
        <w:rPr>
          <w:rFonts w:ascii="Times New Roman" w:hAnsi="Times New Roman"/>
          <w:color w:val="000000"/>
        </w:rPr>
        <w:t>Účelom navrhovanej právnej úpravy je najmä zavedenie minimálnej miery valorizácie dôchodkov, ktorá by bola akceptova</w:t>
      </w:r>
      <w:r w:rsidR="009070F0">
        <w:rPr>
          <w:rFonts w:ascii="Times New Roman" w:hAnsi="Times New Roman"/>
          <w:color w:val="000000"/>
        </w:rPr>
        <w:t>teľná dôchodcovskou verejnosťou</w:t>
      </w:r>
      <w:r w:rsidRPr="004D0ACD" w:rsidR="00893B84">
        <w:rPr>
          <w:rFonts w:ascii="Times New Roman" w:hAnsi="Times New Roman"/>
          <w:color w:val="000000"/>
        </w:rPr>
        <w:t>.</w:t>
      </w:r>
      <w:r w:rsidR="003D394F">
        <w:rPr>
          <w:rFonts w:ascii="Times New Roman" w:hAnsi="Times New Roman"/>
          <w:color w:val="000000"/>
        </w:rPr>
        <w:t xml:space="preserve"> </w:t>
      </w:r>
      <w:r w:rsidRPr="004D0ACD">
        <w:rPr>
          <w:rFonts w:ascii="Times New Roman" w:hAnsi="Times New Roman"/>
          <w:color w:val="000000"/>
        </w:rPr>
        <w:t>Účinnosť všetkých</w:t>
      </w:r>
      <w:r w:rsidRPr="004D0ACD" w:rsidR="00FF7348">
        <w:rPr>
          <w:rFonts w:ascii="Times New Roman" w:hAnsi="Times New Roman"/>
          <w:color w:val="000000"/>
        </w:rPr>
        <w:t xml:space="preserve"> opatrení sa </w:t>
      </w:r>
      <w:r w:rsidRPr="004D0ACD" w:rsidR="00B65274">
        <w:rPr>
          <w:rFonts w:ascii="Times New Roman" w:hAnsi="Times New Roman"/>
          <w:color w:val="000000"/>
        </w:rPr>
        <w:t>predpokladá</w:t>
      </w:r>
      <w:r w:rsidRPr="004D0ACD">
        <w:rPr>
          <w:rFonts w:ascii="Times New Roman" w:hAnsi="Times New Roman"/>
          <w:color w:val="000000"/>
        </w:rPr>
        <w:t xml:space="preserve"> od 1. januára 2018</w:t>
      </w:r>
      <w:r w:rsidRPr="004D0ACD" w:rsidR="00B65274">
        <w:rPr>
          <w:rFonts w:ascii="Times New Roman" w:hAnsi="Times New Roman"/>
          <w:color w:val="000000"/>
        </w:rPr>
        <w:t>, pričom sa navrhuje</w:t>
      </w:r>
      <w:r w:rsidRPr="004D0ACD" w:rsidR="00D05783">
        <w:rPr>
          <w:rFonts w:ascii="Times New Roman" w:hAnsi="Times New Roman"/>
          <w:color w:val="000000"/>
        </w:rPr>
        <w:t xml:space="preserve">: </w:t>
      </w:r>
      <w:r w:rsidRPr="004D0ACD">
        <w:rPr>
          <w:rFonts w:ascii="Times New Roman" w:hAnsi="Times New Roman"/>
          <w:color w:val="000000"/>
        </w:rPr>
        <w:t xml:space="preserve"> </w:t>
      </w: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A</w:t>
      </w:r>
      <w:r w:rsidRPr="004D0ACD">
        <w:rPr>
          <w:rFonts w:ascii="Times New Roman" w:hAnsi="Times New Roman"/>
          <w:color w:val="000000"/>
        </w:rPr>
        <w:t xml:space="preserve">) </w:t>
      </w:r>
      <w:r w:rsidR="006412C5">
        <w:rPr>
          <w:rFonts w:ascii="Times New Roman" w:hAnsi="Times New Roman"/>
          <w:color w:val="000000"/>
        </w:rPr>
        <w:t> Pre obdobie rokov</w:t>
      </w:r>
      <w:r w:rsidR="009A5A3C">
        <w:rPr>
          <w:rFonts w:ascii="Times New Roman" w:hAnsi="Times New Roman"/>
          <w:color w:val="000000"/>
        </w:rPr>
        <w:t xml:space="preserve"> 2018 až 2021 z</w:t>
      </w:r>
      <w:r w:rsidRPr="004D0ACD">
        <w:rPr>
          <w:rFonts w:ascii="Times New Roman" w:hAnsi="Times New Roman"/>
          <w:color w:val="000000"/>
        </w:rPr>
        <w:t>av</w:t>
      </w:r>
      <w:r w:rsidR="006412C5">
        <w:rPr>
          <w:rFonts w:ascii="Times New Roman" w:hAnsi="Times New Roman"/>
          <w:color w:val="000000"/>
        </w:rPr>
        <w:t>iesť</w:t>
      </w:r>
      <w:r w:rsidRPr="004D0ACD">
        <w:rPr>
          <w:rFonts w:ascii="Times New Roman" w:hAnsi="Times New Roman"/>
          <w:color w:val="000000"/>
        </w:rPr>
        <w:t xml:space="preserve"> </w:t>
      </w:r>
      <w:r w:rsidRPr="004D0ACD" w:rsidR="006412C5">
        <w:rPr>
          <w:rFonts w:ascii="Times New Roman" w:hAnsi="Times New Roman"/>
          <w:color w:val="000000"/>
        </w:rPr>
        <w:t>minimáln</w:t>
      </w:r>
      <w:r w:rsidR="006412C5">
        <w:rPr>
          <w:rFonts w:ascii="Times New Roman" w:hAnsi="Times New Roman"/>
          <w:color w:val="000000"/>
        </w:rPr>
        <w:t>u</w:t>
      </w:r>
      <w:r w:rsidRPr="004D0ACD" w:rsidR="006412C5">
        <w:rPr>
          <w:rFonts w:ascii="Times New Roman" w:hAnsi="Times New Roman"/>
          <w:color w:val="000000"/>
        </w:rPr>
        <w:t xml:space="preserve"> valorizačn</w:t>
      </w:r>
      <w:r w:rsidR="006412C5">
        <w:rPr>
          <w:rFonts w:ascii="Times New Roman" w:hAnsi="Times New Roman"/>
          <w:color w:val="000000"/>
        </w:rPr>
        <w:t>ú</w:t>
      </w:r>
      <w:r w:rsidRPr="004D0ACD" w:rsidR="006412C5">
        <w:rPr>
          <w:rFonts w:ascii="Times New Roman" w:hAnsi="Times New Roman"/>
          <w:color w:val="000000"/>
        </w:rPr>
        <w:t xml:space="preserve"> pevn</w:t>
      </w:r>
      <w:r w:rsidR="006412C5">
        <w:rPr>
          <w:rFonts w:ascii="Times New Roman" w:hAnsi="Times New Roman"/>
          <w:color w:val="000000"/>
        </w:rPr>
        <w:t>ú</w:t>
      </w:r>
      <w:r w:rsidRPr="004D0ACD" w:rsidR="006412C5">
        <w:rPr>
          <w:rFonts w:ascii="Times New Roman" w:hAnsi="Times New Roman"/>
          <w:color w:val="000000"/>
        </w:rPr>
        <w:t xml:space="preserve"> sum</w:t>
      </w:r>
      <w:r w:rsidR="006412C5">
        <w:rPr>
          <w:rFonts w:ascii="Times New Roman" w:hAnsi="Times New Roman"/>
          <w:color w:val="000000"/>
        </w:rPr>
        <w:t>u</w:t>
      </w:r>
      <w:r w:rsidRPr="004D0ACD" w:rsidR="006412C5">
        <w:rPr>
          <w:rFonts w:ascii="Times New Roman" w:hAnsi="Times New Roman"/>
          <w:color w:val="000000"/>
        </w:rPr>
        <w:t xml:space="preserve"> </w:t>
      </w:r>
      <w:r w:rsidRPr="004D0ACD">
        <w:rPr>
          <w:rFonts w:ascii="Times New Roman" w:hAnsi="Times New Roman"/>
          <w:color w:val="000000"/>
        </w:rPr>
        <w:t>na úrovni 2 % z priemerného dôchodku daného druhu</w:t>
      </w:r>
      <w:r w:rsidR="00D440A5">
        <w:rPr>
          <w:rFonts w:ascii="Times New Roman" w:hAnsi="Times New Roman"/>
          <w:color w:val="000000"/>
        </w:rPr>
        <w:t xml:space="preserve"> a minimálne percent</w:t>
      </w:r>
      <w:r w:rsidR="006412C5">
        <w:rPr>
          <w:rFonts w:ascii="Times New Roman" w:hAnsi="Times New Roman"/>
          <w:color w:val="000000"/>
        </w:rPr>
        <w:t>o</w:t>
      </w:r>
      <w:r w:rsidR="00D440A5">
        <w:rPr>
          <w:rFonts w:ascii="Times New Roman" w:hAnsi="Times New Roman"/>
          <w:color w:val="000000"/>
        </w:rPr>
        <w:t xml:space="preserve"> na valorizáciu úrazovej renty vo výške </w:t>
      </w:r>
      <w:r w:rsidR="008B5B87">
        <w:rPr>
          <w:rFonts w:ascii="Times New Roman" w:hAnsi="Times New Roman"/>
          <w:color w:val="000000"/>
        </w:rPr>
        <w:t xml:space="preserve">  </w:t>
      </w:r>
      <w:r w:rsidR="00D440A5">
        <w:rPr>
          <w:rFonts w:ascii="Times New Roman" w:hAnsi="Times New Roman"/>
          <w:color w:val="000000"/>
        </w:rPr>
        <w:t>2</w:t>
      </w:r>
      <w:r w:rsidR="008B5B87">
        <w:rPr>
          <w:rFonts w:ascii="Times New Roman" w:hAnsi="Times New Roman"/>
          <w:color w:val="000000"/>
        </w:rPr>
        <w:t xml:space="preserve"> </w:t>
      </w:r>
      <w:r w:rsidR="00D440A5">
        <w:rPr>
          <w:rFonts w:ascii="Times New Roman" w:hAnsi="Times New Roman"/>
          <w:color w:val="000000"/>
        </w:rPr>
        <w:t xml:space="preserve">% </w:t>
      </w:r>
      <w:r w:rsidRPr="004D0ACD">
        <w:rPr>
          <w:rFonts w:ascii="Times New Roman" w:hAnsi="Times New Roman"/>
          <w:color w:val="000000"/>
        </w:rPr>
        <w:t xml:space="preserve">. </w:t>
      </w: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B</w:t>
      </w:r>
      <w:r w:rsidRPr="004D0ACD">
        <w:rPr>
          <w:rFonts w:ascii="Times New Roman" w:hAnsi="Times New Roman"/>
          <w:color w:val="000000"/>
        </w:rPr>
        <w:t>) Uplatnenie jednotnej sadzby na úrazové poistenie vo výške 0,8</w:t>
      </w:r>
      <w:r w:rsidR="008B5B87">
        <w:rPr>
          <w:rFonts w:ascii="Times New Roman" w:hAnsi="Times New Roman"/>
          <w:color w:val="000000"/>
        </w:rPr>
        <w:t xml:space="preserve"> </w:t>
      </w:r>
      <w:r w:rsidRPr="004D0ACD">
        <w:rPr>
          <w:rFonts w:ascii="Times New Roman" w:hAnsi="Times New Roman"/>
          <w:color w:val="000000"/>
        </w:rPr>
        <w:t xml:space="preserve">% aj po 31. decembri 2017. </w:t>
      </w:r>
    </w:p>
    <w:p w:rsidR="00DE392D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C</w:t>
      </w:r>
      <w:r w:rsidRPr="004D0ACD">
        <w:rPr>
          <w:rFonts w:ascii="Times New Roman" w:hAnsi="Times New Roman"/>
          <w:color w:val="000000"/>
        </w:rPr>
        <w:t xml:space="preserve">) Zavedenie možnosti povolenia splátkového kalendára dlžného poistného aj osobám, ktoré už v súčasnosti nie sú povinné odvádzať poistné a predĺženie maximálnej doby splatnosti zo súčasných 18 mesiacov na 24 mesiacov.  </w:t>
      </w:r>
    </w:p>
    <w:p w:rsidR="00DE392D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DE392D" w:rsidRPr="00B74471" w:rsidP="00DE392D">
      <w:pPr>
        <w:bidi w:val="0"/>
        <w:spacing w:after="0"/>
        <w:jc w:val="both"/>
        <w:rPr>
          <w:rFonts w:ascii="Times New Roman" w:hAnsi="Times New Roman"/>
          <w:bCs/>
          <w:spacing w:val="-6"/>
          <w:lang w:val="en-US" w:eastAsia="sk-SK"/>
        </w:rPr>
      </w:pPr>
      <w:r w:rsidR="003D394F">
        <w:rPr>
          <w:rFonts w:ascii="Times New Roman" w:hAnsi="Times New Roman"/>
          <w:color w:val="000000"/>
        </w:rPr>
        <w:t>D</w:t>
      </w:r>
      <w:r w:rsidRPr="004D0ACD">
        <w:rPr>
          <w:rFonts w:ascii="Times New Roman" w:hAnsi="Times New Roman"/>
          <w:color w:val="000000"/>
        </w:rPr>
        <w:t xml:space="preserve">) </w:t>
      </w:r>
      <w:r w:rsidRPr="004D0ACD" w:rsidR="00E81B3A">
        <w:rPr>
          <w:rFonts w:ascii="Times New Roman" w:hAnsi="Times New Roman"/>
          <w:color w:val="000000"/>
        </w:rPr>
        <w:t xml:space="preserve"> Zjednotenie hraníc uplatňovaných v rámci konania o predpísaní poistného a</w:t>
      </w:r>
      <w:r w:rsidR="00D440A5">
        <w:rPr>
          <w:rFonts w:ascii="Times New Roman" w:hAnsi="Times New Roman"/>
          <w:color w:val="000000"/>
        </w:rPr>
        <w:t> </w:t>
      </w:r>
      <w:r w:rsidRPr="004D0ACD" w:rsidR="00EA4ABA">
        <w:rPr>
          <w:rFonts w:ascii="Times New Roman" w:hAnsi="Times New Roman"/>
          <w:color w:val="000000"/>
        </w:rPr>
        <w:t>penále</w:t>
      </w:r>
      <w:r w:rsidR="00D440A5">
        <w:rPr>
          <w:rFonts w:ascii="Times New Roman" w:hAnsi="Times New Roman"/>
          <w:color w:val="000000"/>
        </w:rPr>
        <w:t xml:space="preserve"> a zavedenie hranice</w:t>
      </w:r>
      <w:r w:rsidR="00B74471">
        <w:rPr>
          <w:rFonts w:ascii="Times New Roman" w:hAnsi="Times New Roman"/>
          <w:color w:val="000000"/>
        </w:rPr>
        <w:t>, od ktorej sa budú vymáhať preplatky na dávkach</w:t>
      </w:r>
      <w:r w:rsidRPr="004D0ACD" w:rsidR="00EA4ABA">
        <w:rPr>
          <w:rFonts w:ascii="Times New Roman" w:hAnsi="Times New Roman"/>
          <w:color w:val="000000"/>
        </w:rPr>
        <w:t>.</w:t>
      </w:r>
      <w:r w:rsidRPr="004D0ACD" w:rsidR="00EA4ABA">
        <w:rPr>
          <w:rFonts w:ascii="Times New Roman" w:hAnsi="Times New Roman"/>
          <w:bCs/>
          <w:spacing w:val="-6"/>
          <w:lang w:eastAsia="sk-SK"/>
        </w:rPr>
        <w:t xml:space="preserve"> Zvýšenie</w:t>
      </w:r>
      <w:r w:rsidRPr="004D0ACD">
        <w:rPr>
          <w:rFonts w:ascii="Times New Roman" w:hAnsi="Times New Roman"/>
          <w:bCs/>
          <w:spacing w:val="-6"/>
          <w:lang w:eastAsia="sk-SK"/>
        </w:rPr>
        <w:t xml:space="preserve"> sumy úhrnu dlžného poistného, kedy Sociálna poisťovňa nepredpíše poistné/penále z doterajších 3,32 eur na 5 eur.</w:t>
      </w:r>
      <w:r w:rsidR="00B74471">
        <w:rPr>
          <w:rFonts w:ascii="Times New Roman" w:hAnsi="Times New Roman"/>
          <w:bCs/>
          <w:spacing w:val="-6"/>
          <w:lang w:eastAsia="sk-SK"/>
        </w:rPr>
        <w:t xml:space="preserve"> Sociálna poisťovňa bude vymáhať preplatky na dávkach, ktoré sú minimálne vo výške 5 eur.</w:t>
      </w: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bCs/>
          <w:spacing w:val="-6"/>
          <w:lang w:eastAsia="sk-SK"/>
        </w:rPr>
      </w:pPr>
      <w:r w:rsidRPr="004D0ACD">
        <w:rPr>
          <w:rFonts w:ascii="Times New Roman" w:hAnsi="Times New Roman"/>
          <w:bCs/>
          <w:spacing w:val="-6"/>
          <w:lang w:eastAsia="sk-SK"/>
        </w:rPr>
        <w:t xml:space="preserve">  </w:t>
      </w:r>
    </w:p>
    <w:p w:rsidR="00DE392D" w:rsidRPr="004D0ACD" w:rsidP="00DE392D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E</w:t>
      </w:r>
      <w:r w:rsidRPr="004D0ACD">
        <w:rPr>
          <w:rFonts w:ascii="Times New Roman" w:hAnsi="Times New Roman"/>
          <w:color w:val="000000"/>
        </w:rPr>
        <w:t>)  Ustanovenie možnosti presunu voľných finančných prostriedkov m</w:t>
      </w:r>
      <w:r w:rsidR="001E1809">
        <w:rPr>
          <w:rFonts w:ascii="Times New Roman" w:hAnsi="Times New Roman"/>
          <w:color w:val="000000"/>
        </w:rPr>
        <w:t>edzi fondmi Sociálnej poisťovne</w:t>
      </w:r>
      <w:r w:rsidRPr="004D0ACD">
        <w:rPr>
          <w:rFonts w:ascii="Times New Roman" w:hAnsi="Times New Roman"/>
          <w:color w:val="000000"/>
        </w:rPr>
        <w:t xml:space="preserve">. </w:t>
      </w:r>
    </w:p>
    <w:p w:rsidR="00DE392D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D05783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F</w:t>
      </w:r>
      <w:r w:rsidRPr="004D0ACD">
        <w:rPr>
          <w:rFonts w:ascii="Times New Roman" w:hAnsi="Times New Roman"/>
          <w:color w:val="000000"/>
        </w:rPr>
        <w:t xml:space="preserve">) Zavedenie jednotných podmienok nároku na dávku v nezamestnanosti a dĺžky poberania v prípade pracovnoprávneho pomeru na dobu určitú a neurčitú. </w:t>
      </w:r>
      <w:r w:rsidRPr="004D0ACD" w:rsidR="00FF7348">
        <w:rPr>
          <w:rFonts w:ascii="Times New Roman" w:hAnsi="Times New Roman"/>
          <w:color w:val="000000"/>
        </w:rPr>
        <w:t>Jednotne bude stanovený vznik nároku na</w:t>
      </w:r>
      <w:r w:rsidRPr="004D0ACD" w:rsidR="00F6488A">
        <w:rPr>
          <w:rFonts w:ascii="Times New Roman" w:hAnsi="Times New Roman"/>
          <w:color w:val="000000"/>
        </w:rPr>
        <w:t xml:space="preserve"> dávku v nezamestnanosti, a to </w:t>
      </w:r>
      <w:r w:rsidRPr="004D0ACD" w:rsidR="00FF7348">
        <w:rPr>
          <w:rFonts w:ascii="Times New Roman" w:hAnsi="Times New Roman"/>
          <w:color w:val="000000"/>
        </w:rPr>
        <w:t xml:space="preserve"> získanie</w:t>
      </w:r>
      <w:r w:rsidRPr="004D0ACD" w:rsidR="00F6488A">
        <w:rPr>
          <w:rFonts w:ascii="Times New Roman" w:hAnsi="Times New Roman"/>
          <w:color w:val="000000"/>
        </w:rPr>
        <w:t xml:space="preserve"> </w:t>
      </w:r>
      <w:r w:rsidRPr="004D0ACD" w:rsidR="00FF7348">
        <w:rPr>
          <w:rFonts w:ascii="Times New Roman" w:hAnsi="Times New Roman"/>
          <w:color w:val="000000"/>
        </w:rPr>
        <w:t xml:space="preserve"> najmenej 2 rokov poistenia v nezamestnanosti </w:t>
      </w:r>
      <w:r w:rsidRPr="004D0ACD" w:rsidR="00843E52">
        <w:rPr>
          <w:rFonts w:ascii="Times New Roman" w:hAnsi="Times New Roman"/>
          <w:color w:val="000000"/>
        </w:rPr>
        <w:t>z</w:t>
      </w:r>
      <w:r w:rsidRPr="004D0ACD" w:rsidR="00FF7348">
        <w:rPr>
          <w:rFonts w:ascii="Times New Roman" w:hAnsi="Times New Roman"/>
          <w:color w:val="000000"/>
        </w:rPr>
        <w:t xml:space="preserve"> posledných </w:t>
      </w:r>
      <w:r w:rsidRPr="004D0ACD" w:rsidR="00DF1D5B">
        <w:rPr>
          <w:rFonts w:ascii="Times New Roman" w:hAnsi="Times New Roman"/>
          <w:color w:val="000000"/>
        </w:rPr>
        <w:t>4 roko</w:t>
      </w:r>
      <w:r w:rsidRPr="004D0ACD" w:rsidR="00CC7A4B">
        <w:rPr>
          <w:rFonts w:ascii="Times New Roman" w:hAnsi="Times New Roman"/>
          <w:color w:val="000000"/>
        </w:rPr>
        <w:t xml:space="preserve">v </w:t>
      </w:r>
      <w:r w:rsidRPr="004D0ACD" w:rsidR="00DF1D5B">
        <w:rPr>
          <w:rFonts w:ascii="Times New Roman" w:hAnsi="Times New Roman"/>
          <w:color w:val="000000"/>
        </w:rPr>
        <w:t>(pre zamestnancov s pracovnoprávnym pomerom na dobu neurčitú v</w:t>
      </w:r>
      <w:r w:rsidRPr="004D0ACD" w:rsidR="00F6488A">
        <w:rPr>
          <w:rFonts w:ascii="Times New Roman" w:hAnsi="Times New Roman"/>
          <w:color w:val="000000"/>
        </w:rPr>
        <w:t> </w:t>
      </w:r>
      <w:r w:rsidRPr="004D0ACD" w:rsidR="00DF1D5B">
        <w:rPr>
          <w:rFonts w:ascii="Times New Roman" w:hAnsi="Times New Roman"/>
          <w:color w:val="000000"/>
        </w:rPr>
        <w:t>súčasnosti</w:t>
      </w:r>
      <w:r w:rsidRPr="004D0ACD" w:rsidR="00F6488A">
        <w:rPr>
          <w:rFonts w:ascii="Times New Roman" w:hAnsi="Times New Roman"/>
          <w:color w:val="000000"/>
        </w:rPr>
        <w:t xml:space="preserve"> platí najmenej</w:t>
      </w:r>
      <w:r w:rsidRPr="004D0ACD" w:rsidR="00DF1D5B">
        <w:rPr>
          <w:rFonts w:ascii="Times New Roman" w:hAnsi="Times New Roman"/>
          <w:color w:val="000000"/>
        </w:rPr>
        <w:t xml:space="preserve"> 2 roky poistenia z posledných </w:t>
      </w:r>
      <w:r w:rsidRPr="004D0ACD" w:rsidR="00D25C88">
        <w:rPr>
          <w:rFonts w:ascii="Times New Roman" w:hAnsi="Times New Roman"/>
          <w:color w:val="000000"/>
        </w:rPr>
        <w:t>3</w:t>
      </w:r>
      <w:r w:rsidRPr="004D0ACD" w:rsidR="00DF1D5B">
        <w:rPr>
          <w:rFonts w:ascii="Times New Roman" w:hAnsi="Times New Roman"/>
          <w:color w:val="000000"/>
        </w:rPr>
        <w:t xml:space="preserve"> rokov) a</w:t>
      </w:r>
      <w:r w:rsidRPr="004D0ACD" w:rsidR="00843E52">
        <w:rPr>
          <w:rFonts w:ascii="Times New Roman" w:hAnsi="Times New Roman"/>
          <w:color w:val="000000"/>
        </w:rPr>
        <w:t xml:space="preserve"> obdobie poberania dávky v nezamestnanosti bude najviac 6 mesiacov (pre zamestnancov s pracovnoprávnym pomerom na dobu určitú v súčasnosti </w:t>
      </w:r>
      <w:r w:rsidRPr="004D0ACD" w:rsidR="00CC7A4B">
        <w:rPr>
          <w:rFonts w:ascii="Times New Roman" w:hAnsi="Times New Roman"/>
          <w:color w:val="000000"/>
        </w:rPr>
        <w:t>platí maximálna dĺžka výplaty dávky v nezamestnanosti po dobu 4 mesiacov</w:t>
      </w:r>
      <w:r w:rsidRPr="004D0ACD" w:rsidR="00843E52">
        <w:rPr>
          <w:rFonts w:ascii="Times New Roman" w:hAnsi="Times New Roman"/>
          <w:color w:val="000000"/>
        </w:rPr>
        <w:t>).</w:t>
      </w:r>
      <w:r w:rsidRPr="004D0ACD" w:rsidR="00DF1D5B">
        <w:rPr>
          <w:rFonts w:ascii="Times New Roman" w:hAnsi="Times New Roman"/>
          <w:color w:val="000000"/>
        </w:rPr>
        <w:t xml:space="preserve"> </w:t>
      </w:r>
      <w:r w:rsidRPr="004D0ACD" w:rsidR="00FF7348">
        <w:rPr>
          <w:rFonts w:ascii="Times New Roman" w:hAnsi="Times New Roman"/>
          <w:color w:val="000000"/>
        </w:rPr>
        <w:t xml:space="preserve"> </w:t>
      </w:r>
    </w:p>
    <w:p w:rsidR="00843E52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5C58B5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G</w:t>
      </w:r>
      <w:r w:rsidRPr="004D0ACD" w:rsidR="00DE392D">
        <w:rPr>
          <w:rFonts w:ascii="Times New Roman" w:hAnsi="Times New Roman"/>
          <w:color w:val="000000"/>
        </w:rPr>
        <w:t xml:space="preserve">) Úprava podmienok nároku na vyrovnávací príplatok tak, aby vznikol nárok aj pre poberateľov, ktorým bol pôvodne priznaný predčasný starobný dôchodok. </w:t>
      </w:r>
    </w:p>
    <w:p w:rsidR="004D5843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866554" w:rsidRPr="004D0ACD" w:rsidP="004D5843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color w:val="000000"/>
        </w:rPr>
        <w:t>H</w:t>
      </w:r>
      <w:r w:rsidRPr="004D0ACD" w:rsidR="00D05783">
        <w:rPr>
          <w:rFonts w:ascii="Times New Roman" w:hAnsi="Times New Roman"/>
          <w:color w:val="000000"/>
        </w:rPr>
        <w:t xml:space="preserve">) </w:t>
      </w:r>
      <w:r w:rsidRPr="004D0ACD" w:rsidR="001E757C">
        <w:rPr>
          <w:rFonts w:ascii="Times New Roman" w:hAnsi="Times New Roman"/>
          <w:color w:val="000000"/>
        </w:rPr>
        <w:t>V</w:t>
      </w:r>
      <w:r w:rsidRPr="004D0ACD" w:rsidR="00D05783">
        <w:rPr>
          <w:rFonts w:ascii="Times New Roman" w:hAnsi="Times New Roman"/>
          <w:color w:val="000000"/>
        </w:rPr>
        <w:t>ytvorenie iba</w:t>
      </w:r>
      <w:r w:rsidRPr="004D0ACD" w:rsidR="00B65274">
        <w:rPr>
          <w:rFonts w:ascii="Times New Roman" w:hAnsi="Times New Roman"/>
          <w:color w:val="000000"/>
        </w:rPr>
        <w:t xml:space="preserve"> jedného prístupového bodu k e</w:t>
      </w:r>
      <w:r w:rsidRPr="004D0ACD" w:rsidR="00B65274">
        <w:rPr>
          <w:rFonts w:ascii="Times New Roman" w:hAnsi="Times New Roman"/>
        </w:rPr>
        <w:t>lektronickej výmene informácií o sociálnom zabezpečení (EESSI) v rámci EÚ a EHP</w:t>
      </w:r>
      <w:r w:rsidRPr="004D0ACD" w:rsidR="00B65274">
        <w:rPr>
          <w:rFonts w:ascii="Times New Roman" w:hAnsi="Times New Roman"/>
          <w:color w:val="000000"/>
        </w:rPr>
        <w:t xml:space="preserve"> za SR, ktorým bude Sociálna poisťovňa.</w:t>
      </w:r>
      <w:r w:rsidRPr="004D0ACD" w:rsidR="00D05783">
        <w:rPr>
          <w:rFonts w:ascii="Times New Roman" w:hAnsi="Times New Roman"/>
          <w:color w:val="000000"/>
        </w:rPr>
        <w:t xml:space="preserve">   </w:t>
      </w:r>
    </w:p>
    <w:p w:rsidR="00B65274" w:rsidP="004D5843">
      <w:pPr>
        <w:bidi w:val="0"/>
        <w:spacing w:after="0"/>
        <w:jc w:val="both"/>
        <w:rPr>
          <w:i/>
          <w:color w:val="000000"/>
        </w:rPr>
      </w:pPr>
    </w:p>
    <w:p w:rsidR="00805DE1" w:rsidP="004D5843">
      <w:pPr>
        <w:bidi w:val="0"/>
        <w:spacing w:after="0"/>
        <w:jc w:val="both"/>
        <w:rPr>
          <w:i/>
          <w:color w:val="000000"/>
        </w:rPr>
      </w:pPr>
    </w:p>
    <w:p w:rsidR="00805DE1" w:rsidP="004D5843">
      <w:pPr>
        <w:bidi w:val="0"/>
        <w:spacing w:after="0"/>
        <w:jc w:val="both"/>
        <w:rPr>
          <w:i/>
          <w:color w:val="000000"/>
        </w:rPr>
      </w:pPr>
    </w:p>
    <w:p w:rsidR="00805DE1" w:rsidRPr="004D0ACD" w:rsidP="004D5843">
      <w:pPr>
        <w:bidi w:val="0"/>
        <w:spacing w:after="0"/>
        <w:jc w:val="both"/>
        <w:rPr>
          <w:i/>
          <w:color w:val="000000"/>
        </w:rPr>
      </w:pP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lang w:eastAsia="sk-SK"/>
        </w:rPr>
      </w:pPr>
      <w:r w:rsidRPr="004D0ACD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4D0ACD" w:rsidR="008F49A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4D0ACD" w:rsidR="0051724E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4D0ACD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4D0ACD">
        <w:rPr>
          <w:rFonts w:ascii="Times New Roman" w:hAnsi="Times New Roman"/>
          <w:lang w:eastAsia="sk-SK"/>
        </w:rPr>
        <w:t>zmena sadzby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lang w:eastAsia="sk-SK"/>
        </w:rPr>
      </w:pPr>
      <w:r w:rsidRPr="004D0ACD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Pr="004D0ACD" w:rsidR="00045303">
        <w:rPr>
          <w:rFonts w:ascii="Times New Roman" w:hAnsi="Times New Roman"/>
          <w:bdr w:val="single" w:sz="4" w:space="0" w:color="auto"/>
          <w:lang w:eastAsia="sk-SK"/>
        </w:rPr>
        <w:t xml:space="preserve">  </w:t>
      </w:r>
      <w:r w:rsidRPr="004D0ACD" w:rsidR="00866554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Pr="004D0ACD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Pr="004D0ACD">
        <w:rPr>
          <w:rFonts w:ascii="Times New Roman" w:hAnsi="Times New Roman"/>
          <w:lang w:eastAsia="sk-SK"/>
        </w:rPr>
        <w:t xml:space="preserve">  zmena v nároku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lang w:eastAsia="sk-SK"/>
        </w:rPr>
      </w:pPr>
      <w:r w:rsidRPr="004D0ACD">
        <w:rPr>
          <w:rFonts w:ascii="Times New Roman" w:hAnsi="Times New Roman"/>
          <w:bdr w:val="single" w:sz="4" w:space="0" w:color="auto"/>
          <w:lang w:eastAsia="sk-SK"/>
        </w:rPr>
        <w:t xml:space="preserve">     </w:t>
      </w:r>
      <w:r w:rsidRPr="004D0ACD">
        <w:rPr>
          <w:rFonts w:ascii="Times New Roman" w:hAnsi="Times New Roman"/>
          <w:lang w:eastAsia="sk-SK"/>
        </w:rPr>
        <w:t xml:space="preserve">  nová služba alebo nariadenie (alebo ich zrušenie)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lang w:eastAsia="sk-SK"/>
        </w:rPr>
      </w:pPr>
      <w:r w:rsidRPr="004D0ACD" w:rsidR="008F49A8">
        <w:rPr>
          <w:rFonts w:ascii="Times New Roman" w:hAnsi="Times New Roman"/>
          <w:bdr w:val="single" w:sz="4" w:space="0" w:color="auto"/>
          <w:lang w:eastAsia="sk-SK"/>
        </w:rPr>
        <w:t xml:space="preserve">  </w:t>
      </w:r>
      <w:r w:rsidRPr="004D0ACD" w:rsidR="008F49A8">
        <w:rPr>
          <w:rFonts w:ascii="Times New Roman" w:hAnsi="Times New Roman"/>
          <w:b/>
          <w:bdr w:val="single" w:sz="4" w:space="0" w:color="auto"/>
          <w:lang w:eastAsia="sk-SK"/>
        </w:rPr>
        <w:t>x</w:t>
      </w:r>
      <w:r w:rsidRPr="004D0ACD">
        <w:rPr>
          <w:rFonts w:ascii="Times New Roman" w:hAnsi="Times New Roman"/>
          <w:bdr w:val="single" w:sz="4" w:space="0" w:color="auto"/>
          <w:lang w:eastAsia="sk-SK"/>
        </w:rPr>
        <w:t xml:space="preserve"> </w:t>
      </w:r>
      <w:r w:rsidRPr="004D0ACD">
        <w:rPr>
          <w:rFonts w:ascii="Times New Roman" w:hAnsi="Times New Roman"/>
          <w:lang w:eastAsia="sk-SK"/>
        </w:rPr>
        <w:t xml:space="preserve">  kombinovaný návrh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lang w:eastAsia="sk-SK"/>
        </w:rPr>
      </w:pPr>
      <w:r w:rsidRPr="004D0ACD">
        <w:rPr>
          <w:rFonts w:ascii="Times New Roman" w:hAnsi="Times New Roman"/>
          <w:bdr w:val="single" w:sz="4" w:space="0" w:color="auto"/>
          <w:lang w:eastAsia="sk-SK"/>
        </w:rPr>
        <w:t xml:space="preserve">     </w:t>
      </w:r>
      <w:r w:rsidRPr="004D0ACD">
        <w:rPr>
          <w:rFonts w:ascii="Times New Roman" w:hAnsi="Times New Roman"/>
          <w:lang w:eastAsia="sk-SK"/>
        </w:rPr>
        <w:t xml:space="preserve">  iné 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4D0ACD" w:rsidP="00CD2466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51256" w:rsidRPr="004D0ACD" w:rsidP="00280A57">
      <w:pPr>
        <w:bidi w:val="0"/>
        <w:jc w:val="both"/>
        <w:rPr>
          <w:rFonts w:ascii="Times New Roman" w:hAnsi="Times New Roman"/>
          <w:color w:val="000000"/>
        </w:rPr>
      </w:pPr>
      <w:r w:rsidRPr="004D0ACD" w:rsidR="00AD7A6C">
        <w:rPr>
          <w:rFonts w:ascii="Times New Roman" w:hAnsi="Times New Roman"/>
          <w:color w:val="000000"/>
        </w:rPr>
        <w:t xml:space="preserve">Navrhované zmeny si vyžiadajú zmenu informačného systému Sociálnej </w:t>
      </w:r>
      <w:r w:rsidRPr="004D0ACD" w:rsidR="00323AB4">
        <w:rPr>
          <w:rFonts w:ascii="Times New Roman" w:hAnsi="Times New Roman"/>
          <w:color w:val="000000"/>
        </w:rPr>
        <w:t>poisť</w:t>
      </w:r>
      <w:r w:rsidRPr="004D0ACD" w:rsidR="00D46D23">
        <w:rPr>
          <w:rFonts w:ascii="Times New Roman" w:hAnsi="Times New Roman"/>
          <w:color w:val="000000"/>
        </w:rPr>
        <w:t>ovne</w:t>
      </w:r>
      <w:r w:rsidR="00FF4C38">
        <w:rPr>
          <w:rFonts w:ascii="Times New Roman" w:hAnsi="Times New Roman"/>
          <w:color w:val="000000"/>
        </w:rPr>
        <w:t>, Ministerstva práce, sociálnych vecí a rodiny SR</w:t>
      </w:r>
      <w:r w:rsidR="00915E7E">
        <w:rPr>
          <w:rFonts w:ascii="Times New Roman" w:hAnsi="Times New Roman"/>
          <w:color w:val="000000"/>
        </w:rPr>
        <w:t xml:space="preserve"> (ďalej len „MPSVR SR</w:t>
      </w:r>
      <w:r w:rsidR="003A44C6">
        <w:rPr>
          <w:rFonts w:ascii="Times New Roman" w:hAnsi="Times New Roman"/>
          <w:color w:val="000000"/>
        </w:rPr>
        <w:t>“</w:t>
      </w:r>
      <w:r w:rsidR="00915E7E">
        <w:rPr>
          <w:rFonts w:ascii="Times New Roman" w:hAnsi="Times New Roman"/>
          <w:color w:val="000000"/>
        </w:rPr>
        <w:t>)</w:t>
      </w:r>
      <w:r w:rsidR="00FF4C38">
        <w:rPr>
          <w:rFonts w:ascii="Times New Roman" w:hAnsi="Times New Roman"/>
          <w:color w:val="000000"/>
        </w:rPr>
        <w:t>, Ústredia práce, sociálnych vecí a</w:t>
      </w:r>
      <w:r w:rsidR="00915E7E">
        <w:rPr>
          <w:rFonts w:ascii="Times New Roman" w:hAnsi="Times New Roman"/>
          <w:color w:val="000000"/>
        </w:rPr>
        <w:t> </w:t>
      </w:r>
      <w:r w:rsidR="00FF4C38">
        <w:rPr>
          <w:rFonts w:ascii="Times New Roman" w:hAnsi="Times New Roman"/>
          <w:color w:val="000000"/>
        </w:rPr>
        <w:t>rodiny</w:t>
      </w:r>
      <w:r w:rsidR="00915E7E">
        <w:rPr>
          <w:rFonts w:ascii="Times New Roman" w:hAnsi="Times New Roman"/>
          <w:color w:val="000000"/>
        </w:rPr>
        <w:t xml:space="preserve"> (ďalej len „UPSVR“)</w:t>
      </w:r>
      <w:r w:rsidR="00FF4C38">
        <w:rPr>
          <w:rFonts w:ascii="Times New Roman" w:hAnsi="Times New Roman"/>
          <w:color w:val="000000"/>
        </w:rPr>
        <w:t>, Úradu pre dohľad nad zdravotnou starostlivosťou</w:t>
      </w:r>
      <w:r w:rsidR="00915E7E">
        <w:rPr>
          <w:rFonts w:ascii="Times New Roman" w:hAnsi="Times New Roman"/>
          <w:color w:val="000000"/>
        </w:rPr>
        <w:t xml:space="preserve"> („ÚDZS“)</w:t>
      </w:r>
      <w:r w:rsidR="00FF4C38">
        <w:rPr>
          <w:rFonts w:ascii="Times New Roman" w:hAnsi="Times New Roman"/>
          <w:color w:val="000000"/>
        </w:rPr>
        <w:t xml:space="preserve"> a zdravotných poisťovní</w:t>
      </w:r>
      <w:r w:rsidRPr="004D0ACD" w:rsidR="00D46D23">
        <w:rPr>
          <w:rFonts w:ascii="Times New Roman" w:hAnsi="Times New Roman"/>
          <w:color w:val="000000"/>
        </w:rPr>
        <w:t xml:space="preserve">. </w:t>
      </w:r>
      <w:r w:rsidRPr="004D0ACD" w:rsidR="006144D0">
        <w:rPr>
          <w:rFonts w:ascii="Times New Roman" w:hAnsi="Times New Roman"/>
          <w:color w:val="000000"/>
        </w:rPr>
        <w:t xml:space="preserve"> </w:t>
      </w:r>
      <w:r w:rsidR="00981B3A">
        <w:rPr>
          <w:rFonts w:ascii="Times New Roman" w:hAnsi="Times New Roman"/>
          <w:color w:val="000000"/>
        </w:rPr>
        <w:t xml:space="preserve"> Predpokladaný objem kapitálových a prevádzkových v</w:t>
      </w:r>
      <w:r w:rsidR="00915E7E">
        <w:rPr>
          <w:rFonts w:ascii="Times New Roman" w:hAnsi="Times New Roman"/>
          <w:color w:val="000000"/>
        </w:rPr>
        <w:t>ýdavk</w:t>
      </w:r>
      <w:r w:rsidR="00981B3A">
        <w:rPr>
          <w:rFonts w:ascii="Times New Roman" w:hAnsi="Times New Roman"/>
          <w:color w:val="000000"/>
        </w:rPr>
        <w:t>ov</w:t>
      </w:r>
      <w:r w:rsidR="00491F36">
        <w:rPr>
          <w:rFonts w:ascii="Times New Roman" w:hAnsi="Times New Roman"/>
          <w:color w:val="000000"/>
        </w:rPr>
        <w:t xml:space="preserve"> </w:t>
      </w:r>
      <w:r w:rsidR="00981B3A">
        <w:rPr>
          <w:rFonts w:ascii="Times New Roman" w:hAnsi="Times New Roman"/>
          <w:color w:val="000000"/>
        </w:rPr>
        <w:t>u</w:t>
      </w:r>
      <w:r w:rsidR="00915E7E">
        <w:rPr>
          <w:rFonts w:ascii="Times New Roman" w:hAnsi="Times New Roman"/>
          <w:color w:val="000000"/>
        </w:rPr>
        <w:t xml:space="preserve"> jednotlivých dotknutých subjektov</w:t>
      </w:r>
      <w:r w:rsidR="00491F36">
        <w:rPr>
          <w:rFonts w:ascii="Times New Roman" w:hAnsi="Times New Roman"/>
          <w:color w:val="000000"/>
        </w:rPr>
        <w:t xml:space="preserve"> </w:t>
      </w:r>
      <w:r w:rsidR="00981B3A">
        <w:rPr>
          <w:rFonts w:ascii="Times New Roman" w:hAnsi="Times New Roman"/>
          <w:color w:val="000000"/>
        </w:rPr>
        <w:t>je uvedený</w:t>
      </w:r>
      <w:r w:rsidR="00915E7E">
        <w:rPr>
          <w:rFonts w:ascii="Times New Roman" w:hAnsi="Times New Roman"/>
          <w:color w:val="000000"/>
        </w:rPr>
        <w:t xml:space="preserve"> v tabuľke nižšie</w:t>
      </w:r>
      <w:r w:rsidR="00981B3A">
        <w:rPr>
          <w:rFonts w:ascii="Times New Roman" w:hAnsi="Times New Roman"/>
          <w:color w:val="000000"/>
        </w:rPr>
        <w:t xml:space="preserve"> v eur</w:t>
      </w:r>
      <w:r w:rsidR="00915E7E">
        <w:rPr>
          <w:rFonts w:ascii="Times New Roman" w:hAnsi="Times New Roman"/>
          <w:color w:val="000000"/>
        </w:rPr>
        <w:t>:</w:t>
      </w:r>
    </w:p>
    <w:p w:rsidR="007D5748" w:rsidRPr="00C14CAE" w:rsidP="00491F36">
      <w:pPr>
        <w:bidi w:val="0"/>
        <w:spacing w:after="0" w:line="240" w:lineRule="auto"/>
        <w:ind w:left="7080" w:firstLine="708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C14CAE">
        <w:rPr>
          <w:rFonts w:ascii="Times New Roman" w:hAnsi="Times New Roman"/>
          <w:sz w:val="20"/>
          <w:szCs w:val="20"/>
          <w:lang w:eastAsia="sk-SK"/>
        </w:rPr>
        <w:t>Tabuľka č. 2</w:t>
      </w:r>
      <w:r w:rsidRPr="00C14CAE" w:rsidR="00491F36">
        <w:rPr>
          <w:rFonts w:ascii="Times New Roman" w:hAnsi="Times New Roman"/>
          <w:sz w:val="20"/>
          <w:szCs w:val="20"/>
          <w:lang w:eastAsia="sk-SK"/>
        </w:rPr>
        <w:t xml:space="preserve">               </w:t>
      </w:r>
    </w:p>
    <w:tbl>
      <w:tblPr>
        <w:tblStyle w:val="TableNormal"/>
        <w:tblW w:w="908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51"/>
        <w:gridCol w:w="1134"/>
        <w:gridCol w:w="1134"/>
        <w:gridCol w:w="1134"/>
        <w:gridCol w:w="1134"/>
      </w:tblGrid>
      <w:tr>
        <w:tblPrEx>
          <w:tblW w:w="9087" w:type="dxa"/>
          <w:tblInd w:w="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A55131" w:rsidRPr="00DD79A1" w:rsidP="00A55131">
            <w:pPr>
              <w:bidi w:val="0"/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DD79A1" w:rsidR="00491F36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R</w:t>
            </w:r>
            <w:r w:rsidRPr="00DD79A1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ok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Sociálna poisťovňa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1 850 000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1 500 000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500 000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 kapitálové výdavky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1 850 000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1 250 000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  prevádzkové náklady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250 000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500 000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MPSVR SR/UPSVR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239 000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440 000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50 000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  kapitálové výdavky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390 000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  prevádzkové náklady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50 000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ÚDZS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 xml:space="preserve">925 </w:t>
            </w: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 xml:space="preserve">930 </w:t>
            </w: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 xml:space="preserve">620 </w:t>
            </w:r>
            <w:r w:rsidRPr="00C14CAE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sk-SK"/>
              </w:rPr>
              <w:t>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  kapitálové výdavky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840 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750 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400 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000</w:t>
            </w:r>
          </w:p>
        </w:tc>
      </w:tr>
      <w:tr>
        <w:tblPrEx>
          <w:tblW w:w="908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  prevádzkové náklady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85 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A55131" w:rsidRPr="00C14CAE" w:rsidP="00D56EB2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</w:t>
            </w: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8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  <w:hideMark/>
          </w:tcPr>
          <w:p w:rsidR="00A55131" w:rsidRPr="00C14CAE" w:rsidP="00A5513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 w:rsidR="00D56EB2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 xml:space="preserve">220 </w:t>
            </w: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000</w:t>
            </w:r>
          </w:p>
        </w:tc>
      </w:tr>
    </w:tbl>
    <w:p w:rsidR="00A55131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981B3A" w:rsidP="00CD2466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4D0ACD" w:rsidP="00CC30F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D0ACD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987F10" w:rsidRPr="004D0ACD" w:rsidP="00CC30F8">
      <w:pPr>
        <w:autoSpaceDE w:val="0"/>
        <w:autoSpaceDN w:val="0"/>
        <w:bidi w:val="0"/>
        <w:adjustRightInd w:val="0"/>
        <w:spacing w:after="0"/>
        <w:jc w:val="both"/>
        <w:rPr>
          <w:bCs/>
        </w:rPr>
      </w:pPr>
    </w:p>
    <w:p w:rsidR="00987F10" w:rsidRPr="004D0ACD" w:rsidP="008514F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  <w:r w:rsidRPr="004D0ACD" w:rsidR="008D6EA1">
        <w:rPr>
          <w:rFonts w:ascii="Times New Roman" w:hAnsi="Times New Roman"/>
          <w:bCs/>
        </w:rPr>
        <w:t>Predmetný</w:t>
      </w:r>
      <w:r w:rsidRPr="004D0ACD" w:rsidR="002134EE">
        <w:rPr>
          <w:rFonts w:ascii="Times New Roman" w:hAnsi="Times New Roman"/>
          <w:bCs/>
        </w:rPr>
        <w:t xml:space="preserve"> </w:t>
      </w:r>
      <w:r w:rsidR="008B5B87">
        <w:rPr>
          <w:rFonts w:ascii="Times New Roman" w:hAnsi="Times New Roman"/>
          <w:bCs/>
        </w:rPr>
        <w:t xml:space="preserve">vládny </w:t>
      </w:r>
      <w:r w:rsidRPr="004D0ACD">
        <w:rPr>
          <w:rFonts w:ascii="Times New Roman" w:hAnsi="Times New Roman"/>
          <w:bCs/>
        </w:rPr>
        <w:t xml:space="preserve">návrh zákona, </w:t>
      </w:r>
      <w:r w:rsidRPr="008C6B12" w:rsidR="008C6B12">
        <w:rPr>
          <w:rFonts w:ascii="Times New Roman" w:hAnsi="Times New Roman"/>
          <w:bCs/>
        </w:rPr>
        <w:t xml:space="preserve">ktorým sa mení a dopĺňa zákon </w:t>
      </w:r>
      <w:r w:rsidRPr="004445AD" w:rsidR="004445AD">
        <w:rPr>
          <w:rFonts w:ascii="Times New Roman" w:hAnsi="Times New Roman"/>
          <w:bCs/>
        </w:rPr>
        <w:t>č. 461/2003 Z. z. o sociálnom poistení v znení neskorších predpisov a ktorým sa menia a dopĺňajú niektoré zákony</w:t>
      </w:r>
      <w:r w:rsidRPr="004445AD" w:rsidR="004445AD">
        <w:rPr>
          <w:rFonts w:ascii="Times New Roman" w:hAnsi="Times New Roman"/>
          <w:bCs/>
        </w:rPr>
        <w:t xml:space="preserve"> </w:t>
      </w:r>
      <w:r w:rsidRPr="004D0ACD">
        <w:rPr>
          <w:rFonts w:ascii="Times New Roman" w:hAnsi="Times New Roman"/>
        </w:rPr>
        <w:t>má priamy vplyv na rozpoč</w:t>
      </w:r>
      <w:r w:rsidRPr="004D0ACD" w:rsidR="00843E52">
        <w:rPr>
          <w:rFonts w:ascii="Times New Roman" w:hAnsi="Times New Roman"/>
        </w:rPr>
        <w:t>et verejnej správy v rokoch 2018 až 2020</w:t>
      </w:r>
      <w:r w:rsidRPr="004D0ACD">
        <w:rPr>
          <w:rFonts w:ascii="Times New Roman" w:hAnsi="Times New Roman"/>
        </w:rPr>
        <w:t xml:space="preserve">. Kvantifikácia predpokladá negatívny vplyv na rozpočet verejnej správy </w:t>
      </w:r>
      <w:r w:rsidRPr="006632A3">
        <w:rPr>
          <w:rFonts w:ascii="Times New Roman" w:hAnsi="Times New Roman"/>
        </w:rPr>
        <w:t>na úrovni</w:t>
      </w:r>
      <w:r w:rsidRPr="006632A3" w:rsidR="00861800">
        <w:rPr>
          <w:rFonts w:ascii="Times New Roman" w:hAnsi="Times New Roman"/>
        </w:rPr>
        <w:t xml:space="preserve"> cca</w:t>
      </w:r>
      <w:r w:rsidRPr="006632A3">
        <w:rPr>
          <w:rFonts w:ascii="Times New Roman" w:hAnsi="Times New Roman"/>
        </w:rPr>
        <w:t xml:space="preserve"> </w:t>
      </w:r>
      <w:r w:rsidR="00B74471">
        <w:rPr>
          <w:rFonts w:ascii="Times New Roman" w:hAnsi="Times New Roman"/>
          <w:color w:val="000000" w:themeColor="tx1" w:themeShade="FF"/>
        </w:rPr>
        <w:t>94</w:t>
      </w:r>
      <w:r w:rsidRPr="006632A3" w:rsidR="00C14DCC">
        <w:rPr>
          <w:rFonts w:ascii="Times New Roman" w:hAnsi="Times New Roman"/>
          <w:color w:val="000000" w:themeColor="tx1" w:themeShade="FF"/>
        </w:rPr>
        <w:t>,</w:t>
      </w:r>
      <w:r w:rsidR="003A44C6">
        <w:rPr>
          <w:rFonts w:ascii="Times New Roman" w:hAnsi="Times New Roman"/>
          <w:color w:val="000000" w:themeColor="tx1" w:themeShade="FF"/>
        </w:rPr>
        <w:t>0</w:t>
      </w:r>
      <w:r w:rsidRPr="006632A3" w:rsidR="002674E3">
        <w:rPr>
          <w:rFonts w:ascii="Times New Roman" w:hAnsi="Times New Roman"/>
          <w:color w:val="000000" w:themeColor="tx1" w:themeShade="FF"/>
        </w:rPr>
        <w:t xml:space="preserve"> mil</w:t>
      </w:r>
      <w:r w:rsidRPr="006632A3" w:rsidR="00786BBF">
        <w:rPr>
          <w:rFonts w:ascii="Times New Roman" w:hAnsi="Times New Roman"/>
          <w:color w:val="000000" w:themeColor="tx1" w:themeShade="FF"/>
        </w:rPr>
        <w:t>. eur v roku 2018</w:t>
      </w:r>
      <w:r w:rsidRPr="006632A3" w:rsidR="00C834B4">
        <w:rPr>
          <w:rFonts w:ascii="Times New Roman" w:hAnsi="Times New Roman"/>
          <w:color w:val="000000" w:themeColor="tx1" w:themeShade="FF"/>
        </w:rPr>
        <w:t xml:space="preserve">; </w:t>
      </w:r>
      <w:r w:rsidRPr="006632A3" w:rsidR="00861800">
        <w:rPr>
          <w:rFonts w:ascii="Times New Roman" w:hAnsi="Times New Roman"/>
          <w:color w:val="000000" w:themeColor="tx1" w:themeShade="FF"/>
        </w:rPr>
        <w:t xml:space="preserve">cca </w:t>
      </w:r>
      <w:r w:rsidRPr="006632A3" w:rsidR="000927D0">
        <w:rPr>
          <w:rFonts w:ascii="Times New Roman" w:hAnsi="Times New Roman"/>
          <w:color w:val="000000" w:themeColor="tx1" w:themeShade="FF"/>
        </w:rPr>
        <w:t>1</w:t>
      </w:r>
      <w:r w:rsidR="00B74471">
        <w:rPr>
          <w:rFonts w:ascii="Times New Roman" w:hAnsi="Times New Roman"/>
          <w:color w:val="000000" w:themeColor="tx1" w:themeShade="FF"/>
        </w:rPr>
        <w:t>21,9</w:t>
      </w:r>
      <w:r w:rsidRPr="006632A3" w:rsidR="002674E3">
        <w:rPr>
          <w:rFonts w:ascii="Times New Roman" w:hAnsi="Times New Roman"/>
          <w:color w:val="000000" w:themeColor="tx1" w:themeShade="FF"/>
        </w:rPr>
        <w:t xml:space="preserve"> mil</w:t>
      </w:r>
      <w:r w:rsidRPr="006632A3" w:rsidR="00786BBF">
        <w:rPr>
          <w:rFonts w:ascii="Times New Roman" w:hAnsi="Times New Roman"/>
          <w:color w:val="000000" w:themeColor="tx1" w:themeShade="FF"/>
        </w:rPr>
        <w:t>. eur v roku 2019</w:t>
      </w:r>
      <w:r w:rsidRPr="006632A3" w:rsidR="000D07CE">
        <w:rPr>
          <w:rFonts w:ascii="Times New Roman" w:hAnsi="Times New Roman"/>
          <w:color w:val="000000" w:themeColor="tx1" w:themeShade="FF"/>
        </w:rPr>
        <w:t xml:space="preserve"> a</w:t>
      </w:r>
      <w:r w:rsidRPr="006632A3" w:rsidR="00861800">
        <w:rPr>
          <w:rFonts w:ascii="Times New Roman" w:hAnsi="Times New Roman"/>
          <w:color w:val="000000" w:themeColor="tx1" w:themeShade="FF"/>
        </w:rPr>
        <w:t xml:space="preserve"> cca</w:t>
      </w:r>
      <w:r w:rsidRPr="006632A3" w:rsidR="000D07CE">
        <w:rPr>
          <w:rFonts w:ascii="Times New Roman" w:hAnsi="Times New Roman"/>
          <w:color w:val="000000" w:themeColor="tx1" w:themeShade="FF"/>
        </w:rPr>
        <w:t> </w:t>
      </w:r>
      <w:r w:rsidRPr="006632A3" w:rsidR="0009006D">
        <w:rPr>
          <w:rFonts w:ascii="Times New Roman" w:hAnsi="Times New Roman"/>
          <w:color w:val="000000" w:themeColor="tx1" w:themeShade="FF"/>
        </w:rPr>
        <w:t>1</w:t>
      </w:r>
      <w:r w:rsidR="00B74471">
        <w:rPr>
          <w:rFonts w:ascii="Times New Roman" w:hAnsi="Times New Roman"/>
          <w:color w:val="000000" w:themeColor="tx1" w:themeShade="FF"/>
        </w:rPr>
        <w:t>53,6</w:t>
      </w:r>
      <w:r w:rsidRPr="006632A3" w:rsidR="002674E3">
        <w:rPr>
          <w:rFonts w:ascii="Times New Roman" w:hAnsi="Times New Roman"/>
          <w:color w:val="000000" w:themeColor="tx1" w:themeShade="FF"/>
        </w:rPr>
        <w:t xml:space="preserve"> mil</w:t>
      </w:r>
      <w:r w:rsidRPr="006632A3" w:rsidR="00786BBF">
        <w:rPr>
          <w:rFonts w:ascii="Times New Roman" w:hAnsi="Times New Roman"/>
          <w:color w:val="000000" w:themeColor="tx1" w:themeShade="FF"/>
        </w:rPr>
        <w:t>. eur v roku 2020</w:t>
      </w:r>
      <w:r w:rsidRPr="006632A3">
        <w:rPr>
          <w:rFonts w:ascii="Times New Roman" w:hAnsi="Times New Roman"/>
          <w:color w:val="000000" w:themeColor="tx1" w:themeShade="FF"/>
        </w:rPr>
        <w:t>.</w:t>
      </w:r>
      <w:r w:rsidRPr="004D0ACD">
        <w:rPr>
          <w:rFonts w:ascii="Times New Roman" w:hAnsi="Times New Roman"/>
          <w:color w:val="000000" w:themeColor="tx1" w:themeShade="FF"/>
        </w:rPr>
        <w:t xml:space="preserve"> </w:t>
      </w:r>
    </w:p>
    <w:p w:rsidR="004445AD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</w:p>
    <w:p w:rsidR="00631D94" w:rsidRPr="004D0ACD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4D0ACD">
        <w:rPr>
          <w:rFonts w:ascii="Times New Roman" w:hAnsi="Times New Roman" w:cs="Verdana"/>
          <w:b/>
          <w:bCs/>
          <w:iCs/>
          <w:sz w:val="24"/>
          <w:szCs w:val="24"/>
        </w:rPr>
        <w:t>2.2.4.1 Kvantifikácia príjmov</w:t>
      </w:r>
    </w:p>
    <w:p w:rsidR="00DB1C7D" w:rsidRPr="004D0ACD" w:rsidP="0059365F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15A7C" w:rsidRPr="004D0ACD" w:rsidP="00515A7C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B</w:t>
      </w:r>
      <w:r w:rsidRPr="004D0ACD">
        <w:rPr>
          <w:rFonts w:ascii="Times New Roman" w:hAnsi="Times New Roman"/>
          <w:b/>
          <w:i/>
          <w:color w:val="000000"/>
        </w:rPr>
        <w:t>) Uplatnenie jednotnej sadzby na úrazové poistenie</w:t>
      </w:r>
      <w:r w:rsidRPr="004D0ACD">
        <w:rPr>
          <w:rFonts w:ascii="Times New Roman" w:hAnsi="Times New Roman"/>
          <w:color w:val="000000"/>
        </w:rPr>
        <w:t xml:space="preserve"> vo výške 0,8</w:t>
      </w:r>
      <w:r w:rsidR="008B5B87">
        <w:rPr>
          <w:rFonts w:ascii="Times New Roman" w:hAnsi="Times New Roman"/>
          <w:color w:val="000000"/>
        </w:rPr>
        <w:t xml:space="preserve"> </w:t>
      </w:r>
      <w:r w:rsidRPr="004D0ACD">
        <w:rPr>
          <w:rFonts w:ascii="Times New Roman" w:hAnsi="Times New Roman"/>
          <w:color w:val="000000"/>
        </w:rPr>
        <w:t xml:space="preserve">% aj po 31. decembri 2017. </w:t>
      </w:r>
      <w:r w:rsidRPr="004D0ACD" w:rsidR="00691E9B">
        <w:rPr>
          <w:rFonts w:ascii="Times New Roman" w:hAnsi="Times New Roman"/>
          <w:color w:val="000000"/>
        </w:rPr>
        <w:t xml:space="preserve">Nebude mať vplyv v porovnaní s </w:t>
      </w:r>
      <w:r w:rsidRPr="004D0ACD">
        <w:rPr>
          <w:rFonts w:ascii="Times New Roman" w:hAnsi="Times New Roman"/>
          <w:color w:val="000000"/>
        </w:rPr>
        <w:t>návrhom rozpočtu Sociálnej poisťovne, nakoľko z dôvodu realistickosti a nemožnosti použitia iného vhodného predpo</w:t>
      </w:r>
      <w:r w:rsidRPr="004D0ACD" w:rsidR="006C6B91">
        <w:rPr>
          <w:rFonts w:ascii="Times New Roman" w:hAnsi="Times New Roman"/>
          <w:color w:val="000000"/>
        </w:rPr>
        <w:t>kladu bola pri zostavovaní rozpočtu použitá sadzba 0,8</w:t>
      </w:r>
      <w:r w:rsidR="008B5B87">
        <w:rPr>
          <w:rFonts w:ascii="Times New Roman" w:hAnsi="Times New Roman"/>
          <w:color w:val="000000"/>
        </w:rPr>
        <w:t xml:space="preserve"> </w:t>
      </w:r>
      <w:r w:rsidRPr="004D0ACD" w:rsidR="006C6B91">
        <w:rPr>
          <w:rFonts w:ascii="Times New Roman" w:hAnsi="Times New Roman"/>
          <w:color w:val="000000"/>
        </w:rPr>
        <w:t xml:space="preserve">%.  </w:t>
      </w:r>
    </w:p>
    <w:p w:rsidR="00FB2E28" w:rsidRPr="004D0ACD" w:rsidP="00515A7C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6C6B91" w:rsidP="006C6B91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C</w:t>
      </w:r>
      <w:r w:rsidRPr="004D0ACD">
        <w:rPr>
          <w:rFonts w:ascii="Times New Roman" w:hAnsi="Times New Roman"/>
          <w:b/>
          <w:i/>
          <w:color w:val="000000"/>
        </w:rPr>
        <w:t xml:space="preserve">) </w:t>
      </w:r>
      <w:r w:rsidRPr="004D0ACD" w:rsidR="0016067B">
        <w:rPr>
          <w:rFonts w:ascii="Times New Roman" w:hAnsi="Times New Roman"/>
          <w:b/>
          <w:i/>
          <w:color w:val="000000"/>
        </w:rPr>
        <w:t>Úprava podmienok na povolenie</w:t>
      </w:r>
      <w:r w:rsidRPr="004D0ACD">
        <w:rPr>
          <w:rFonts w:ascii="Times New Roman" w:hAnsi="Times New Roman"/>
          <w:b/>
          <w:i/>
          <w:color w:val="000000"/>
        </w:rPr>
        <w:t xml:space="preserve"> splátkového kale</w:t>
      </w:r>
      <w:r w:rsidRPr="004D0ACD" w:rsidR="0016067B">
        <w:rPr>
          <w:rFonts w:ascii="Times New Roman" w:hAnsi="Times New Roman"/>
          <w:b/>
          <w:i/>
          <w:color w:val="000000"/>
        </w:rPr>
        <w:t>ndára dlžného poistného</w:t>
      </w:r>
      <w:r w:rsidRPr="004D0ACD">
        <w:rPr>
          <w:rFonts w:ascii="Times New Roman" w:hAnsi="Times New Roman"/>
          <w:b/>
          <w:i/>
          <w:color w:val="000000"/>
        </w:rPr>
        <w:t xml:space="preserve">. </w:t>
      </w:r>
      <w:r w:rsidRPr="004D0ACD" w:rsidR="008046D8">
        <w:rPr>
          <w:rFonts w:ascii="Times New Roman" w:hAnsi="Times New Roman"/>
          <w:color w:val="000000"/>
        </w:rPr>
        <w:t xml:space="preserve">Možný vplyv na rozpočet Sociálnej poisťovne nie je možné kvantifikovať, nakoľko v informačnom systéme nie sú evidované žiadosti o splátkové kalendáre a nie je možné posúdiť platobnú schopnosť dlžníkov.  </w:t>
      </w:r>
      <w:r w:rsidRPr="004D0ACD">
        <w:rPr>
          <w:rFonts w:ascii="Times New Roman" w:hAnsi="Times New Roman"/>
          <w:color w:val="000000"/>
        </w:rPr>
        <w:t xml:space="preserve"> </w:t>
      </w:r>
    </w:p>
    <w:p w:rsidR="003D394F" w:rsidRPr="004D0ACD" w:rsidP="006C6B91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3D394F" w:rsidRPr="004D0ACD" w:rsidP="003D394F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color w:val="000000"/>
        </w:rPr>
        <w:t>D</w:t>
      </w:r>
      <w:r w:rsidRPr="004D0ACD">
        <w:rPr>
          <w:rFonts w:ascii="Times New Roman" w:hAnsi="Times New Roman"/>
          <w:b/>
          <w:i/>
          <w:color w:val="000000"/>
        </w:rPr>
        <w:t xml:space="preserve">) Zjednotenie hraníc </w:t>
      </w:r>
      <w:r w:rsidRPr="004D0ACD">
        <w:rPr>
          <w:rFonts w:ascii="Times New Roman" w:hAnsi="Times New Roman"/>
          <w:color w:val="000000"/>
        </w:rPr>
        <w:t>uplatňovaných v rámci konania o predpísaní poistného a penále. Celkovo možno očakávať mierne negatívny vplyv na príjmy Sociálnej poisťovne, nakoľko predpokladaná suma nepredpísaného poistného a penále sa mierne zvýši.</w:t>
      </w:r>
      <w:r w:rsidR="00B74471">
        <w:rPr>
          <w:rFonts w:ascii="Times New Roman" w:hAnsi="Times New Roman"/>
          <w:color w:val="000000"/>
        </w:rPr>
        <w:t xml:space="preserve"> Zavedenie</w:t>
      </w:r>
      <w:r w:rsidR="009A5A3C">
        <w:rPr>
          <w:rFonts w:ascii="Times New Roman" w:hAnsi="Times New Roman"/>
          <w:color w:val="000000"/>
        </w:rPr>
        <w:t xml:space="preserve"> hranice, od ktorej bude Sociálna poisťovňa</w:t>
      </w:r>
      <w:r w:rsidR="00102592">
        <w:rPr>
          <w:rFonts w:ascii="Times New Roman" w:hAnsi="Times New Roman"/>
          <w:color w:val="000000"/>
        </w:rPr>
        <w:t xml:space="preserve"> vymáhať preplatky na dávkach má zanedbateľný finančný vplyv na hospodárenie Sociálnej poisťovne.</w:t>
      </w:r>
      <w:r w:rsidR="00B74471">
        <w:rPr>
          <w:rFonts w:ascii="Times New Roman" w:hAnsi="Times New Roman"/>
          <w:color w:val="000000"/>
        </w:rPr>
        <w:t xml:space="preserve"> </w:t>
      </w:r>
    </w:p>
    <w:p w:rsidR="00C14CAE" w:rsidP="00987F1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40DD" w:rsidRPr="004D0ACD" w:rsidP="00E340DD">
      <w:pPr>
        <w:bidi w:val="0"/>
        <w:spacing w:after="0"/>
        <w:jc w:val="both"/>
        <w:rPr>
          <w:rFonts w:ascii="Times New Roman" w:hAnsi="Times New Roman"/>
        </w:rPr>
      </w:pPr>
      <w:r w:rsidRPr="004D0ACD">
        <w:rPr>
          <w:rFonts w:ascii="Times New Roman" w:hAnsi="Times New Roman"/>
          <w:b/>
          <w:i/>
          <w:lang w:eastAsia="sk-SK"/>
        </w:rPr>
        <w:t>Príjmy rozpočtu Sociálnej poisťovne</w:t>
      </w:r>
      <w:r w:rsidRPr="004D0ACD">
        <w:rPr>
          <w:rFonts w:ascii="Times New Roman" w:hAnsi="Times New Roman"/>
          <w:lang w:eastAsia="sk-SK"/>
        </w:rPr>
        <w:t xml:space="preserve"> –  </w:t>
      </w:r>
      <w:r w:rsidRPr="004D0ACD">
        <w:rPr>
          <w:rFonts w:ascii="Times New Roman" w:hAnsi="Times New Roman"/>
        </w:rPr>
        <w:t>predpokladá sa</w:t>
      </w:r>
      <w:r w:rsidRPr="004D0ACD" w:rsidR="00E63BF2">
        <w:rPr>
          <w:rFonts w:ascii="Times New Roman" w:hAnsi="Times New Roman"/>
        </w:rPr>
        <w:t xml:space="preserve"> mierny </w:t>
      </w:r>
      <w:r w:rsidRPr="004D0ACD" w:rsidR="00C14DCC">
        <w:rPr>
          <w:rFonts w:ascii="Times New Roman" w:hAnsi="Times New Roman"/>
        </w:rPr>
        <w:t>pokles</w:t>
      </w:r>
      <w:r w:rsidRPr="004D0ACD" w:rsidR="00E63BF2">
        <w:rPr>
          <w:rFonts w:ascii="Times New Roman" w:hAnsi="Times New Roman"/>
        </w:rPr>
        <w:t xml:space="preserve"> príjmov Sociálnej poisťovne vplyvom zjednotenia hraníc na predpísanie poistného a penále </w:t>
      </w:r>
      <w:r w:rsidRPr="004D0ACD">
        <w:rPr>
          <w:rFonts w:ascii="Times New Roman" w:hAnsi="Times New Roman"/>
        </w:rPr>
        <w:t>- v roku</w:t>
      </w:r>
      <w:r w:rsidRPr="004D0ACD" w:rsidR="0089092F">
        <w:rPr>
          <w:rFonts w:ascii="Times New Roman" w:hAnsi="Times New Roman"/>
        </w:rPr>
        <w:t xml:space="preserve"> 2018 cca o</w:t>
      </w:r>
      <w:r w:rsidR="003A44C6">
        <w:rPr>
          <w:rFonts w:ascii="Times New Roman" w:hAnsi="Times New Roman"/>
        </w:rPr>
        <w:t> 0,</w:t>
      </w:r>
      <w:r w:rsidRPr="004D0ACD" w:rsidR="00C14DCC">
        <w:rPr>
          <w:rFonts w:ascii="Times New Roman" w:hAnsi="Times New Roman"/>
        </w:rPr>
        <w:t xml:space="preserve">15 </w:t>
      </w:r>
      <w:r w:rsidR="003A44C6">
        <w:rPr>
          <w:rFonts w:ascii="Times New Roman" w:hAnsi="Times New Roman"/>
        </w:rPr>
        <w:t>mil</w:t>
      </w:r>
      <w:r w:rsidRPr="004D0ACD" w:rsidR="00C14DCC">
        <w:rPr>
          <w:rFonts w:ascii="Times New Roman" w:hAnsi="Times New Roman"/>
        </w:rPr>
        <w:t>.</w:t>
      </w:r>
      <w:r w:rsidRPr="004D0ACD" w:rsidR="0089092F">
        <w:rPr>
          <w:rFonts w:ascii="Times New Roman" w:hAnsi="Times New Roman"/>
        </w:rPr>
        <w:t xml:space="preserve"> eur; cca o</w:t>
      </w:r>
      <w:r w:rsidR="003A44C6">
        <w:rPr>
          <w:rFonts w:ascii="Times New Roman" w:hAnsi="Times New Roman"/>
        </w:rPr>
        <w:t> 0,</w:t>
      </w:r>
      <w:r w:rsidRPr="004D0ACD" w:rsidR="00C14DCC">
        <w:rPr>
          <w:rFonts w:ascii="Times New Roman" w:hAnsi="Times New Roman"/>
        </w:rPr>
        <w:t xml:space="preserve">15 </w:t>
      </w:r>
      <w:r w:rsidR="003A44C6">
        <w:rPr>
          <w:rFonts w:ascii="Times New Roman" w:hAnsi="Times New Roman"/>
        </w:rPr>
        <w:t>mil</w:t>
      </w:r>
      <w:r w:rsidRPr="004D0ACD" w:rsidR="00C14DCC">
        <w:rPr>
          <w:rFonts w:ascii="Times New Roman" w:hAnsi="Times New Roman"/>
        </w:rPr>
        <w:t>.</w:t>
      </w:r>
      <w:r w:rsidRPr="004D0ACD" w:rsidR="001F3071">
        <w:rPr>
          <w:rFonts w:ascii="Times New Roman" w:hAnsi="Times New Roman"/>
        </w:rPr>
        <w:t xml:space="preserve"> eur v roku 2019 a cca o</w:t>
      </w:r>
      <w:r w:rsidR="003A44C6">
        <w:rPr>
          <w:rFonts w:ascii="Times New Roman" w:hAnsi="Times New Roman"/>
        </w:rPr>
        <w:t> 0,</w:t>
      </w:r>
      <w:r w:rsidRPr="004D0ACD" w:rsidR="00C14DCC">
        <w:rPr>
          <w:rFonts w:ascii="Times New Roman" w:hAnsi="Times New Roman"/>
        </w:rPr>
        <w:t xml:space="preserve">15 </w:t>
      </w:r>
      <w:r w:rsidR="003A44C6">
        <w:rPr>
          <w:rFonts w:ascii="Times New Roman" w:hAnsi="Times New Roman"/>
        </w:rPr>
        <w:t>mil</w:t>
      </w:r>
      <w:r w:rsidRPr="004D0ACD" w:rsidR="00C14DCC">
        <w:rPr>
          <w:rFonts w:ascii="Times New Roman" w:hAnsi="Times New Roman"/>
        </w:rPr>
        <w:t xml:space="preserve">. </w:t>
      </w:r>
      <w:r w:rsidR="001E1809">
        <w:rPr>
          <w:rFonts w:ascii="Times New Roman" w:hAnsi="Times New Roman"/>
        </w:rPr>
        <w:t xml:space="preserve"> </w:t>
      </w:r>
      <w:r w:rsidRPr="004D0ACD" w:rsidR="00861800">
        <w:rPr>
          <w:rFonts w:ascii="Times New Roman" w:hAnsi="Times New Roman"/>
        </w:rPr>
        <w:t>eur v roku 2020</w:t>
      </w:r>
      <w:r w:rsidRPr="004D0ACD">
        <w:rPr>
          <w:rFonts w:ascii="Times New Roman" w:hAnsi="Times New Roman"/>
        </w:rPr>
        <w:t xml:space="preserve">. </w:t>
      </w:r>
    </w:p>
    <w:p w:rsidR="009C4678" w:rsidRPr="004D0ACD" w:rsidP="00987F1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340DD" w:rsidRPr="004D0ACD" w:rsidP="00393772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4D0ACD" w:rsidR="00BA3E7B">
        <w:rPr>
          <w:rFonts w:ascii="Times New Roman" w:hAnsi="Times New Roman"/>
          <w:sz w:val="20"/>
          <w:szCs w:val="20"/>
          <w:lang w:eastAsia="sk-SK"/>
        </w:rPr>
        <w:t>Tabuľka č. 3</w:t>
      </w:r>
    </w:p>
    <w:tbl>
      <w:tblPr>
        <w:tblStyle w:val="TableNormal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1"/>
        <w:gridCol w:w="942"/>
        <w:gridCol w:w="1163"/>
        <w:gridCol w:w="1121"/>
        <w:gridCol w:w="1063"/>
        <w:gridCol w:w="1019"/>
      </w:tblGrid>
      <w:tr>
        <w:tblPrEx>
          <w:tblW w:w="92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Vplyv na rozpočet Sociálnej poisťovne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9229" w:type="dxa"/>
          <w:tblLook w:val="04A0"/>
        </w:tblPrEx>
        <w:trPr>
          <w:trHeight w:val="30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9229" w:type="dxa"/>
          <w:tblLook w:val="04A0"/>
        </w:tblPrEx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Daňové príjmy (100)</w:t>
            </w:r>
            <w:r w:rsidRPr="00A8123C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6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Sankcie súvisiace so zdravotným poistením a sociálnym poistením (170)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Nedaňové príjmy (200)</w:t>
            </w:r>
            <w:r w:rsidRPr="00A8123C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34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Granty a transfery (300)</w:t>
            </w:r>
            <w:r w:rsidRPr="00A8123C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  <w:lang w:eastAsia="sk-SK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5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58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229" w:type="dxa"/>
          <w:tblLook w:val="04A0"/>
        </w:tblPrEx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extDirection w:val="lrTb"/>
            <w:vAlign w:val="center"/>
            <w:hideMark/>
          </w:tcPr>
          <w:p w:rsidR="00B604D3" w:rsidRPr="00A8123C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-145 450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B604D3" w:rsidRPr="00A8123C" w:rsidP="00B604D3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A8123C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</w:tbl>
    <w:p w:rsidR="00FB0211" w:rsidRPr="004D0ACD" w:rsidP="00891B6D">
      <w:pPr>
        <w:bidi w:val="0"/>
        <w:spacing w:after="0" w:line="240" w:lineRule="auto"/>
        <w:rPr>
          <w:rFonts w:ascii="Times New Roman" w:hAnsi="Times New Roman"/>
          <w:sz w:val="20"/>
          <w:szCs w:val="20"/>
          <w:lang w:eastAsia="sk-SK"/>
        </w:rPr>
      </w:pPr>
    </w:p>
    <w:p w:rsidR="00E340DD" w:rsidRPr="004D0ACD" w:rsidP="00CD246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31D94" w:rsidRPr="004D0ACD" w:rsidP="00CD2466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4D0ACD">
        <w:rPr>
          <w:rFonts w:ascii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:rsidR="009C4F9A" w:rsidRPr="004D0ACD" w:rsidP="00E81B3A">
      <w:pPr>
        <w:bidi w:val="0"/>
        <w:spacing w:after="0"/>
        <w:jc w:val="both"/>
        <w:rPr>
          <w:rFonts w:ascii="Times New Roman" w:hAnsi="Times New Roman"/>
          <w:b/>
          <w:i/>
          <w:color w:val="000000"/>
        </w:rPr>
      </w:pPr>
    </w:p>
    <w:p w:rsidR="00805DE1" w:rsidRPr="00DD79A1" w:rsidP="009C4F9A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A</w:t>
      </w:r>
      <w:r w:rsidRPr="004D0ACD" w:rsidR="009C4F9A">
        <w:rPr>
          <w:rFonts w:ascii="Times New Roman" w:hAnsi="Times New Roman"/>
          <w:b/>
          <w:i/>
          <w:color w:val="000000"/>
        </w:rPr>
        <w:t>)</w:t>
      </w:r>
      <w:r w:rsidRPr="004D0ACD" w:rsidR="009C4F9A">
        <w:rPr>
          <w:rFonts w:ascii="Times New Roman" w:hAnsi="Times New Roman"/>
          <w:b/>
          <w:color w:val="000000"/>
        </w:rPr>
        <w:t xml:space="preserve"> Zavedenie minimálnej valorizačnej pevnej sumy</w:t>
      </w:r>
      <w:r w:rsidRPr="004D0ACD" w:rsidR="009C4F9A">
        <w:rPr>
          <w:rFonts w:ascii="Times New Roman" w:hAnsi="Times New Roman"/>
          <w:color w:val="000000"/>
        </w:rPr>
        <w:t xml:space="preserve"> na úrovni 2 % z priemernej sumy dôchodku daného druhu</w:t>
      </w:r>
      <w:r w:rsidR="00102592">
        <w:rPr>
          <w:rFonts w:ascii="Times New Roman" w:hAnsi="Times New Roman"/>
          <w:color w:val="000000"/>
        </w:rPr>
        <w:t xml:space="preserve"> a minimálneho percenta (2 %)  na valorizáciu úrazovej renty</w:t>
      </w:r>
      <w:r w:rsidRPr="004D0ACD" w:rsidR="009C4F9A">
        <w:rPr>
          <w:rFonts w:ascii="Times New Roman" w:hAnsi="Times New Roman"/>
          <w:color w:val="000000"/>
        </w:rPr>
        <w:t>. Od roku 2018</w:t>
      </w:r>
      <w:r w:rsidR="00102592">
        <w:rPr>
          <w:rFonts w:ascii="Times New Roman" w:hAnsi="Times New Roman"/>
          <w:color w:val="000000"/>
        </w:rPr>
        <w:t xml:space="preserve"> do roku 2021</w:t>
      </w:r>
      <w:r w:rsidRPr="004D0ACD" w:rsidR="009C4F9A">
        <w:rPr>
          <w:rFonts w:ascii="Times New Roman" w:hAnsi="Times New Roman"/>
          <w:color w:val="000000"/>
        </w:rPr>
        <w:t xml:space="preserve"> sa budú dôchodkové dávky a vybrané nesystémové dávky zvyšovať o percento rastu dôchodcovskej inflácie (valorizuje sa percentuálne), minimálne však o 2 % z priemerného dôchodku (daného druhu), ktoré sa </w:t>
      </w:r>
      <w:r w:rsidRPr="004445AD" w:rsidR="009C4F9A">
        <w:rPr>
          <w:rFonts w:ascii="Times New Roman" w:hAnsi="Times New Roman"/>
          <w:color w:val="000000"/>
        </w:rPr>
        <w:t xml:space="preserve">premení na pevnú sumu. </w:t>
      </w:r>
      <w:r w:rsidRPr="004445AD" w:rsidR="00102592">
        <w:rPr>
          <w:rFonts w:ascii="Times New Roman" w:hAnsi="Times New Roman"/>
          <w:color w:val="000000"/>
        </w:rPr>
        <w:t>O minimá</w:t>
      </w:r>
      <w:r w:rsidRPr="004445AD" w:rsidR="009A5A3C">
        <w:rPr>
          <w:rFonts w:ascii="Times New Roman" w:hAnsi="Times New Roman"/>
          <w:color w:val="000000"/>
        </w:rPr>
        <w:t xml:space="preserve">lne percento 2 % sa budú v rokoch 2018 </w:t>
      </w:r>
      <w:r w:rsidRPr="0074163D" w:rsidR="009A5A3C">
        <w:rPr>
          <w:rFonts w:ascii="Times New Roman" w:hAnsi="Times New Roman"/>
          <w:color w:val="000000"/>
        </w:rPr>
        <w:t>až</w:t>
      </w:r>
      <w:r w:rsidRPr="002F1733" w:rsidR="00102592">
        <w:rPr>
          <w:rFonts w:ascii="Times New Roman" w:hAnsi="Times New Roman"/>
          <w:color w:val="000000"/>
        </w:rPr>
        <w:t xml:space="preserve"> 2021 valorizovať aj niektoré úrazové dávky. </w:t>
      </w:r>
      <w:r w:rsidRPr="002F1733" w:rsidR="009C4F9A">
        <w:rPr>
          <w:rFonts w:ascii="Times New Roman" w:hAnsi="Times New Roman"/>
          <w:color w:val="000000"/>
        </w:rPr>
        <w:t>Na základe údajov Sociálnej poisťovne boli vypočítané</w:t>
      </w:r>
      <w:r w:rsidRPr="00DD79A1" w:rsidR="003C0E5A">
        <w:rPr>
          <w:rFonts w:ascii="Times New Roman" w:hAnsi="Times New Roman"/>
          <w:color w:val="000000"/>
        </w:rPr>
        <w:t xml:space="preserve"> skutočné</w:t>
      </w:r>
      <w:r w:rsidRPr="00DD79A1" w:rsidR="000F341B">
        <w:rPr>
          <w:rFonts w:ascii="Times New Roman" w:hAnsi="Times New Roman"/>
          <w:color w:val="000000"/>
        </w:rPr>
        <w:t xml:space="preserve"> a</w:t>
      </w:r>
      <w:r w:rsidRPr="00DD79A1" w:rsidR="009C4F9A">
        <w:rPr>
          <w:rFonts w:ascii="Times New Roman" w:hAnsi="Times New Roman"/>
          <w:color w:val="000000"/>
        </w:rPr>
        <w:t xml:space="preserve"> odhadované minimálne pevné sumy zvýšenia dôchodkov daného druhu, ktoré sú uvedené v tabuľke nižšie.</w:t>
      </w:r>
    </w:p>
    <w:p w:rsidR="009C4F9A" w:rsidRPr="00DD79A1" w:rsidP="009C4F9A">
      <w:pPr>
        <w:bidi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DD79A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</w:t>
      </w:r>
      <w:r w:rsidRPr="00DD79A1">
        <w:rPr>
          <w:rFonts w:ascii="Times New Roman" w:hAnsi="Times New Roman"/>
          <w:color w:val="000000"/>
          <w:sz w:val="20"/>
          <w:szCs w:val="20"/>
        </w:rPr>
        <w:t>v eur</w:t>
      </w:r>
    </w:p>
    <w:tbl>
      <w:tblPr>
        <w:tblStyle w:val="TableNormal"/>
        <w:tblW w:w="645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4"/>
        <w:gridCol w:w="720"/>
        <w:gridCol w:w="712"/>
        <w:gridCol w:w="720"/>
      </w:tblGrid>
      <w:tr>
        <w:tblPrEx>
          <w:tblW w:w="6456" w:type="dxa"/>
          <w:tblInd w:w="13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top"/>
          </w:tcPr>
          <w:p w:rsidR="00532C3C" w:rsidRPr="004445AD" w:rsidP="00532C3C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Odhad minimálnych pevných súm zvýšenia ako 2 % z priemeru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2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9C4F9A" w:rsidRPr="00DD79A1" w:rsidP="00AD6A93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Nekrátené dôchodky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9C4F9A" w:rsidRPr="00DD79A1" w:rsidP="00AD6A93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445AD" w:rsidR="000F341B">
              <w:rPr>
                <w:rFonts w:ascii="Arial Narrow" w:hAnsi="Arial Narrow"/>
                <w:sz w:val="20"/>
                <w:szCs w:val="20"/>
                <w:lang w:eastAsia="sk-SK"/>
              </w:rPr>
              <w:t>S</w:t>
            </w: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9C4F9A" w:rsidRPr="00DD79A1" w:rsidP="00AD6A93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445AD" w:rsidR="000F341B">
              <w:rPr>
                <w:rFonts w:ascii="Arial Narrow" w:hAnsi="Arial Narrow"/>
                <w:sz w:val="20"/>
                <w:szCs w:val="20"/>
                <w:lang w:eastAsia="sk-SK"/>
              </w:rPr>
              <w:t>O</w:t>
            </w: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9C4F9A" w:rsidRPr="00DD79A1" w:rsidP="00AD6A93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445AD" w:rsidR="000F341B">
              <w:rPr>
                <w:rFonts w:ascii="Arial Narrow" w:hAnsi="Arial Narrow"/>
                <w:sz w:val="20"/>
                <w:szCs w:val="20"/>
                <w:lang w:eastAsia="sk-SK"/>
              </w:rPr>
              <w:t>O</w:t>
            </w: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starobný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</w:t>
            </w:r>
            <w:r w:rsidRPr="00DD79A1" w:rsidR="00CA0E25">
              <w:rPr>
                <w:rFonts w:ascii="Arial Narrow" w:hAnsi="Arial Narrow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</w:t>
            </w:r>
            <w:r w:rsidRPr="00DD79A1" w:rsidR="00CA0E25">
              <w:rPr>
                <w:rFonts w:ascii="Arial Narrow" w:hAnsi="Arial Narrow"/>
                <w:sz w:val="20"/>
                <w:szCs w:val="20"/>
                <w:lang w:eastAsia="sk-SK"/>
              </w:rPr>
              <w:t>9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predčasný starobný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8,8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invalidný dôchodok  do 70 %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4,3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invalidný dôchodok nad 70 %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7,2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7,4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7,6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vdovský a vdovecký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5,4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5,7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0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sirotský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</w:t>
            </w:r>
            <w:r w:rsidRPr="00DD79A1" w:rsidR="00102592">
              <w:rPr>
                <w:rFonts w:ascii="Arial Narrow" w:hAnsi="Arial Narrow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2,8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212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sk-SK"/>
              </w:rPr>
              <w:t>Krátené dôchodky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172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starobný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2,7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89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predčasný starobný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3,0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3,1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3,2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164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invalidný dôchodok  do 70 %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1,8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238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invalidný dôchodok nad 70 %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2,8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27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vdovský a vdovecký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2,5</w:t>
            </w:r>
          </w:p>
        </w:tc>
      </w:tr>
      <w:tr>
        <w:tblPrEx>
          <w:tblW w:w="6456" w:type="dxa"/>
          <w:tblInd w:w="1384" w:type="dxa"/>
          <w:tblLook w:val="04A0"/>
        </w:tblPrEx>
        <w:trPr>
          <w:trHeight w:val="315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color w:val="000000"/>
                <w:sz w:val="20"/>
                <w:szCs w:val="20"/>
                <w:lang w:eastAsia="sk-SK"/>
              </w:rPr>
              <w:t>sirotský dôchodok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</w:t>
            </w:r>
            <w:r w:rsidRPr="00DD79A1" w:rsidR="00102592">
              <w:rPr>
                <w:rFonts w:ascii="Arial Narrow" w:hAnsi="Arial Narrow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9C4F9A" w:rsidRPr="00DD79A1" w:rsidP="0041579E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sz w:val="20"/>
                <w:szCs w:val="20"/>
                <w:lang w:eastAsia="sk-SK"/>
              </w:rPr>
              <w:t>1,4</w:t>
            </w:r>
          </w:p>
        </w:tc>
      </w:tr>
    </w:tbl>
    <w:p w:rsidR="009C4F9A" w:rsidRPr="00DD79A1" w:rsidP="000F341B">
      <w:pPr>
        <w:tabs>
          <w:tab w:val="left" w:pos="1490"/>
        </w:tabs>
        <w:bidi w:val="0"/>
        <w:spacing w:after="0"/>
        <w:jc w:val="both"/>
        <w:rPr>
          <w:rFonts w:ascii="Arial Narrow" w:hAnsi="Arial Narrow"/>
          <w:color w:val="000000"/>
          <w:sz w:val="20"/>
          <w:szCs w:val="20"/>
        </w:rPr>
      </w:pPr>
      <w:r w:rsidRPr="004445AD" w:rsidR="000F341B">
        <w:rPr>
          <w:rFonts w:ascii="Arial Narrow" w:hAnsi="Arial Narrow"/>
          <w:color w:val="000000"/>
          <w:sz w:val="20"/>
          <w:szCs w:val="20"/>
        </w:rPr>
        <w:tab/>
        <w:t xml:space="preserve">S </w:t>
      </w:r>
      <w:r w:rsidRPr="0074163D" w:rsidR="000F341B">
        <w:rPr>
          <w:rFonts w:ascii="Arial Narrow" w:hAnsi="Arial Narrow"/>
          <w:color w:val="000000"/>
          <w:sz w:val="20"/>
          <w:szCs w:val="20"/>
        </w:rPr>
        <w:t>–</w:t>
      </w:r>
      <w:r w:rsidRPr="004445AD" w:rsidR="000F341B">
        <w:rPr>
          <w:rFonts w:ascii="Arial Narrow" w:hAnsi="Arial Narrow"/>
          <w:color w:val="000000"/>
          <w:sz w:val="20"/>
          <w:szCs w:val="20"/>
        </w:rPr>
        <w:t xml:space="preserve"> skutočnosť, O - odhad</w:t>
      </w:r>
    </w:p>
    <w:p w:rsidR="009C4F9A" w:rsidRPr="004D0ACD" w:rsidP="009C4F9A">
      <w:pPr>
        <w:bidi w:val="0"/>
        <w:spacing w:after="0"/>
        <w:jc w:val="both"/>
        <w:rPr>
          <w:rFonts w:ascii="Times New Roman" w:hAnsi="Times New Roman"/>
          <w:lang w:eastAsia="sk-SK"/>
        </w:rPr>
      </w:pPr>
      <w:r w:rsidRPr="004445AD">
        <w:rPr>
          <w:rFonts w:ascii="Times New Roman" w:hAnsi="Times New Roman"/>
          <w:lang w:eastAsia="sk-SK"/>
        </w:rPr>
        <w:t xml:space="preserve">Následne sa u každého poistenca prepočítalo percentuálne zvýšenie jeho dôchodku na základe </w:t>
      </w:r>
      <w:r w:rsidRPr="0074163D" w:rsidR="003C0E5A">
        <w:rPr>
          <w:rFonts w:ascii="Times New Roman" w:hAnsi="Times New Roman"/>
          <w:lang w:eastAsia="sk-SK"/>
        </w:rPr>
        <w:t>skutočného</w:t>
      </w:r>
      <w:r w:rsidRPr="002F1733" w:rsidR="000F341B">
        <w:rPr>
          <w:rFonts w:ascii="Times New Roman" w:hAnsi="Times New Roman"/>
          <w:lang w:eastAsia="sk-SK"/>
        </w:rPr>
        <w:t xml:space="preserve"> a </w:t>
      </w:r>
      <w:r w:rsidRPr="002F1733">
        <w:rPr>
          <w:rFonts w:ascii="Times New Roman" w:hAnsi="Times New Roman"/>
          <w:lang w:eastAsia="sk-SK"/>
        </w:rPr>
        <w:t>odhadovaného rastu spotrebiteľských cien za domácnosti dôchodcov (</w:t>
      </w:r>
      <w:r w:rsidRPr="002F1733" w:rsidR="000F341B">
        <w:rPr>
          <w:rFonts w:ascii="Times New Roman" w:hAnsi="Times New Roman"/>
          <w:lang w:eastAsia="sk-SK"/>
        </w:rPr>
        <w:t>rok 2018 ŠÚ SR, roky 2019 a</w:t>
      </w:r>
      <w:r w:rsidRPr="00DD79A1" w:rsidR="000F341B">
        <w:rPr>
          <w:rFonts w:ascii="Times New Roman" w:hAnsi="Times New Roman"/>
          <w:lang w:eastAsia="sk-SK"/>
        </w:rPr>
        <w:t> </w:t>
      </w:r>
      <w:r w:rsidRPr="004445AD" w:rsidR="000F341B">
        <w:rPr>
          <w:rFonts w:ascii="Times New Roman" w:hAnsi="Times New Roman"/>
          <w:lang w:eastAsia="sk-SK"/>
        </w:rPr>
        <w:t xml:space="preserve">2020 </w:t>
      </w:r>
      <w:r w:rsidRPr="004445AD">
        <w:rPr>
          <w:rFonts w:ascii="Times New Roman" w:hAnsi="Times New Roman"/>
          <w:lang w:eastAsia="sk-SK"/>
        </w:rPr>
        <w:t xml:space="preserve">makroekonomická prognóza IFP </w:t>
      </w:r>
      <w:r w:rsidRPr="004445AD" w:rsidR="00CA0E25">
        <w:rPr>
          <w:rFonts w:ascii="Times New Roman" w:hAnsi="Times New Roman"/>
          <w:lang w:eastAsia="sk-SK"/>
        </w:rPr>
        <w:t>jún</w:t>
      </w:r>
      <w:r w:rsidRPr="004445AD">
        <w:rPr>
          <w:rFonts w:ascii="Times New Roman" w:hAnsi="Times New Roman"/>
          <w:lang w:eastAsia="sk-SK"/>
        </w:rPr>
        <w:t xml:space="preserve"> 2017) a urobilo sa porovnanie medzi percentuálnym zvýšením dôchodku a zvýšením dôchodku</w:t>
      </w:r>
      <w:r w:rsidRPr="004D0ACD">
        <w:rPr>
          <w:rFonts w:ascii="Times New Roman" w:hAnsi="Times New Roman"/>
          <w:lang w:eastAsia="sk-SK"/>
        </w:rPr>
        <w:t xml:space="preserve"> o minimálnu pevnú sumu, pričom dôchodcovi sa priznala vyššia </w:t>
      </w:r>
      <w:r w:rsidRPr="004D0ACD" w:rsidR="00E54194">
        <w:rPr>
          <w:rFonts w:ascii="Times New Roman" w:hAnsi="Times New Roman"/>
          <w:lang w:eastAsia="sk-SK"/>
        </w:rPr>
        <w:t>z </w:t>
      </w:r>
      <w:r w:rsidRPr="004D0ACD">
        <w:rPr>
          <w:rFonts w:ascii="Times New Roman" w:hAnsi="Times New Roman"/>
          <w:lang w:eastAsia="sk-SK"/>
        </w:rPr>
        <w:t>týchto dvoch súm zvýšenia dôchodku.</w:t>
      </w:r>
    </w:p>
    <w:p w:rsidR="009C4F9A" w:rsidRPr="004D0ACD" w:rsidP="009C4F9A">
      <w:pPr>
        <w:bidi w:val="0"/>
        <w:spacing w:after="0"/>
        <w:jc w:val="both"/>
        <w:rPr>
          <w:rFonts w:ascii="Times New Roman" w:hAnsi="Times New Roman"/>
          <w:lang w:eastAsia="sk-SK"/>
        </w:rPr>
      </w:pPr>
    </w:p>
    <w:p w:rsidR="009C4F9A" w:rsidP="009C4F9A">
      <w:pPr>
        <w:bidi w:val="0"/>
        <w:spacing w:after="0"/>
        <w:jc w:val="both"/>
        <w:rPr>
          <w:rFonts w:ascii="Times New Roman" w:hAnsi="Times New Roman"/>
        </w:rPr>
      </w:pPr>
      <w:r w:rsidRPr="004D0ACD">
        <w:rPr>
          <w:rFonts w:ascii="Times New Roman" w:hAnsi="Times New Roman"/>
        </w:rPr>
        <w:t>Ukazovatele relevantné na určenie percenta zvyšovania dôchodkových dávok podľa aktuálnej makroekonomickej prognózy IFP (</w:t>
      </w:r>
      <w:r w:rsidR="00102592">
        <w:rPr>
          <w:rFonts w:ascii="Times New Roman" w:hAnsi="Times New Roman"/>
        </w:rPr>
        <w:t>jún</w:t>
      </w:r>
      <w:r w:rsidRPr="004D0ACD">
        <w:rPr>
          <w:rFonts w:ascii="Times New Roman" w:hAnsi="Times New Roman"/>
        </w:rPr>
        <w:t xml:space="preserve"> 2017)</w:t>
      </w:r>
      <w:r w:rsidR="00FA68ED">
        <w:rPr>
          <w:rFonts w:ascii="Times New Roman" w:hAnsi="Times New Roman"/>
        </w:rPr>
        <w:t xml:space="preserve"> </w:t>
        <w:tab/>
        <w:t>spolu s</w:t>
      </w:r>
      <w:r w:rsidR="00102592">
        <w:rPr>
          <w:rFonts w:ascii="Times New Roman" w:hAnsi="Times New Roman"/>
        </w:rPr>
        <w:t> údajmi zverejnenými ŠÚ</w:t>
      </w:r>
      <w:r w:rsidR="00FA68ED">
        <w:rPr>
          <w:rFonts w:ascii="Times New Roman" w:hAnsi="Times New Roman"/>
        </w:rPr>
        <w:t xml:space="preserve"> </w:t>
      </w:r>
      <w:r w:rsidR="00102592">
        <w:rPr>
          <w:rFonts w:ascii="Times New Roman" w:hAnsi="Times New Roman"/>
        </w:rPr>
        <w:t>SR</w:t>
      </w:r>
      <w:r w:rsidR="00FA68ED">
        <w:rPr>
          <w:rFonts w:ascii="Times New Roman" w:hAnsi="Times New Roman"/>
        </w:rPr>
        <w:t xml:space="preserve"> za rok 2017</w:t>
      </w:r>
      <w:r w:rsidR="00102592">
        <w:rPr>
          <w:rFonts w:ascii="Times New Roman" w:hAnsi="Times New Roman"/>
        </w:rPr>
        <w:t>.</w:t>
      </w:r>
    </w:p>
    <w:p w:rsidR="00532C3C" w:rsidP="009C4F9A">
      <w:pPr>
        <w:bidi w:val="0"/>
        <w:spacing w:after="0"/>
        <w:jc w:val="both"/>
        <w:rPr>
          <w:rFonts w:ascii="Times New Roman" w:hAnsi="Times New Roman"/>
        </w:rPr>
      </w:pPr>
    </w:p>
    <w:tbl>
      <w:tblPr>
        <w:tblStyle w:val="TableNormal"/>
        <w:tblW w:w="8295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87"/>
        <w:gridCol w:w="1126"/>
        <w:gridCol w:w="1256"/>
        <w:gridCol w:w="1213"/>
        <w:gridCol w:w="1213"/>
      </w:tblGrid>
      <w:tr>
        <w:tblPrEx>
          <w:tblW w:w="8295" w:type="dxa"/>
          <w:jc w:val="center"/>
          <w:tblInd w:w="-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2C3C" w:rsidRPr="00532C3C" w:rsidP="00532C3C">
            <w:pPr>
              <w:bidi w:val="0"/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</w:pPr>
            <w:r w:rsidRPr="00532C3C"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  <w:t>% zmena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2C3C" w:rsidRPr="00532C3C" w:rsidP="00532C3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</w:pPr>
            <w:r w:rsidRPr="00532C3C"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2C3C" w:rsidRPr="00532C3C" w:rsidP="00532C3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</w:pPr>
            <w:r w:rsidRPr="00532C3C"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2C3C" w:rsidRPr="00532C3C" w:rsidP="00532C3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</w:pPr>
            <w:r w:rsidRPr="00532C3C"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32C3C" w:rsidRPr="00532C3C" w:rsidP="00532C3C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</w:pPr>
            <w:r w:rsidRPr="00532C3C">
              <w:rPr>
                <w:rFonts w:ascii="Arial Narrow" w:hAnsi="Arial Narrow"/>
                <w:b/>
                <w:color w:val="000000"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8295" w:type="dxa"/>
          <w:jc w:val="center"/>
          <w:tblInd w:w="-38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532C3C" w:rsidRPr="009F5E85" w:rsidP="00956D20">
            <w:pPr>
              <w:bidi w:val="0"/>
              <w:spacing w:after="0"/>
              <w:rPr>
                <w:rFonts w:ascii="Times New Roman" w:hAnsi="Times New Roman"/>
                <w:color w:val="000000"/>
                <w:szCs w:val="20"/>
                <w:lang w:eastAsia="sk-SK"/>
              </w:rPr>
            </w:pPr>
            <w:r w:rsidRPr="009F5E85">
              <w:rPr>
                <w:rFonts w:ascii="Times New Roman" w:hAnsi="Times New Roman"/>
                <w:color w:val="000000"/>
                <w:szCs w:val="20"/>
                <w:lang w:eastAsia="sk-SK"/>
              </w:rPr>
              <w:t>Dôchodcovská inflácia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000000"/>
                <w:szCs w:val="20"/>
              </w:rPr>
              <w:t>0,8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000000"/>
                <w:szCs w:val="20"/>
              </w:rPr>
              <w:t>1,8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000000"/>
                <w:szCs w:val="20"/>
              </w:rPr>
              <w:t>1,8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000000"/>
                <w:szCs w:val="20"/>
              </w:rPr>
              <w:t>2,1</w:t>
            </w:r>
          </w:p>
        </w:tc>
      </w:tr>
      <w:tr>
        <w:tblPrEx>
          <w:tblW w:w="8295" w:type="dxa"/>
          <w:jc w:val="center"/>
          <w:tblInd w:w="-38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2C3C" w:rsidRPr="009F5E85" w:rsidP="00956D20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0"/>
                <w:lang w:eastAsia="sk-SK"/>
              </w:rPr>
            </w:pPr>
            <w:r w:rsidRPr="009F5E85">
              <w:rPr>
                <w:rFonts w:ascii="Times New Roman" w:hAnsi="Times New Roman"/>
                <w:color w:val="000000"/>
                <w:szCs w:val="20"/>
                <w:lang w:eastAsia="sk-SK"/>
              </w:rPr>
              <w:t xml:space="preserve">Percento zvyšovania dôchodkových dávok (súčasný zákon) podľa aktuálnej prognózy IFP a ŠÚSR ( v %)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szCs w:val="20"/>
              </w:rPr>
              <w:t>2,0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FF0000"/>
                <w:szCs w:val="20"/>
              </w:rPr>
              <w:t>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FF0000"/>
                <w:szCs w:val="20"/>
              </w:rPr>
              <w:t>1,8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32C3C" w:rsidRPr="009F5E85" w:rsidP="0041579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Cs w:val="20"/>
              </w:rPr>
            </w:pPr>
            <w:r w:rsidRPr="009F5E85">
              <w:rPr>
                <w:rFonts w:ascii="Times New Roman" w:hAnsi="Times New Roman"/>
                <w:b/>
                <w:bCs/>
                <w:color w:val="FF0000"/>
                <w:szCs w:val="20"/>
              </w:rPr>
              <w:t>1,8</w:t>
            </w:r>
          </w:p>
        </w:tc>
      </w:tr>
    </w:tbl>
    <w:p w:rsidR="00532C3C" w:rsidP="00FB2E28">
      <w:pPr>
        <w:bidi w:val="0"/>
        <w:spacing w:after="120"/>
        <w:jc w:val="both"/>
        <w:rPr>
          <w:rFonts w:ascii="Times New Roman" w:hAnsi="Times New Roman"/>
          <w:b/>
          <w:i/>
          <w:color w:val="000000"/>
        </w:rPr>
      </w:pPr>
    </w:p>
    <w:p w:rsidR="009A5A3C" w:rsidRPr="009A5A3C" w:rsidP="00FB2E28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Pr="009A5A3C">
        <w:rPr>
          <w:rFonts w:ascii="Times New Roman" w:hAnsi="Times New Roman"/>
          <w:color w:val="000000"/>
        </w:rPr>
        <w:t xml:space="preserve">V rokoch 2018 až 2021sa predpokladajú zvýšené výdavky na dôchodkové dávky z titulu zavedenia minimálnej valorizačnej pevnej sumy v celkovej výške </w:t>
      </w:r>
      <w:r>
        <w:rPr>
          <w:rFonts w:ascii="Times New Roman" w:hAnsi="Times New Roman"/>
          <w:color w:val="000000"/>
        </w:rPr>
        <w:t xml:space="preserve"> </w:t>
      </w:r>
      <w:r w:rsidR="00502ABF">
        <w:rPr>
          <w:rFonts w:ascii="Times New Roman" w:hAnsi="Times New Roman"/>
          <w:color w:val="000000"/>
        </w:rPr>
        <w:t xml:space="preserve">520 </w:t>
      </w:r>
      <w:r>
        <w:rPr>
          <w:rFonts w:ascii="Times New Roman" w:hAnsi="Times New Roman"/>
          <w:color w:val="000000"/>
        </w:rPr>
        <w:t xml:space="preserve">mil. eur. </w:t>
      </w:r>
      <w:r w:rsidR="00502ABF">
        <w:rPr>
          <w:rFonts w:ascii="Times New Roman" w:hAnsi="Times New Roman"/>
          <w:color w:val="000000"/>
        </w:rPr>
        <w:t xml:space="preserve">Výdavky na minimálnu valorizáciu sa budú prenášať aj za horizont rokov 2018 – 2021. Celkovo predpokladáme, že výdavky na minimálnu valorizáciu budú predstavovať </w:t>
      </w:r>
      <w:r w:rsidR="006412C5">
        <w:rPr>
          <w:rFonts w:ascii="Times New Roman" w:hAnsi="Times New Roman"/>
          <w:color w:val="000000"/>
        </w:rPr>
        <w:t xml:space="preserve">približne </w:t>
      </w:r>
      <w:r w:rsidR="00502ABF">
        <w:rPr>
          <w:rFonts w:ascii="Times New Roman" w:hAnsi="Times New Roman"/>
          <w:color w:val="000000"/>
        </w:rPr>
        <w:t>3,5 mld. eur.</w:t>
      </w:r>
    </w:p>
    <w:p w:rsidR="009A5A3C" w:rsidP="00FB2E28">
      <w:pPr>
        <w:bidi w:val="0"/>
        <w:spacing w:after="120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Graf1: Odhad </w:t>
      </w:r>
      <w:r w:rsidR="00042CDF">
        <w:rPr>
          <w:rFonts w:ascii="Times New Roman" w:hAnsi="Times New Roman"/>
          <w:b/>
          <w:i/>
          <w:color w:val="000000"/>
        </w:rPr>
        <w:t xml:space="preserve">zvýšených </w:t>
      </w:r>
      <w:r>
        <w:rPr>
          <w:rFonts w:ascii="Times New Roman" w:hAnsi="Times New Roman"/>
          <w:b/>
          <w:i/>
          <w:color w:val="000000"/>
        </w:rPr>
        <w:t xml:space="preserve">výdavkov na </w:t>
      </w:r>
      <w:r w:rsidR="00042CDF">
        <w:rPr>
          <w:rFonts w:ascii="Times New Roman" w:hAnsi="Times New Roman"/>
          <w:b/>
          <w:i/>
          <w:color w:val="000000"/>
        </w:rPr>
        <w:t xml:space="preserve">valorizáciu z titulu zavedenia </w:t>
      </w:r>
      <w:r>
        <w:rPr>
          <w:rFonts w:ascii="Times New Roman" w:hAnsi="Times New Roman"/>
          <w:b/>
          <w:i/>
          <w:color w:val="000000"/>
        </w:rPr>
        <w:t>minimáln</w:t>
      </w:r>
      <w:r w:rsidR="00042CDF">
        <w:rPr>
          <w:rFonts w:ascii="Times New Roman" w:hAnsi="Times New Roman"/>
          <w:b/>
          <w:i/>
          <w:color w:val="000000"/>
        </w:rPr>
        <w:t>ej</w:t>
      </w:r>
      <w:r>
        <w:rPr>
          <w:rFonts w:ascii="Times New Roman" w:hAnsi="Times New Roman"/>
          <w:b/>
          <w:i/>
          <w:color w:val="000000"/>
        </w:rPr>
        <w:t xml:space="preserve"> valoriz</w:t>
      </w:r>
      <w:r w:rsidR="00042CDF">
        <w:rPr>
          <w:rFonts w:ascii="Times New Roman" w:hAnsi="Times New Roman"/>
          <w:b/>
          <w:i/>
          <w:color w:val="000000"/>
        </w:rPr>
        <w:t>ácie</w:t>
      </w:r>
    </w:p>
    <w:p w:rsidR="004445AD" w:rsidP="00FB2E28">
      <w:pPr>
        <w:bidi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53.65pt;height:196.35pt;visibility:visible" stroked="f">
            <v:imagedata r:id="rId7" o:title=""/>
            <o:lock v:ext="edit" aspectratio="f"/>
          </v:shape>
        </w:pict>
      </w:r>
    </w:p>
    <w:p w:rsidR="00502ABF" w:rsidRPr="00502ABF" w:rsidP="00FB2E28">
      <w:pPr>
        <w:bidi w:val="0"/>
        <w:spacing w:after="120"/>
        <w:jc w:val="both"/>
        <w:rPr>
          <w:rFonts w:ascii="Times New Roman" w:hAnsi="Times New Roman"/>
          <w:b/>
          <w:i/>
          <w:color w:val="000000"/>
        </w:rPr>
      </w:pPr>
      <w:r w:rsidRPr="00502ABF">
        <w:rPr>
          <w:rFonts w:ascii="Times New Roman" w:hAnsi="Times New Roman"/>
          <w:color w:val="000000"/>
          <w:sz w:val="18"/>
          <w:szCs w:val="18"/>
        </w:rPr>
        <w:t>Zdroj</w:t>
      </w:r>
      <w:r w:rsidR="003C0E5A">
        <w:rPr>
          <w:rFonts w:ascii="Times New Roman" w:hAnsi="Times New Roman"/>
          <w:color w:val="000000"/>
          <w:sz w:val="18"/>
          <w:szCs w:val="18"/>
        </w:rPr>
        <w:t>:</w:t>
      </w:r>
      <w:r w:rsidRPr="00502ABF">
        <w:rPr>
          <w:rFonts w:ascii="Times New Roman" w:hAnsi="Times New Roman"/>
          <w:color w:val="000000"/>
          <w:sz w:val="18"/>
          <w:szCs w:val="18"/>
        </w:rPr>
        <w:t xml:space="preserve"> MPSVR SR</w:t>
      </w:r>
    </w:p>
    <w:p w:rsidR="009C4F9A" w:rsidRPr="004D0ACD" w:rsidP="009C4F9A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E</w:t>
      </w:r>
      <w:r w:rsidRPr="004D0ACD">
        <w:rPr>
          <w:rFonts w:ascii="Times New Roman" w:hAnsi="Times New Roman"/>
          <w:b/>
          <w:i/>
          <w:color w:val="000000"/>
        </w:rPr>
        <w:t>)</w:t>
      </w:r>
      <w:r w:rsidRPr="004D0ACD">
        <w:rPr>
          <w:rFonts w:ascii="Times New Roman" w:hAnsi="Times New Roman"/>
          <w:color w:val="000000"/>
        </w:rPr>
        <w:t xml:space="preserve"> </w:t>
      </w:r>
      <w:r w:rsidRPr="004D0ACD" w:rsidR="00D92598">
        <w:rPr>
          <w:rFonts w:ascii="Times New Roman" w:hAnsi="Times New Roman"/>
          <w:b/>
          <w:i/>
          <w:color w:val="000000"/>
        </w:rPr>
        <w:t xml:space="preserve"> Ustanovenie</w:t>
      </w:r>
      <w:r w:rsidRPr="004D0ACD">
        <w:rPr>
          <w:rFonts w:ascii="Times New Roman" w:hAnsi="Times New Roman"/>
          <w:b/>
          <w:i/>
          <w:color w:val="000000"/>
        </w:rPr>
        <w:t xml:space="preserve"> možnosti presunu voľných</w:t>
      </w:r>
      <w:r w:rsidRPr="004D0ACD">
        <w:rPr>
          <w:rFonts w:ascii="Times New Roman" w:hAnsi="Times New Roman"/>
          <w:color w:val="000000"/>
        </w:rPr>
        <w:t xml:space="preserve"> finančných prostriedkov medzi fondmi Sociálnej poisťovne </w:t>
      </w:r>
      <w:r w:rsidRPr="004D0ACD" w:rsidR="00D92598">
        <w:rPr>
          <w:rFonts w:ascii="Times New Roman" w:hAnsi="Times New Roman"/>
          <w:color w:val="000000"/>
        </w:rPr>
        <w:t>bez časového obmedzenia</w:t>
      </w:r>
      <w:r w:rsidRPr="004D0ACD">
        <w:rPr>
          <w:rFonts w:ascii="Times New Roman" w:hAnsi="Times New Roman"/>
          <w:color w:val="000000"/>
        </w:rPr>
        <w:t>. Predmetné opatrenie je neutrálne vzhľadom na celkovú bilanciu Sociálnej poisťovne. Nakoľko sa v rozpočte Sociálnej poisťovne na rok 2017 a rozpočtovom výhľade na roky 2018 a 2019, ako aj v rozpočte verejnej správy na roky 2017 – 2019 výška transferu určila vzhľadom na celkovú bilanciu Sociálnej poisťovne, predkladané opatrenie by nemalo zakladať dodatočné výdavky v aktuálnom návrhu rozpočtu Sociálnej poisťovne na rok 2018 a rozpočtového výhľadu na roky 2019 a 2020, ani v návrhu rozpočte verejnej správy na roky 2018 – 2020.</w:t>
      </w:r>
    </w:p>
    <w:p w:rsidR="009C4F9A" w:rsidRPr="004D0ACD" w:rsidP="00E81B3A">
      <w:pPr>
        <w:bidi w:val="0"/>
        <w:spacing w:after="0"/>
        <w:jc w:val="both"/>
        <w:rPr>
          <w:rFonts w:ascii="Times New Roman" w:hAnsi="Times New Roman"/>
          <w:b/>
          <w:i/>
          <w:color w:val="000000"/>
        </w:rPr>
      </w:pPr>
    </w:p>
    <w:p w:rsidR="008B0449" w:rsidRPr="004D0ACD" w:rsidP="00E81B3A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F</w:t>
      </w:r>
      <w:r w:rsidRPr="004D0ACD" w:rsidR="00BC79E7">
        <w:rPr>
          <w:rFonts w:ascii="Times New Roman" w:hAnsi="Times New Roman"/>
          <w:b/>
          <w:i/>
          <w:color w:val="000000"/>
        </w:rPr>
        <w:t>) Zavedenie jednotných podmienok nároku na dávku v nezamestnanosti a dĺžky poberania</w:t>
      </w:r>
      <w:r w:rsidRPr="004D0ACD" w:rsidR="00BC79E7">
        <w:rPr>
          <w:rFonts w:ascii="Times New Roman" w:hAnsi="Times New Roman"/>
          <w:color w:val="000000"/>
        </w:rPr>
        <w:t xml:space="preserve"> v prípade pracovnoprávneho pomeru na dobu určitú a neurčitú. </w:t>
      </w:r>
    </w:p>
    <w:p w:rsidR="008B0449" w:rsidRPr="004D0ACD" w:rsidP="00FB2E28">
      <w:pPr>
        <w:bidi w:val="0"/>
        <w:spacing w:after="12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F</w:t>
      </w:r>
      <w:r w:rsidRPr="004D0ACD">
        <w:rPr>
          <w:rFonts w:ascii="Times New Roman" w:hAnsi="Times New Roman"/>
          <w:b/>
          <w:i/>
          <w:color w:val="000000"/>
        </w:rPr>
        <w:t xml:space="preserve">1) </w:t>
      </w:r>
      <w:r w:rsidRPr="004D0ACD">
        <w:rPr>
          <w:rFonts w:ascii="Times New Roman" w:hAnsi="Times New Roman"/>
          <w:color w:val="000000"/>
        </w:rPr>
        <w:t>Na základe štatistických údajov Sociálnej poisťovne</w:t>
      </w:r>
      <w:r w:rsidRPr="004D0ACD" w:rsidR="00A801AD">
        <w:rPr>
          <w:rFonts w:ascii="Times New Roman" w:hAnsi="Times New Roman"/>
          <w:color w:val="000000"/>
        </w:rPr>
        <w:t xml:space="preserve"> z roku 2016</w:t>
      </w:r>
      <w:r w:rsidRPr="004D0ACD">
        <w:rPr>
          <w:rFonts w:ascii="Times New Roman" w:hAnsi="Times New Roman"/>
          <w:color w:val="000000"/>
        </w:rPr>
        <w:t xml:space="preserve"> sa predpokladá, že z dôvodu zjemnenia podmienok nároku pre osoby v pracovnom pomere na dobu neurčitú vznikne nárok</w:t>
      </w:r>
      <w:r w:rsidRPr="004D0ACD" w:rsidR="00A801AD">
        <w:rPr>
          <w:rFonts w:ascii="Times New Roman" w:hAnsi="Times New Roman"/>
          <w:color w:val="000000"/>
        </w:rPr>
        <w:t xml:space="preserve"> na dávku v nezamestnanosti 3 856</w:t>
      </w:r>
      <w:r w:rsidRPr="004D0ACD">
        <w:rPr>
          <w:rFonts w:ascii="Times New Roman" w:hAnsi="Times New Roman"/>
          <w:color w:val="000000"/>
        </w:rPr>
        <w:t xml:space="preserve"> osobám, ktoré budú poberať dávku v nezamestnanosti v priemere 5 mesiacov. Priemerná</w:t>
      </w:r>
      <w:r w:rsidRPr="004D0ACD" w:rsidR="00A801AD">
        <w:rPr>
          <w:rFonts w:ascii="Times New Roman" w:hAnsi="Times New Roman"/>
          <w:color w:val="000000"/>
        </w:rPr>
        <w:t xml:space="preserve"> mesačná</w:t>
      </w:r>
      <w:r w:rsidRPr="004D0ACD">
        <w:rPr>
          <w:rFonts w:ascii="Times New Roman" w:hAnsi="Times New Roman"/>
          <w:color w:val="000000"/>
        </w:rPr>
        <w:t xml:space="preserve"> suma dávky</w:t>
      </w:r>
      <w:r w:rsidRPr="004D0ACD" w:rsidR="0042351E">
        <w:rPr>
          <w:rFonts w:ascii="Times New Roman" w:hAnsi="Times New Roman"/>
          <w:color w:val="000000"/>
        </w:rPr>
        <w:t xml:space="preserve"> v nezamestnanosti</w:t>
      </w:r>
      <w:r w:rsidRPr="004D0ACD">
        <w:rPr>
          <w:rFonts w:ascii="Times New Roman" w:hAnsi="Times New Roman"/>
          <w:color w:val="000000"/>
        </w:rPr>
        <w:t xml:space="preserve"> sa predpokladá na úrovni 444 eur v roku 20</w:t>
      </w:r>
      <w:r w:rsidRPr="004D0ACD" w:rsidR="0016067B">
        <w:rPr>
          <w:rFonts w:ascii="Times New Roman" w:hAnsi="Times New Roman"/>
          <w:color w:val="000000"/>
        </w:rPr>
        <w:t>18;</w:t>
      </w:r>
      <w:r w:rsidRPr="004D0ACD" w:rsidR="00A801AD">
        <w:rPr>
          <w:rFonts w:ascii="Times New Roman" w:hAnsi="Times New Roman"/>
          <w:color w:val="000000"/>
        </w:rPr>
        <w:t xml:space="preserve"> 462 </w:t>
      </w:r>
      <w:r w:rsidRPr="004D0ACD" w:rsidR="00CC7A4B">
        <w:rPr>
          <w:rFonts w:ascii="Times New Roman" w:hAnsi="Times New Roman"/>
          <w:color w:val="000000"/>
        </w:rPr>
        <w:t xml:space="preserve">eur </w:t>
      </w:r>
      <w:r w:rsidRPr="004D0ACD" w:rsidR="00A801AD">
        <w:rPr>
          <w:rFonts w:ascii="Times New Roman" w:hAnsi="Times New Roman"/>
          <w:color w:val="000000"/>
        </w:rPr>
        <w:t>v roku 2019 a 483 eur v roku 2020</w:t>
      </w:r>
      <w:r w:rsidRPr="004D0ACD">
        <w:rPr>
          <w:rFonts w:ascii="Times New Roman" w:hAnsi="Times New Roman"/>
          <w:color w:val="000000"/>
        </w:rPr>
        <w:t xml:space="preserve">. </w:t>
      </w:r>
    </w:p>
    <w:p w:rsidR="008B0449" w:rsidRPr="004D0ACD" w:rsidP="00FB2E28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F</w:t>
      </w:r>
      <w:r w:rsidRPr="004D0ACD">
        <w:rPr>
          <w:rFonts w:ascii="Times New Roman" w:hAnsi="Times New Roman"/>
          <w:b/>
          <w:i/>
          <w:color w:val="000000"/>
        </w:rPr>
        <w:t xml:space="preserve">2) </w:t>
      </w:r>
      <w:r w:rsidRPr="004D0ACD" w:rsidR="00A801AD">
        <w:rPr>
          <w:rFonts w:ascii="Times New Roman" w:hAnsi="Times New Roman"/>
          <w:color w:val="000000"/>
        </w:rPr>
        <w:t xml:space="preserve">Na základe štatistických údajov v Sociálnej poisťovni z roku 2016 sa predpokladá, že </w:t>
      </w:r>
      <w:r w:rsidRPr="004D0ACD">
        <w:rPr>
          <w:rFonts w:ascii="Times New Roman" w:hAnsi="Times New Roman"/>
          <w:color w:val="000000"/>
        </w:rPr>
        <w:t>predĺ</w:t>
      </w:r>
      <w:r w:rsidRPr="004D0ACD" w:rsidR="00A801AD">
        <w:rPr>
          <w:rFonts w:ascii="Times New Roman" w:hAnsi="Times New Roman"/>
          <w:color w:val="000000"/>
        </w:rPr>
        <w:t>ženie podporného obdobia poberania dávky</w:t>
      </w:r>
      <w:r w:rsidRPr="004D0ACD" w:rsidR="0042351E">
        <w:rPr>
          <w:rFonts w:ascii="Times New Roman" w:hAnsi="Times New Roman"/>
          <w:color w:val="000000"/>
        </w:rPr>
        <w:t xml:space="preserve"> v nezamestnanosti</w:t>
      </w:r>
      <w:r w:rsidRPr="004D0ACD" w:rsidR="00A801AD">
        <w:rPr>
          <w:rFonts w:ascii="Times New Roman" w:hAnsi="Times New Roman"/>
          <w:color w:val="000000"/>
        </w:rPr>
        <w:t xml:space="preserve"> pre osoby v pracovnoprávnom</w:t>
      </w:r>
      <w:r w:rsidRPr="004D0ACD">
        <w:rPr>
          <w:rFonts w:ascii="Times New Roman" w:hAnsi="Times New Roman"/>
          <w:color w:val="000000"/>
        </w:rPr>
        <w:t xml:space="preserve"> po</w:t>
      </w:r>
      <w:r w:rsidRPr="004D0ACD" w:rsidR="00A801AD">
        <w:rPr>
          <w:rFonts w:ascii="Times New Roman" w:hAnsi="Times New Roman"/>
          <w:color w:val="000000"/>
        </w:rPr>
        <w:t>mere na do</w:t>
      </w:r>
      <w:r w:rsidRPr="004D0ACD" w:rsidR="00CC7A4B">
        <w:rPr>
          <w:rFonts w:ascii="Times New Roman" w:hAnsi="Times New Roman"/>
          <w:color w:val="000000"/>
        </w:rPr>
        <w:t>bu</w:t>
      </w:r>
      <w:r w:rsidRPr="004D0ACD" w:rsidR="00A801AD">
        <w:rPr>
          <w:rFonts w:ascii="Times New Roman" w:hAnsi="Times New Roman"/>
          <w:color w:val="000000"/>
        </w:rPr>
        <w:t xml:space="preserve"> určitú sa </w:t>
      </w:r>
      <w:r w:rsidRPr="004D0ACD" w:rsidR="0042351E">
        <w:rPr>
          <w:rFonts w:ascii="Times New Roman" w:hAnsi="Times New Roman"/>
          <w:color w:val="000000"/>
        </w:rPr>
        <w:t>dotkne 614 poberate</w:t>
      </w:r>
      <w:r w:rsidRPr="004D0ACD" w:rsidR="00CC7A4B">
        <w:rPr>
          <w:rFonts w:ascii="Times New Roman" w:hAnsi="Times New Roman"/>
          <w:color w:val="000000"/>
        </w:rPr>
        <w:t>ľov, ktorým bude dávka vyplácaná</w:t>
      </w:r>
      <w:r w:rsidRPr="004D0ACD" w:rsidR="0042351E">
        <w:rPr>
          <w:rFonts w:ascii="Times New Roman" w:hAnsi="Times New Roman"/>
          <w:color w:val="000000"/>
        </w:rPr>
        <w:t xml:space="preserve"> v priemere o 2 mesiace dlhšie v porovnaní so súčasným právnym stavom. Priemerná mesačná suma dávky sa očakáva v roku </w:t>
      </w:r>
      <w:r w:rsidRPr="004D0ACD" w:rsidR="004015CE">
        <w:rPr>
          <w:rFonts w:ascii="Times New Roman" w:hAnsi="Times New Roman"/>
          <w:color w:val="000000"/>
        </w:rPr>
        <w:t>2018 na úrovni 402 eur v roku 2018; 418 eur v roku 2019 a 437 eur v roku 2020</w:t>
      </w:r>
      <w:r w:rsidRPr="004D0ACD">
        <w:rPr>
          <w:rFonts w:ascii="Times New Roman" w:hAnsi="Times New Roman"/>
          <w:color w:val="000000"/>
        </w:rPr>
        <w:t xml:space="preserve">. </w:t>
      </w:r>
    </w:p>
    <w:p w:rsidR="00BC79E7" w:rsidRPr="004D0ACD" w:rsidP="00FB2E28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BC79E7" w:rsidRPr="004D0ACD" w:rsidP="00FB2E28">
      <w:pPr>
        <w:bidi w:val="0"/>
        <w:spacing w:after="0"/>
        <w:jc w:val="both"/>
        <w:rPr>
          <w:rFonts w:ascii="Times New Roman" w:hAnsi="Times New Roman"/>
          <w:color w:val="000000"/>
        </w:rPr>
      </w:pPr>
      <w:r w:rsidR="003D394F">
        <w:rPr>
          <w:rFonts w:ascii="Times New Roman" w:hAnsi="Times New Roman"/>
          <w:b/>
          <w:i/>
          <w:color w:val="000000"/>
        </w:rPr>
        <w:t>G</w:t>
      </w:r>
      <w:r w:rsidRPr="004D0ACD">
        <w:rPr>
          <w:rFonts w:ascii="Times New Roman" w:hAnsi="Times New Roman"/>
          <w:b/>
          <w:i/>
          <w:color w:val="000000"/>
        </w:rPr>
        <w:t>) Úprava podmie</w:t>
      </w:r>
      <w:r w:rsidRPr="004D0ACD" w:rsidR="000E5AD1">
        <w:rPr>
          <w:rFonts w:ascii="Times New Roman" w:hAnsi="Times New Roman"/>
          <w:b/>
          <w:i/>
          <w:color w:val="000000"/>
        </w:rPr>
        <w:t>nok nároku na vyrovnávací príplatok</w:t>
      </w:r>
      <w:r w:rsidRPr="004D0ACD" w:rsidR="00D1539A">
        <w:rPr>
          <w:rFonts w:ascii="Times New Roman" w:hAnsi="Times New Roman"/>
          <w:color w:val="000000"/>
        </w:rPr>
        <w:t xml:space="preserve"> tak, aby vznikol nárok aj poberateľom</w:t>
      </w:r>
      <w:r w:rsidRPr="004D0ACD">
        <w:rPr>
          <w:rFonts w:ascii="Times New Roman" w:hAnsi="Times New Roman"/>
          <w:color w:val="000000"/>
        </w:rPr>
        <w:t>, ktorým bol priznaný predčasný starobný dôchodok.</w:t>
      </w:r>
      <w:r w:rsidRPr="004D0ACD" w:rsidR="00391C46">
        <w:rPr>
          <w:rFonts w:ascii="Times New Roman" w:hAnsi="Times New Roman"/>
          <w:color w:val="000000"/>
        </w:rPr>
        <w:t xml:space="preserve"> Na základe štatistických údajov Sociálnej poisťovne sa predpokladá 252 pobe</w:t>
      </w:r>
      <w:r w:rsidRPr="004D0ACD" w:rsidR="00846EFD">
        <w:rPr>
          <w:rFonts w:ascii="Times New Roman" w:hAnsi="Times New Roman"/>
          <w:color w:val="000000"/>
        </w:rPr>
        <w:t>rateľov vyrovnávacieho príplatku</w:t>
      </w:r>
      <w:r w:rsidRPr="004D0ACD" w:rsidR="00391C46">
        <w:rPr>
          <w:rFonts w:ascii="Times New Roman" w:hAnsi="Times New Roman"/>
          <w:color w:val="000000"/>
        </w:rPr>
        <w:t xml:space="preserve"> v roku 2018; 242</w:t>
      </w:r>
      <w:r w:rsidRPr="004D0ACD" w:rsidR="001E6300">
        <w:rPr>
          <w:rFonts w:ascii="Times New Roman" w:hAnsi="Times New Roman"/>
          <w:color w:val="000000"/>
        </w:rPr>
        <w:t xml:space="preserve"> poberateľov</w:t>
      </w:r>
      <w:r w:rsidRPr="004D0ACD" w:rsidR="00391C46">
        <w:rPr>
          <w:rFonts w:ascii="Times New Roman" w:hAnsi="Times New Roman"/>
          <w:color w:val="000000"/>
        </w:rPr>
        <w:t xml:space="preserve"> v roku 2019 a</w:t>
      </w:r>
      <w:r w:rsidRPr="004D0ACD" w:rsidR="001E6300">
        <w:rPr>
          <w:rFonts w:ascii="Times New Roman" w:hAnsi="Times New Roman"/>
          <w:color w:val="000000"/>
        </w:rPr>
        <w:t> </w:t>
      </w:r>
      <w:r w:rsidRPr="004D0ACD" w:rsidR="00391C46">
        <w:rPr>
          <w:rFonts w:ascii="Times New Roman" w:hAnsi="Times New Roman"/>
          <w:color w:val="000000"/>
        </w:rPr>
        <w:t>230</w:t>
      </w:r>
      <w:r w:rsidRPr="004D0ACD" w:rsidR="001E6300">
        <w:rPr>
          <w:rFonts w:ascii="Times New Roman" w:hAnsi="Times New Roman"/>
          <w:color w:val="000000"/>
        </w:rPr>
        <w:t xml:space="preserve"> poberateľov</w:t>
      </w:r>
      <w:r w:rsidRPr="004D0ACD" w:rsidR="00391C46">
        <w:rPr>
          <w:rFonts w:ascii="Times New Roman" w:hAnsi="Times New Roman"/>
          <w:color w:val="000000"/>
        </w:rPr>
        <w:t xml:space="preserve"> v roku 2020. </w:t>
      </w:r>
      <w:r w:rsidRPr="004D0ACD" w:rsidR="00846EFD">
        <w:rPr>
          <w:rFonts w:ascii="Times New Roman" w:hAnsi="Times New Roman"/>
          <w:color w:val="000000"/>
        </w:rPr>
        <w:t>Priemerná mesačná suma vyrovná</w:t>
      </w:r>
      <w:r w:rsidRPr="004D0ACD" w:rsidR="008046D8">
        <w:rPr>
          <w:rFonts w:ascii="Times New Roman" w:hAnsi="Times New Roman"/>
          <w:color w:val="000000"/>
        </w:rPr>
        <w:t>va</w:t>
      </w:r>
      <w:r w:rsidRPr="004D0ACD" w:rsidR="00846EFD">
        <w:rPr>
          <w:rFonts w:ascii="Times New Roman" w:hAnsi="Times New Roman"/>
          <w:color w:val="000000"/>
        </w:rPr>
        <w:t xml:space="preserve">cieho príplatku sa </w:t>
      </w:r>
      <w:r w:rsidRPr="004D0ACD" w:rsidR="008046D8">
        <w:rPr>
          <w:rFonts w:ascii="Times New Roman" w:hAnsi="Times New Roman"/>
          <w:color w:val="000000"/>
        </w:rPr>
        <w:t>očakáva na úrovni 103 eur</w:t>
      </w:r>
      <w:r w:rsidRPr="004D0ACD" w:rsidR="001E6300">
        <w:rPr>
          <w:rFonts w:ascii="Times New Roman" w:hAnsi="Times New Roman"/>
          <w:color w:val="000000"/>
        </w:rPr>
        <w:t xml:space="preserve"> pre rok 2018 až 2020</w:t>
      </w:r>
      <w:r w:rsidRPr="004D0ACD" w:rsidR="008046D8">
        <w:rPr>
          <w:rFonts w:ascii="Times New Roman" w:hAnsi="Times New Roman"/>
          <w:color w:val="000000"/>
        </w:rPr>
        <w:t>.</w:t>
      </w:r>
      <w:r w:rsidRPr="004D0ACD" w:rsidR="00846EFD">
        <w:rPr>
          <w:rFonts w:ascii="Times New Roman" w:hAnsi="Times New Roman"/>
          <w:color w:val="000000"/>
        </w:rPr>
        <w:t xml:space="preserve"> </w:t>
      </w:r>
      <w:r w:rsidRPr="004D0ACD">
        <w:rPr>
          <w:rFonts w:ascii="Times New Roman" w:hAnsi="Times New Roman"/>
          <w:color w:val="000000"/>
        </w:rPr>
        <w:t xml:space="preserve"> </w:t>
      </w:r>
    </w:p>
    <w:p w:rsidR="00BB455C" w:rsidRPr="004D0ACD" w:rsidP="00FB2E28">
      <w:pPr>
        <w:bidi w:val="0"/>
        <w:spacing w:after="0"/>
        <w:jc w:val="both"/>
        <w:rPr>
          <w:rFonts w:ascii="Times New Roman" w:hAnsi="Times New Roman"/>
          <w:color w:val="000000"/>
        </w:rPr>
      </w:pPr>
    </w:p>
    <w:p w:rsidR="00BC79E7" w:rsidRPr="004D0ACD" w:rsidP="00FB2E28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3D394F">
        <w:rPr>
          <w:rFonts w:ascii="Times New Roman" w:hAnsi="Times New Roman"/>
          <w:b/>
          <w:i/>
          <w:color w:val="000000"/>
        </w:rPr>
        <w:t>H</w:t>
      </w:r>
      <w:r w:rsidRPr="004D0ACD" w:rsidR="00BB455C">
        <w:rPr>
          <w:rFonts w:ascii="Times New Roman" w:hAnsi="Times New Roman"/>
          <w:b/>
          <w:i/>
          <w:color w:val="000000"/>
        </w:rPr>
        <w:t>)</w:t>
      </w:r>
      <w:r w:rsidRPr="004D0ACD" w:rsidR="00BB455C">
        <w:rPr>
          <w:rFonts w:ascii="Times New Roman" w:hAnsi="Times New Roman"/>
          <w:color w:val="000000"/>
        </w:rPr>
        <w:t xml:space="preserve"> Vytvorenie </w:t>
      </w:r>
      <w:r w:rsidRPr="004D0ACD" w:rsidR="00BB455C">
        <w:rPr>
          <w:rFonts w:ascii="Times New Roman" w:hAnsi="Times New Roman"/>
          <w:b/>
          <w:i/>
          <w:color w:val="000000"/>
        </w:rPr>
        <w:t>jedného prístupového bodu k e</w:t>
      </w:r>
      <w:r w:rsidRPr="004D0ACD" w:rsidR="00BB455C">
        <w:rPr>
          <w:rFonts w:ascii="Times New Roman" w:hAnsi="Times New Roman"/>
          <w:b/>
          <w:i/>
        </w:rPr>
        <w:t>lektronickej výmene</w:t>
      </w:r>
      <w:r w:rsidRPr="004D0ACD" w:rsidR="00BB455C">
        <w:rPr>
          <w:rFonts w:ascii="Times New Roman" w:hAnsi="Times New Roman"/>
        </w:rPr>
        <w:t xml:space="preserve"> informácií o sociálnom zabezpečení (EESSI) v rámci EÚ a EHP</w:t>
      </w:r>
      <w:r w:rsidRPr="004D0ACD" w:rsidR="00BB455C">
        <w:rPr>
          <w:rFonts w:ascii="Times New Roman" w:hAnsi="Times New Roman"/>
          <w:color w:val="000000"/>
        </w:rPr>
        <w:t xml:space="preserve"> za SR, ktorým bude Sociálna poisťovňa.</w:t>
      </w:r>
      <w:r w:rsidRPr="004D0ACD" w:rsidR="000E5AD1">
        <w:rPr>
          <w:rFonts w:ascii="Times New Roman" w:hAnsi="Times New Roman"/>
          <w:color w:val="000000"/>
        </w:rPr>
        <w:t xml:space="preserve"> Predpokladajú </w:t>
      </w:r>
      <w:r w:rsidRPr="004D0ACD" w:rsidR="009E089E">
        <w:rPr>
          <w:rFonts w:ascii="Times New Roman" w:hAnsi="Times New Roman"/>
          <w:color w:val="000000"/>
        </w:rPr>
        <w:t xml:space="preserve">sa zvýšené </w:t>
      </w:r>
      <w:r w:rsidR="00B63B10">
        <w:rPr>
          <w:rFonts w:ascii="Times New Roman" w:hAnsi="Times New Roman"/>
          <w:color w:val="000000"/>
        </w:rPr>
        <w:t xml:space="preserve">kapitálové a prevádzkové </w:t>
      </w:r>
      <w:r w:rsidRPr="004D0ACD" w:rsidR="009E089E">
        <w:rPr>
          <w:rFonts w:ascii="Times New Roman" w:hAnsi="Times New Roman"/>
          <w:color w:val="000000"/>
        </w:rPr>
        <w:t>výdavky</w:t>
      </w:r>
      <w:r w:rsidR="00B63B10">
        <w:rPr>
          <w:rFonts w:ascii="Times New Roman" w:hAnsi="Times New Roman"/>
          <w:color w:val="000000"/>
        </w:rPr>
        <w:t xml:space="preserve"> </w:t>
      </w:r>
      <w:r w:rsidR="008C6B12">
        <w:rPr>
          <w:rFonts w:ascii="Times New Roman" w:hAnsi="Times New Roman"/>
          <w:color w:val="000000"/>
        </w:rPr>
        <w:t>v</w:t>
      </w:r>
      <w:r w:rsidR="00B63B10">
        <w:rPr>
          <w:rFonts w:ascii="Times New Roman" w:hAnsi="Times New Roman"/>
          <w:color w:val="000000"/>
        </w:rPr>
        <w:t> Sociálnej poisťovn</w:t>
      </w:r>
      <w:r w:rsidR="008C6B12">
        <w:rPr>
          <w:rFonts w:ascii="Times New Roman" w:hAnsi="Times New Roman"/>
          <w:color w:val="000000"/>
        </w:rPr>
        <w:t>i</w:t>
      </w:r>
      <w:r w:rsidR="00B63B10">
        <w:rPr>
          <w:rFonts w:ascii="Times New Roman" w:hAnsi="Times New Roman"/>
          <w:color w:val="000000"/>
        </w:rPr>
        <w:t>, MPSVR SR</w:t>
      </w:r>
      <w:r w:rsidR="008C6B12">
        <w:rPr>
          <w:rFonts w:ascii="Times New Roman" w:hAnsi="Times New Roman"/>
          <w:color w:val="000000"/>
        </w:rPr>
        <w:t xml:space="preserve">, </w:t>
      </w:r>
      <w:r w:rsidR="00B63B10">
        <w:rPr>
          <w:rFonts w:ascii="Times New Roman" w:hAnsi="Times New Roman"/>
          <w:color w:val="000000"/>
        </w:rPr>
        <w:t>UPSVR</w:t>
      </w:r>
      <w:r w:rsidR="00437C3E">
        <w:rPr>
          <w:rFonts w:ascii="Times New Roman" w:hAnsi="Times New Roman"/>
          <w:color w:val="000000"/>
        </w:rPr>
        <w:t xml:space="preserve"> a</w:t>
      </w:r>
      <w:r w:rsidR="00B63B10">
        <w:rPr>
          <w:rFonts w:ascii="Times New Roman" w:hAnsi="Times New Roman"/>
          <w:color w:val="000000"/>
        </w:rPr>
        <w:t xml:space="preserve"> UDZS</w:t>
      </w:r>
      <w:r w:rsidR="00437C3E">
        <w:rPr>
          <w:rFonts w:ascii="Times New Roman" w:hAnsi="Times New Roman"/>
          <w:color w:val="000000"/>
        </w:rPr>
        <w:t>.</w:t>
      </w:r>
      <w:r w:rsidR="00B63B10">
        <w:rPr>
          <w:rFonts w:ascii="Times New Roman" w:hAnsi="Times New Roman"/>
          <w:color w:val="000000"/>
        </w:rPr>
        <w:t xml:space="preserve"> </w:t>
      </w:r>
    </w:p>
    <w:p w:rsidR="00F71DCB" w:rsidP="001D1AE3">
      <w:pPr>
        <w:bidi w:val="0"/>
        <w:spacing w:after="0"/>
        <w:jc w:val="both"/>
        <w:rPr>
          <w:rFonts w:ascii="Times New Roman" w:hAnsi="Times New Roman"/>
          <w:b/>
          <w:i/>
          <w:lang w:eastAsia="sk-SK"/>
        </w:rPr>
      </w:pPr>
    </w:p>
    <w:p w:rsidR="00F71DCB" w:rsidP="001D1AE3">
      <w:pPr>
        <w:bidi w:val="0"/>
        <w:spacing w:after="0"/>
        <w:jc w:val="both"/>
        <w:rPr>
          <w:rFonts w:ascii="Times New Roman" w:hAnsi="Times New Roman"/>
          <w:b/>
          <w:i/>
          <w:lang w:eastAsia="sk-SK"/>
        </w:rPr>
      </w:pPr>
      <w:r>
        <w:rPr>
          <w:rFonts w:ascii="Times New Roman" w:hAnsi="Times New Roman"/>
          <w:b/>
          <w:i/>
          <w:lang w:eastAsia="sk-SK"/>
        </w:rPr>
        <w:t>Prehľad výdavkov v závislosti od prijatého opatrenia:</w:t>
      </w:r>
    </w:p>
    <w:tbl>
      <w:tblPr>
        <w:tblStyle w:val="TableNormal"/>
        <w:tblW w:w="85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59"/>
        <w:gridCol w:w="960"/>
        <w:gridCol w:w="1166"/>
        <w:gridCol w:w="1276"/>
        <w:gridCol w:w="1620"/>
      </w:tblGrid>
      <w:tr>
        <w:tblPrEx>
          <w:tblW w:w="8581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27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Tabuľka: </w:t>
            </w:r>
            <w:r w:rsidRPr="009B3D08">
              <w:rPr>
                <w:rFonts w:ascii="Arial Narrow" w:hAnsi="Arial Narrow" w:cs="Arial"/>
                <w:b/>
                <w:bCs/>
                <w:i/>
                <w:iCs/>
                <w:sz w:val="18"/>
                <w:szCs w:val="18"/>
                <w:lang w:eastAsia="sk-SK"/>
              </w:rPr>
              <w:t>Výdavky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9B3D08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9B3D08" w:rsidP="009B3D08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9B3D08">
              <w:rPr>
                <w:rFonts w:ascii="Arial Narrow" w:hAnsi="Arial Narrow" w:cs="Arial"/>
                <w:sz w:val="18"/>
                <w:szCs w:val="18"/>
                <w:lang w:eastAsia="sk-SK"/>
              </w:rPr>
              <w:t>v €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Návrh zmeny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6A6A6"/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zmeny v dávkach v nezamestnanosti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9 054 132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9 421 191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9 849 427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vyrovnávací príplatok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312 077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299 693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284 832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minimálna valorizácia - dôchodkové dávky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84 976 310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115 403 107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150 915 053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minimálna valorizácia - nesystémové dávky</w:t>
            </w:r>
            <w:r w:rsidRPr="00DD79A1" w:rsidR="00042CDF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-3 946 509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-6 731 892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-9 336 585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minimálna valorizácia - úrazové dávky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396 000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470 448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547 582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prístupový bod EESSI výdavky Sociálnej poisťovne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1 850 000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1 500 000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500 000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prístupový bod EESSI - ÚDZS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925 000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930 000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620 000</w:t>
            </w:r>
          </w:p>
        </w:tc>
      </w:tr>
      <w:tr>
        <w:tblPrEx>
          <w:tblW w:w="8581" w:type="dxa"/>
          <w:tblLook w:val="04A0"/>
        </w:tblPrEx>
        <w:trPr>
          <w:trHeight w:val="375"/>
        </w:trPr>
        <w:tc>
          <w:tcPr>
            <w:tcW w:w="35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9B3D08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prístupový bod EESSI - MPSVR/ÚPSVR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239 000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440 000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top"/>
            <w:hideMark/>
          </w:tcPr>
          <w:p w:rsidR="009B3D08" w:rsidRPr="00DD79A1" w:rsidP="00DD79A1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 w:cs="Arial"/>
                <w:sz w:val="20"/>
                <w:szCs w:val="20"/>
                <w:lang w:eastAsia="sk-SK"/>
              </w:rPr>
              <w:t>50 000</w:t>
            </w:r>
          </w:p>
        </w:tc>
      </w:tr>
    </w:tbl>
    <w:p w:rsidR="00F71DCB" w:rsidP="001D1AE3">
      <w:pPr>
        <w:bidi w:val="0"/>
        <w:spacing w:after="0"/>
        <w:jc w:val="both"/>
        <w:rPr>
          <w:rFonts w:ascii="Times New Roman" w:hAnsi="Times New Roman"/>
          <w:sz w:val="18"/>
          <w:szCs w:val="18"/>
          <w:lang w:eastAsia="sk-SK"/>
        </w:rPr>
      </w:pPr>
      <w:r w:rsidRPr="00502ABF" w:rsidR="009B3D08">
        <w:rPr>
          <w:rFonts w:ascii="Times New Roman" w:hAnsi="Times New Roman"/>
          <w:sz w:val="18"/>
          <w:szCs w:val="18"/>
          <w:lang w:eastAsia="sk-SK"/>
        </w:rPr>
        <w:t>ÚDZS- Úrad na dohľad nad zdravotnou starostlivosťou, ÚPSVR – úrad práce sociálnych vecí a</w:t>
      </w:r>
      <w:r w:rsidR="00042CDF">
        <w:rPr>
          <w:rFonts w:ascii="Times New Roman" w:hAnsi="Times New Roman"/>
          <w:sz w:val="18"/>
          <w:szCs w:val="18"/>
          <w:lang w:eastAsia="sk-SK"/>
        </w:rPr>
        <w:t> </w:t>
      </w:r>
      <w:r w:rsidRPr="00502ABF" w:rsidR="009B3D08">
        <w:rPr>
          <w:rFonts w:ascii="Times New Roman" w:hAnsi="Times New Roman"/>
          <w:sz w:val="18"/>
          <w:szCs w:val="18"/>
          <w:lang w:eastAsia="sk-SK"/>
        </w:rPr>
        <w:t>rodiny</w:t>
      </w:r>
    </w:p>
    <w:p w:rsidR="00042CDF" w:rsidRPr="00DD79A1" w:rsidP="00042CDF">
      <w:pPr>
        <w:bidi w:val="0"/>
        <w:spacing w:after="0"/>
        <w:jc w:val="both"/>
        <w:rPr>
          <w:rFonts w:ascii="Times New Roman" w:hAnsi="Times New Roman"/>
          <w:sz w:val="18"/>
          <w:szCs w:val="18"/>
          <w:lang w:eastAsia="sk-SK"/>
        </w:rPr>
      </w:pPr>
      <w:r w:rsidRPr="00042CDF">
        <w:rPr>
          <w:rFonts w:ascii="Times New Roman" w:hAnsi="Times New Roman"/>
          <w:sz w:val="18"/>
          <w:szCs w:val="18"/>
          <w:lang w:eastAsia="sk-SK"/>
        </w:rPr>
        <w:t>*</w:t>
      </w:r>
      <w:r>
        <w:rPr>
          <w:rFonts w:ascii="Times New Roman" w:hAnsi="Times New Roman"/>
          <w:sz w:val="18"/>
          <w:szCs w:val="18"/>
          <w:lang w:eastAsia="sk-SK"/>
        </w:rPr>
        <w:t xml:space="preserve"> </w:t>
      </w:r>
      <w:r w:rsidRPr="00DD79A1">
        <w:rPr>
          <w:rFonts w:ascii="Times New Roman" w:hAnsi="Times New Roman"/>
          <w:sz w:val="18"/>
          <w:szCs w:val="18"/>
          <w:lang w:eastAsia="sk-SK"/>
        </w:rPr>
        <w:t>V</w:t>
      </w:r>
      <w:r>
        <w:rPr>
          <w:rFonts w:ascii="Times New Roman" w:hAnsi="Times New Roman"/>
          <w:sz w:val="18"/>
          <w:szCs w:val="18"/>
          <w:lang w:eastAsia="sk-SK"/>
        </w:rPr>
        <w:t> </w:t>
      </w:r>
      <w:r w:rsidRPr="00DD79A1">
        <w:rPr>
          <w:rFonts w:ascii="Times New Roman" w:hAnsi="Times New Roman"/>
          <w:sz w:val="18"/>
          <w:szCs w:val="18"/>
          <w:lang w:eastAsia="sk-SK"/>
        </w:rPr>
        <w:t>pr</w:t>
      </w:r>
      <w:r>
        <w:rPr>
          <w:rFonts w:ascii="Times New Roman" w:hAnsi="Times New Roman"/>
          <w:sz w:val="18"/>
          <w:szCs w:val="18"/>
          <w:lang w:eastAsia="sk-SK"/>
        </w:rPr>
        <w:t>ípade tzv. nesystémových dávok príde z titulu zavedenia minimálnej valorizácie k úspore výdavkov</w:t>
      </w:r>
    </w:p>
    <w:p w:rsidR="00502ABF" w:rsidRPr="00502ABF" w:rsidP="001D1AE3">
      <w:pPr>
        <w:bidi w:val="0"/>
        <w:spacing w:after="0"/>
        <w:jc w:val="both"/>
        <w:rPr>
          <w:rFonts w:ascii="Times New Roman" w:hAnsi="Times New Roman"/>
          <w:sz w:val="18"/>
          <w:szCs w:val="18"/>
          <w:lang w:eastAsia="sk-SK"/>
        </w:rPr>
      </w:pPr>
    </w:p>
    <w:p w:rsidR="009B3D08" w:rsidRPr="00805DE1" w:rsidP="001D1AE3">
      <w:pPr>
        <w:bidi w:val="0"/>
        <w:spacing w:after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805DE1" w:rsidR="00502ABF">
        <w:rPr>
          <w:rFonts w:ascii="Times New Roman" w:hAnsi="Times New Roman"/>
          <w:sz w:val="20"/>
          <w:szCs w:val="20"/>
          <w:lang w:eastAsia="sk-SK"/>
        </w:rPr>
        <w:t>Pozn.: V</w:t>
      </w:r>
      <w:r w:rsidRPr="00805DE1">
        <w:rPr>
          <w:rFonts w:ascii="Times New Roman" w:hAnsi="Times New Roman"/>
          <w:sz w:val="20"/>
          <w:szCs w:val="20"/>
          <w:lang w:eastAsia="sk-SK"/>
        </w:rPr>
        <w:t xml:space="preserve"> prípade, že </w:t>
      </w:r>
      <w:r w:rsidRPr="00805DE1" w:rsidR="00502ABF">
        <w:rPr>
          <w:rFonts w:ascii="Times New Roman" w:hAnsi="Times New Roman"/>
          <w:sz w:val="20"/>
          <w:szCs w:val="20"/>
          <w:lang w:eastAsia="sk-SK"/>
        </w:rPr>
        <w:t>sa dané opatrenie nenachádza v</w:t>
      </w:r>
      <w:r w:rsidRPr="00805DE1" w:rsidR="00805DE1">
        <w:rPr>
          <w:rFonts w:ascii="Times New Roman" w:hAnsi="Times New Roman"/>
          <w:sz w:val="20"/>
          <w:szCs w:val="20"/>
          <w:lang w:eastAsia="sk-SK"/>
        </w:rPr>
        <w:t> T</w:t>
      </w:r>
      <w:r w:rsidRPr="00805DE1" w:rsidR="00502ABF">
        <w:rPr>
          <w:rFonts w:ascii="Times New Roman" w:hAnsi="Times New Roman"/>
          <w:sz w:val="20"/>
          <w:szCs w:val="20"/>
          <w:lang w:eastAsia="sk-SK"/>
        </w:rPr>
        <w:t>abuľke</w:t>
      </w:r>
      <w:r w:rsidRPr="00805DE1" w:rsidR="00805DE1">
        <w:rPr>
          <w:rFonts w:ascii="Times New Roman" w:hAnsi="Times New Roman"/>
          <w:sz w:val="20"/>
          <w:szCs w:val="20"/>
          <w:lang w:eastAsia="sk-SK"/>
        </w:rPr>
        <w:t xml:space="preserve"> -</w:t>
      </w:r>
      <w:r w:rsidRPr="00805DE1" w:rsidR="00502ABF"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805DE1" w:rsidR="00805DE1">
        <w:rPr>
          <w:rFonts w:ascii="Times New Roman" w:hAnsi="Times New Roman"/>
          <w:sz w:val="20"/>
          <w:szCs w:val="20"/>
          <w:lang w:eastAsia="sk-SK"/>
        </w:rPr>
        <w:t>Výdavky, jeho vplyv na verejné financie môžeme charakterizovať ako zanedbateľný.</w:t>
      </w:r>
    </w:p>
    <w:p w:rsidR="00F71DCB" w:rsidP="001D1AE3">
      <w:pPr>
        <w:bidi w:val="0"/>
        <w:spacing w:after="0"/>
        <w:jc w:val="both"/>
        <w:rPr>
          <w:rFonts w:ascii="Times New Roman" w:hAnsi="Times New Roman"/>
          <w:b/>
          <w:i/>
          <w:lang w:eastAsia="sk-SK"/>
        </w:rPr>
      </w:pPr>
    </w:p>
    <w:p w:rsidR="0009006D" w:rsidP="001D1AE3">
      <w:pPr>
        <w:bidi w:val="0"/>
        <w:spacing w:after="0"/>
        <w:jc w:val="both"/>
        <w:rPr>
          <w:rFonts w:ascii="Times New Roman" w:hAnsi="Times New Roman"/>
        </w:rPr>
      </w:pPr>
      <w:r w:rsidRPr="004D0ACD" w:rsidR="004E147C">
        <w:rPr>
          <w:rFonts w:ascii="Times New Roman" w:hAnsi="Times New Roman"/>
          <w:b/>
          <w:i/>
          <w:lang w:eastAsia="sk-SK"/>
        </w:rPr>
        <w:t>Výdavky štátneho rozpočtu</w:t>
      </w:r>
      <w:r w:rsidRPr="004D0ACD" w:rsidR="004E147C">
        <w:rPr>
          <w:rFonts w:ascii="Times New Roman" w:hAnsi="Times New Roman"/>
          <w:lang w:eastAsia="sk-SK"/>
        </w:rPr>
        <w:t xml:space="preserve"> –  </w:t>
      </w:r>
      <w:r w:rsidRPr="004D0ACD" w:rsidR="00B65274">
        <w:rPr>
          <w:rFonts w:ascii="Times New Roman" w:hAnsi="Times New Roman"/>
        </w:rPr>
        <w:t>predpokladá sa</w:t>
      </w:r>
      <w:r w:rsidRPr="004D0ACD" w:rsidR="00037573">
        <w:rPr>
          <w:rFonts w:ascii="Times New Roman" w:hAnsi="Times New Roman"/>
        </w:rPr>
        <w:t xml:space="preserve"> </w:t>
      </w:r>
      <w:r w:rsidRPr="004D0ACD" w:rsidR="00147982">
        <w:rPr>
          <w:rFonts w:ascii="Times New Roman" w:hAnsi="Times New Roman"/>
        </w:rPr>
        <w:t>zníženie</w:t>
      </w:r>
      <w:r w:rsidRPr="004D0ACD" w:rsidR="00037573">
        <w:rPr>
          <w:rFonts w:ascii="Times New Roman" w:hAnsi="Times New Roman"/>
        </w:rPr>
        <w:t xml:space="preserve"> </w:t>
      </w:r>
      <w:r w:rsidRPr="004D0ACD" w:rsidR="004E147C">
        <w:rPr>
          <w:rFonts w:ascii="Times New Roman" w:hAnsi="Times New Roman"/>
        </w:rPr>
        <w:t>výdavkov</w:t>
      </w:r>
      <w:r w:rsidRPr="004D0ACD" w:rsidR="00037573">
        <w:rPr>
          <w:rFonts w:ascii="Times New Roman" w:hAnsi="Times New Roman"/>
        </w:rPr>
        <w:t xml:space="preserve"> z</w:t>
      </w:r>
      <w:r w:rsidRPr="004D0ACD" w:rsidR="004E147C">
        <w:rPr>
          <w:rFonts w:ascii="Times New Roman" w:hAnsi="Times New Roman"/>
        </w:rPr>
        <w:t xml:space="preserve"> rozpočtovej kapitoly Ministerstva práce, sociálnych vecí a rodiny Slovenskej republiky</w:t>
      </w:r>
      <w:r w:rsidRPr="004D0ACD" w:rsidR="00037573">
        <w:rPr>
          <w:rFonts w:ascii="Times New Roman" w:hAnsi="Times New Roman"/>
        </w:rPr>
        <w:t>. Výdavky</w:t>
      </w:r>
      <w:r w:rsidRPr="004D0ACD" w:rsidR="00A90FAC">
        <w:rPr>
          <w:rFonts w:ascii="Times New Roman" w:hAnsi="Times New Roman"/>
        </w:rPr>
        <w:t xml:space="preserve"> poklesnú z dôvodu garancie minimálnej valorizácie a tým nižšieho počtu poberateľov minimálneho dôchodku a nižšieho priemerného doplatku do </w:t>
      </w:r>
      <w:r w:rsidRPr="00C85A2C" w:rsidR="00A90FAC">
        <w:rPr>
          <w:rFonts w:ascii="Times New Roman" w:hAnsi="Times New Roman"/>
        </w:rPr>
        <w:t>sumy minimálneho dôchodku</w:t>
      </w:r>
      <w:r w:rsidR="00B63B10">
        <w:rPr>
          <w:rFonts w:ascii="Times New Roman" w:hAnsi="Times New Roman"/>
        </w:rPr>
        <w:t>.  Rast kapitálových a prevádzkových výdavkov súvisí so zavedením jedného prístupového bodu EESSI.  Celkový vplyv predstavuje pokles</w:t>
      </w:r>
      <w:r w:rsidRPr="00C85A2C" w:rsidR="00147982">
        <w:rPr>
          <w:rFonts w:ascii="Times New Roman" w:hAnsi="Times New Roman"/>
        </w:rPr>
        <w:t xml:space="preserve"> </w:t>
      </w:r>
      <w:r w:rsidRPr="0033117D" w:rsidR="001F3071">
        <w:rPr>
          <w:rFonts w:ascii="Times New Roman" w:hAnsi="Times New Roman"/>
        </w:rPr>
        <w:t>cca o</w:t>
      </w:r>
      <w:r w:rsidRPr="0033117D" w:rsidR="00732733">
        <w:rPr>
          <w:rFonts w:ascii="Times New Roman" w:hAnsi="Times New Roman"/>
        </w:rPr>
        <w:t> </w:t>
      </w:r>
      <w:r w:rsidRPr="0033117D" w:rsidR="00C85A2C">
        <w:rPr>
          <w:rFonts w:ascii="Times New Roman" w:hAnsi="Times New Roman"/>
        </w:rPr>
        <w:t>3</w:t>
      </w:r>
      <w:r w:rsidRPr="0033117D" w:rsidR="00732733">
        <w:rPr>
          <w:rFonts w:ascii="Times New Roman" w:hAnsi="Times New Roman"/>
        </w:rPr>
        <w:t>,</w:t>
      </w:r>
      <w:r w:rsidR="00FA68ED">
        <w:rPr>
          <w:rFonts w:ascii="Times New Roman" w:hAnsi="Times New Roman"/>
        </w:rPr>
        <w:t>4</w:t>
      </w:r>
      <w:r w:rsidRPr="0033117D" w:rsidR="00037573">
        <w:rPr>
          <w:rFonts w:ascii="Times New Roman" w:hAnsi="Times New Roman"/>
        </w:rPr>
        <w:t xml:space="preserve"> mil</w:t>
      </w:r>
      <w:r w:rsidRPr="0033117D" w:rsidR="004E147C">
        <w:rPr>
          <w:rFonts w:ascii="Times New Roman" w:hAnsi="Times New Roman"/>
        </w:rPr>
        <w:t>. eur v roku</w:t>
      </w:r>
      <w:r w:rsidRPr="0033117D" w:rsidR="00732733">
        <w:rPr>
          <w:rFonts w:ascii="Times New Roman" w:hAnsi="Times New Roman"/>
        </w:rPr>
        <w:t xml:space="preserve"> 2018; cca o</w:t>
      </w:r>
      <w:r w:rsidR="00CA0E25">
        <w:rPr>
          <w:rFonts w:ascii="Times New Roman" w:hAnsi="Times New Roman"/>
        </w:rPr>
        <w:t> 6,</w:t>
      </w:r>
      <w:r w:rsidR="00FA68ED">
        <w:rPr>
          <w:rFonts w:ascii="Times New Roman" w:hAnsi="Times New Roman"/>
        </w:rPr>
        <w:t>0</w:t>
      </w:r>
      <w:r w:rsidRPr="0033117D" w:rsidR="00037573">
        <w:rPr>
          <w:rFonts w:ascii="Times New Roman" w:hAnsi="Times New Roman"/>
        </w:rPr>
        <w:t xml:space="preserve"> mil</w:t>
      </w:r>
      <w:r w:rsidRPr="0033117D" w:rsidR="004E147C">
        <w:rPr>
          <w:rFonts w:ascii="Times New Roman" w:hAnsi="Times New Roman"/>
        </w:rPr>
        <w:t>. eur v roku 20</w:t>
      </w:r>
      <w:r w:rsidRPr="0033117D" w:rsidR="00037573">
        <w:rPr>
          <w:rFonts w:ascii="Times New Roman" w:hAnsi="Times New Roman"/>
        </w:rPr>
        <w:t>19</w:t>
      </w:r>
      <w:r w:rsidRPr="0033117D" w:rsidR="004E147C">
        <w:rPr>
          <w:rFonts w:ascii="Times New Roman" w:hAnsi="Times New Roman"/>
        </w:rPr>
        <w:t xml:space="preserve"> a</w:t>
      </w:r>
      <w:r w:rsidRPr="0033117D" w:rsidR="00732733">
        <w:rPr>
          <w:rFonts w:ascii="Times New Roman" w:hAnsi="Times New Roman"/>
        </w:rPr>
        <w:t> cca o</w:t>
      </w:r>
      <w:r w:rsidR="00CA0E25">
        <w:rPr>
          <w:rFonts w:ascii="Times New Roman" w:hAnsi="Times New Roman"/>
        </w:rPr>
        <w:t> 9,</w:t>
      </w:r>
      <w:r w:rsidR="00FA68ED">
        <w:rPr>
          <w:rFonts w:ascii="Times New Roman" w:hAnsi="Times New Roman"/>
        </w:rPr>
        <w:t>0</w:t>
      </w:r>
      <w:r w:rsidRPr="0033117D" w:rsidR="00037573">
        <w:rPr>
          <w:rFonts w:ascii="Times New Roman" w:hAnsi="Times New Roman"/>
        </w:rPr>
        <w:t xml:space="preserve"> mil. eur v roku 2020</w:t>
      </w:r>
      <w:r w:rsidRPr="0033117D" w:rsidR="004E147C">
        <w:rPr>
          <w:rFonts w:ascii="Times New Roman" w:hAnsi="Times New Roman"/>
        </w:rPr>
        <w:t>.</w:t>
      </w:r>
      <w:r w:rsidRPr="004D0ACD" w:rsidR="00037573">
        <w:rPr>
          <w:rFonts w:ascii="Times New Roman" w:hAnsi="Times New Roman"/>
        </w:rPr>
        <w:t xml:space="preserve"> </w:t>
      </w:r>
    </w:p>
    <w:p w:rsidR="00031E18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532C3C" w:rsidP="001D1AE3">
      <w:pPr>
        <w:bidi w:val="0"/>
        <w:spacing w:after="0"/>
        <w:jc w:val="both"/>
        <w:rPr>
          <w:rFonts w:ascii="Times New Roman" w:hAnsi="Times New Roman"/>
        </w:rPr>
      </w:pPr>
    </w:p>
    <w:p w:rsidR="00031E18" w:rsidRPr="004D0ACD" w:rsidP="001D1AE3">
      <w:pPr>
        <w:bidi w:val="0"/>
        <w:spacing w:after="0"/>
        <w:jc w:val="both"/>
        <w:rPr>
          <w:rFonts w:ascii="Times New Roman" w:hAnsi="Times New Roman"/>
        </w:rPr>
      </w:pPr>
    </w:p>
    <w:p w:rsidR="004E147C" w:rsidRPr="00C14CAE" w:rsidP="007273C7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4CAE" w:rsidR="007273C7">
        <w:rPr>
          <w:rFonts w:ascii="Times New Roman" w:hAnsi="Times New Roman"/>
          <w:sz w:val="20"/>
          <w:szCs w:val="20"/>
          <w:lang w:eastAsia="sk-SK"/>
        </w:rPr>
        <w:t>Tabuľka č. 4</w:t>
      </w:r>
      <w:r w:rsidRPr="00C14CAE" w:rsidR="007273C7">
        <w:rPr>
          <w:rFonts w:ascii="Times New Roman" w:hAnsi="Times New Roman"/>
          <w:sz w:val="20"/>
          <w:szCs w:val="20"/>
        </w:rPr>
        <w:t>A</w:t>
      </w:r>
    </w:p>
    <w:tbl>
      <w:tblPr>
        <w:tblStyle w:val="TableNormal"/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980"/>
        <w:gridCol w:w="1000"/>
        <w:gridCol w:w="1040"/>
        <w:gridCol w:w="1040"/>
        <w:gridCol w:w="920"/>
      </w:tblGrid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štátneho rozpočtu MPSVR SR (v eurách)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Vplyv na štátny rozpočet MPSVR SR               (cash = ESA2010)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-3 454 432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-6 382 199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-9 001 753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-3 634 432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-6 432 199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-9 051 753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-3 634 432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-6 432 199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-9 051 753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FA68ED">
              <w:rPr>
                <w:rFonts w:ascii="Arial Narrow" w:hAnsi="Arial Narrow" w:cs="Arial"/>
                <w:lang w:eastAsia="sk-SK"/>
              </w:rPr>
              <w:t xml:space="preserve"> </w:t>
            </w: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390 000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390 000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Nákup strojov, prístrojov, zariadení, techniky a náradia (713)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390 000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Rekonštrukcia a modernizácia (718)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Dopad na výdavky štátneho rozpočtu MPSVR SR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-3 395 432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-5 992 199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-9 001 753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866FE4" w:rsidP="00FA68ED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66FE4" w:rsidP="00280A57">
      <w:pPr>
        <w:bidi w:val="0"/>
        <w:spacing w:after="0"/>
        <w:jc w:val="both"/>
        <w:rPr>
          <w:rFonts w:ascii="Times New Roman" w:hAnsi="Times New Roman"/>
          <w:b/>
          <w:i/>
          <w:lang w:eastAsia="sk-SK"/>
        </w:rPr>
      </w:pPr>
    </w:p>
    <w:p w:rsidR="00393772" w:rsidRPr="004D0ACD" w:rsidP="00280A57">
      <w:pPr>
        <w:bidi w:val="0"/>
        <w:spacing w:after="0"/>
        <w:jc w:val="both"/>
        <w:rPr>
          <w:rFonts w:ascii="Times New Roman" w:hAnsi="Times New Roman"/>
          <w:lang w:eastAsia="sk-SK"/>
        </w:rPr>
      </w:pPr>
      <w:r w:rsidRPr="004D0ACD" w:rsidR="004E147C">
        <w:rPr>
          <w:rFonts w:ascii="Times New Roman" w:hAnsi="Times New Roman"/>
          <w:b/>
          <w:i/>
          <w:lang w:eastAsia="sk-SK"/>
        </w:rPr>
        <w:t>Výdavky Sociálnej poisťovne</w:t>
      </w:r>
      <w:r w:rsidRPr="004D0ACD" w:rsidR="004E147C">
        <w:rPr>
          <w:rFonts w:ascii="Times New Roman" w:hAnsi="Times New Roman"/>
          <w:lang w:eastAsia="sk-SK"/>
        </w:rPr>
        <w:t xml:space="preserve"> –  </w:t>
      </w:r>
      <w:r w:rsidRPr="004D0ACD" w:rsidR="0026659F">
        <w:rPr>
          <w:rFonts w:ascii="Times New Roman" w:hAnsi="Times New Roman"/>
        </w:rPr>
        <w:t>predpokladá sa zvýšenie výdavk</w:t>
      </w:r>
      <w:r w:rsidRPr="004D0ACD" w:rsidR="008B2AD4">
        <w:rPr>
          <w:rFonts w:ascii="Times New Roman" w:hAnsi="Times New Roman"/>
        </w:rPr>
        <w:t>ov</w:t>
      </w:r>
      <w:r w:rsidRPr="004D0ACD">
        <w:rPr>
          <w:rFonts w:ascii="Times New Roman" w:hAnsi="Times New Roman"/>
        </w:rPr>
        <w:t xml:space="preserve"> </w:t>
      </w:r>
      <w:r w:rsidRPr="004D0ACD" w:rsidR="00CD2466">
        <w:rPr>
          <w:rFonts w:ascii="Times New Roman" w:hAnsi="Times New Roman"/>
        </w:rPr>
        <w:t>vplyvom</w:t>
      </w:r>
      <w:r w:rsidRPr="004D0ACD">
        <w:rPr>
          <w:rFonts w:ascii="Times New Roman" w:hAnsi="Times New Roman"/>
        </w:rPr>
        <w:t xml:space="preserve"> minimálneho valorizačného mechanizmu</w:t>
      </w:r>
      <w:r w:rsidR="00B63B10">
        <w:rPr>
          <w:rFonts w:ascii="Times New Roman" w:hAnsi="Times New Roman"/>
        </w:rPr>
        <w:t>,</w:t>
      </w:r>
      <w:r w:rsidR="003D394F">
        <w:rPr>
          <w:rFonts w:ascii="Times New Roman" w:hAnsi="Times New Roman"/>
        </w:rPr>
        <w:t xml:space="preserve"> </w:t>
      </w:r>
      <w:r w:rsidRPr="004D0ACD">
        <w:rPr>
          <w:rFonts w:ascii="Times New Roman" w:hAnsi="Times New Roman"/>
        </w:rPr>
        <w:t xml:space="preserve"> zmien v oblasti dávok v</w:t>
      </w:r>
      <w:r w:rsidR="00B63B10">
        <w:rPr>
          <w:rFonts w:ascii="Times New Roman" w:hAnsi="Times New Roman"/>
        </w:rPr>
        <w:t> </w:t>
      </w:r>
      <w:r w:rsidRPr="004D0ACD">
        <w:rPr>
          <w:rFonts w:ascii="Times New Roman" w:hAnsi="Times New Roman"/>
        </w:rPr>
        <w:t>nezamestnanosti</w:t>
      </w:r>
      <w:r w:rsidR="00B63B10">
        <w:rPr>
          <w:rFonts w:ascii="Times New Roman" w:hAnsi="Times New Roman"/>
        </w:rPr>
        <w:t xml:space="preserve"> a zavedenia jedného prístupového bodu EESSI</w:t>
      </w:r>
      <w:r w:rsidR="003A44C6">
        <w:rPr>
          <w:rFonts w:ascii="Times New Roman" w:hAnsi="Times New Roman"/>
        </w:rPr>
        <w:t>.</w:t>
      </w:r>
      <w:r w:rsidRPr="004D0ACD">
        <w:rPr>
          <w:rFonts w:ascii="Times New Roman" w:hAnsi="Times New Roman"/>
        </w:rPr>
        <w:t xml:space="preserve"> </w:t>
      </w:r>
      <w:r w:rsidR="003A44C6">
        <w:rPr>
          <w:rFonts w:ascii="Times New Roman" w:hAnsi="Times New Roman"/>
        </w:rPr>
        <w:t xml:space="preserve"> Celkový vplyv predstavuje nárast</w:t>
      </w:r>
      <w:r w:rsidRPr="004D0ACD" w:rsidR="00C834B4">
        <w:rPr>
          <w:rFonts w:ascii="Times New Roman" w:hAnsi="Times New Roman"/>
        </w:rPr>
        <w:t xml:space="preserve"> </w:t>
      </w:r>
      <w:r w:rsidRPr="00C85A2C" w:rsidR="00390633">
        <w:rPr>
          <w:rFonts w:ascii="Times New Roman" w:hAnsi="Times New Roman"/>
        </w:rPr>
        <w:t xml:space="preserve"> </w:t>
      </w:r>
      <w:r w:rsidRPr="00C85A2C">
        <w:rPr>
          <w:rFonts w:ascii="Times New Roman" w:hAnsi="Times New Roman"/>
        </w:rPr>
        <w:t>v</w:t>
      </w:r>
      <w:r w:rsidRPr="00C85A2C" w:rsidR="008050F8">
        <w:rPr>
          <w:rFonts w:ascii="Times New Roman" w:hAnsi="Times New Roman"/>
        </w:rPr>
        <w:t> </w:t>
      </w:r>
      <w:r w:rsidRPr="00C85A2C">
        <w:rPr>
          <w:rFonts w:ascii="Times New Roman" w:hAnsi="Times New Roman"/>
        </w:rPr>
        <w:t>roku</w:t>
      </w:r>
      <w:r w:rsidRPr="00C85A2C" w:rsidR="0009495D">
        <w:rPr>
          <w:rFonts w:ascii="Times New Roman" w:hAnsi="Times New Roman"/>
        </w:rPr>
        <w:t xml:space="preserve"> </w:t>
      </w:r>
      <w:r w:rsidRPr="00C85A2C">
        <w:rPr>
          <w:rFonts w:ascii="Times New Roman" w:hAnsi="Times New Roman"/>
        </w:rPr>
        <w:t>2018 cca</w:t>
      </w:r>
      <w:r w:rsidRPr="00C85A2C" w:rsidR="00390633">
        <w:rPr>
          <w:rFonts w:ascii="Times New Roman" w:hAnsi="Times New Roman"/>
        </w:rPr>
        <w:t xml:space="preserve"> o</w:t>
      </w:r>
      <w:r w:rsidR="00F71DCB">
        <w:rPr>
          <w:rFonts w:ascii="Times New Roman" w:hAnsi="Times New Roman"/>
        </w:rPr>
        <w:t> 96,3</w:t>
      </w:r>
      <w:r w:rsidRPr="00C85A2C" w:rsidR="000D07CE">
        <w:rPr>
          <w:rFonts w:ascii="Times New Roman" w:hAnsi="Times New Roman"/>
        </w:rPr>
        <w:t>,</w:t>
      </w:r>
      <w:r w:rsidRPr="00C85A2C">
        <w:rPr>
          <w:rFonts w:ascii="Times New Roman" w:hAnsi="Times New Roman"/>
        </w:rPr>
        <w:t xml:space="preserve"> mil. eur, v roku 2019</w:t>
      </w:r>
      <w:r w:rsidRPr="00C85A2C" w:rsidR="00EA2EE3">
        <w:rPr>
          <w:rFonts w:ascii="Times New Roman" w:hAnsi="Times New Roman"/>
        </w:rPr>
        <w:t xml:space="preserve"> o</w:t>
      </w:r>
      <w:r w:rsidR="00F71DCB">
        <w:rPr>
          <w:rFonts w:ascii="Times New Roman" w:hAnsi="Times New Roman"/>
        </w:rPr>
        <w:t> </w:t>
      </w:r>
      <w:r w:rsidRPr="00C85A2C">
        <w:rPr>
          <w:rFonts w:ascii="Times New Roman" w:hAnsi="Times New Roman"/>
        </w:rPr>
        <w:t>1</w:t>
      </w:r>
      <w:r w:rsidR="006A0F3A">
        <w:rPr>
          <w:rFonts w:ascii="Times New Roman" w:hAnsi="Times New Roman"/>
        </w:rPr>
        <w:t>2</w:t>
      </w:r>
      <w:r w:rsidR="00F71DCB">
        <w:rPr>
          <w:rFonts w:ascii="Times New Roman" w:hAnsi="Times New Roman"/>
        </w:rPr>
        <w:t>7,0</w:t>
      </w:r>
      <w:r w:rsidRPr="00C85A2C">
        <w:rPr>
          <w:rFonts w:ascii="Times New Roman" w:hAnsi="Times New Roman"/>
        </w:rPr>
        <w:t xml:space="preserve"> mil</w:t>
      </w:r>
      <w:r w:rsidRPr="00C85A2C" w:rsidR="001576F5">
        <w:rPr>
          <w:rFonts w:ascii="Times New Roman" w:hAnsi="Times New Roman"/>
        </w:rPr>
        <w:t>. eur a</w:t>
      </w:r>
      <w:r w:rsidRPr="00C85A2C">
        <w:rPr>
          <w:rFonts w:ascii="Times New Roman" w:hAnsi="Times New Roman"/>
        </w:rPr>
        <w:t xml:space="preserve"> v roku 2020 cca</w:t>
      </w:r>
      <w:r w:rsidRPr="00C85A2C" w:rsidR="00EA2EE3">
        <w:rPr>
          <w:rFonts w:ascii="Times New Roman" w:hAnsi="Times New Roman"/>
        </w:rPr>
        <w:t xml:space="preserve"> o</w:t>
      </w:r>
      <w:r w:rsidR="00F71DCB">
        <w:rPr>
          <w:rFonts w:ascii="Times New Roman" w:hAnsi="Times New Roman"/>
        </w:rPr>
        <w:t> </w:t>
      </w:r>
      <w:r w:rsidRPr="00C85A2C">
        <w:rPr>
          <w:rFonts w:ascii="Times New Roman" w:hAnsi="Times New Roman"/>
        </w:rPr>
        <w:t>1</w:t>
      </w:r>
      <w:r w:rsidR="00F71DCB">
        <w:rPr>
          <w:rFonts w:ascii="Times New Roman" w:hAnsi="Times New Roman"/>
        </w:rPr>
        <w:t>61,8</w:t>
      </w:r>
      <w:r w:rsidRPr="00C85A2C">
        <w:rPr>
          <w:rFonts w:ascii="Times New Roman" w:hAnsi="Times New Roman"/>
        </w:rPr>
        <w:t xml:space="preserve"> mil</w:t>
      </w:r>
      <w:r w:rsidRPr="00C85A2C" w:rsidR="00AB656A">
        <w:rPr>
          <w:rFonts w:ascii="Times New Roman" w:hAnsi="Times New Roman"/>
        </w:rPr>
        <w:t>. eura</w:t>
      </w:r>
      <w:r w:rsidRPr="00C85A2C" w:rsidR="00573ADA">
        <w:rPr>
          <w:rFonts w:ascii="Times New Roman" w:hAnsi="Times New Roman"/>
        </w:rPr>
        <w:t>.</w:t>
      </w:r>
      <w:r w:rsidRPr="004D0ACD" w:rsidR="00AB656A">
        <w:rPr>
          <w:rFonts w:ascii="Times New Roman" w:hAnsi="Times New Roman"/>
        </w:rPr>
        <w:t xml:space="preserve"> </w:t>
      </w:r>
    </w:p>
    <w:p w:rsidR="00393772" w:rsidRPr="004D0ACD" w:rsidP="006417F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B6D" w:rsidRPr="00C14CAE" w:rsidP="00891B6D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14CAE" w:rsidR="007273C7">
        <w:rPr>
          <w:rFonts w:ascii="Times New Roman" w:hAnsi="Times New Roman"/>
          <w:sz w:val="20"/>
          <w:szCs w:val="20"/>
          <w:lang w:eastAsia="sk-SK"/>
        </w:rPr>
        <w:t>Tabuľka č. 4</w:t>
      </w:r>
      <w:r w:rsidRPr="00C14CAE" w:rsidR="007273C7">
        <w:rPr>
          <w:rFonts w:ascii="Times New Roman" w:hAnsi="Times New Roman"/>
          <w:sz w:val="20"/>
          <w:szCs w:val="20"/>
        </w:rPr>
        <w:t>B</w:t>
      </w:r>
    </w:p>
    <w:tbl>
      <w:tblPr>
        <w:tblStyle w:val="TableNormal"/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980"/>
        <w:gridCol w:w="1000"/>
        <w:gridCol w:w="1040"/>
        <w:gridCol w:w="1040"/>
        <w:gridCol w:w="920"/>
      </w:tblGrid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Sociálnej poisťovne (v eurách)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Vplyv na rozpočet Sociálnej poisťovne                  (cash = ESA2010)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94 426 442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125 544 746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161 812 062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250 000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500 000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250 000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500 000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94 426 442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125 294 746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161 312 062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94 426 442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125 294 746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161 312 062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FA68ED">
              <w:rPr>
                <w:rFonts w:ascii="Arial Narrow" w:hAnsi="Arial Narrow" w:cs="Arial"/>
                <w:lang w:eastAsia="sk-SK"/>
              </w:rPr>
              <w:t xml:space="preserve"> </w:t>
            </w: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1 850 000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1 500 000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1 850 000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1 500 000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Nákup strojov, prístrojov, zariadení, techniky a náradia (713)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1 850 000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1 500 000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>Rekonštrukcia a modernizácia (718)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Sociálnej poisťovne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96 276 442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127 044 746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A68ED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161 812 062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A68ED" w:rsidRPr="00FA68ED" w:rsidP="00FA68ED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A68ED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292770" w:rsidRPr="00292770" w:rsidP="00891B6D">
      <w:pPr>
        <w:bidi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B63B10" w:rsidP="0033117D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3B10" w:rsidP="00B63B10">
      <w:pPr>
        <w:bidi w:val="0"/>
        <w:spacing w:after="0"/>
        <w:jc w:val="both"/>
        <w:rPr>
          <w:rFonts w:ascii="Times New Roman" w:hAnsi="Times New Roman"/>
        </w:rPr>
      </w:pPr>
      <w:r w:rsidRPr="0033117D">
        <w:rPr>
          <w:rFonts w:ascii="Times New Roman" w:hAnsi="Times New Roman"/>
          <w:b/>
          <w:i/>
          <w:lang w:eastAsia="sk-SK"/>
        </w:rPr>
        <w:t xml:space="preserve">Výdavky Úradu pre dohľad nad zdravotnou starostlivosťou </w:t>
      </w:r>
      <w:r w:rsidRPr="0033117D">
        <w:rPr>
          <w:rFonts w:ascii="Times New Roman" w:hAnsi="Times New Roman"/>
          <w:lang w:eastAsia="sk-SK"/>
        </w:rPr>
        <w:t xml:space="preserve">–  </w:t>
      </w:r>
      <w:r w:rsidRPr="0033117D">
        <w:rPr>
          <w:rFonts w:ascii="Times New Roman" w:hAnsi="Times New Roman"/>
        </w:rPr>
        <w:t>predpokladá sa rast kapitálových a prevádzkových výdavkov súvis</w:t>
      </w:r>
      <w:r w:rsidRPr="00797253">
        <w:rPr>
          <w:rFonts w:ascii="Times New Roman" w:hAnsi="Times New Roman"/>
        </w:rPr>
        <w:t>iaci so zavedením jedného prístupového bodu EESSI.  Celkový vplyv preds</w:t>
      </w:r>
      <w:r w:rsidRPr="00FA4FB8">
        <w:rPr>
          <w:rFonts w:ascii="Times New Roman" w:hAnsi="Times New Roman"/>
        </w:rPr>
        <w:t xml:space="preserve">tavuje nárast </w:t>
      </w:r>
      <w:r w:rsidRPr="0033117D" w:rsidR="0033117D">
        <w:rPr>
          <w:rFonts w:ascii="Times New Roman" w:hAnsi="Times New Roman"/>
        </w:rPr>
        <w:t>cca o 0,</w:t>
      </w:r>
      <w:r w:rsidR="00437C3E">
        <w:rPr>
          <w:rFonts w:ascii="Times New Roman" w:hAnsi="Times New Roman"/>
        </w:rPr>
        <w:t>9</w:t>
      </w:r>
      <w:r w:rsidRPr="0033117D">
        <w:rPr>
          <w:rFonts w:ascii="Times New Roman" w:hAnsi="Times New Roman"/>
        </w:rPr>
        <w:t xml:space="preserve"> mil. eur v roku 2018; cca o</w:t>
      </w:r>
      <w:r w:rsidRPr="0033117D" w:rsidR="0033117D">
        <w:rPr>
          <w:rFonts w:ascii="Times New Roman" w:hAnsi="Times New Roman"/>
        </w:rPr>
        <w:t> 0,</w:t>
      </w:r>
      <w:r w:rsidR="00437C3E">
        <w:rPr>
          <w:rFonts w:ascii="Times New Roman" w:hAnsi="Times New Roman"/>
        </w:rPr>
        <w:t>9</w:t>
      </w:r>
      <w:r w:rsidRPr="0033117D" w:rsidR="0033117D">
        <w:rPr>
          <w:rFonts w:ascii="Times New Roman" w:hAnsi="Times New Roman"/>
        </w:rPr>
        <w:t xml:space="preserve"> mil. eur v roku 2019 a cca o 0,</w:t>
      </w:r>
      <w:r w:rsidR="00437C3E">
        <w:rPr>
          <w:rFonts w:ascii="Times New Roman" w:hAnsi="Times New Roman"/>
        </w:rPr>
        <w:t>6</w:t>
      </w:r>
      <w:r w:rsidRPr="0033117D">
        <w:rPr>
          <w:rFonts w:ascii="Times New Roman" w:hAnsi="Times New Roman"/>
        </w:rPr>
        <w:t xml:space="preserve"> mil. eur v roku 2020.</w:t>
      </w:r>
      <w:r w:rsidRPr="004D0ACD">
        <w:rPr>
          <w:rFonts w:ascii="Times New Roman" w:hAnsi="Times New Roman"/>
        </w:rPr>
        <w:t xml:space="preserve"> </w:t>
      </w:r>
    </w:p>
    <w:p w:rsidR="00B63B10" w:rsidRPr="00866FE4" w:rsidP="00866FE4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D0ACD" w:rsidR="00866FE4">
        <w:rPr>
          <w:rFonts w:ascii="Times New Roman" w:hAnsi="Times New Roman"/>
          <w:sz w:val="20"/>
          <w:szCs w:val="20"/>
          <w:lang w:eastAsia="sk-SK"/>
        </w:rPr>
        <w:t>Tabuľka č. 4</w:t>
      </w:r>
      <w:r w:rsidR="00866FE4">
        <w:rPr>
          <w:rFonts w:ascii="Times New Roman" w:hAnsi="Times New Roman"/>
          <w:sz w:val="20"/>
          <w:szCs w:val="20"/>
        </w:rPr>
        <w:t>C</w:t>
      </w:r>
    </w:p>
    <w:tbl>
      <w:tblPr>
        <w:tblStyle w:val="TableNormal"/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980"/>
        <w:gridCol w:w="1000"/>
        <w:gridCol w:w="1040"/>
        <w:gridCol w:w="1040"/>
        <w:gridCol w:w="920"/>
      </w:tblGrid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25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Úradu pre dohľad nad zdravotnou starostlivosťou (v eurách)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Vplyv na rozpočet Úradu pre dohľad nad zdravotnou starostlivosťou                 (cash = ESA2010)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55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220 000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220 000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220 000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14CAE">
              <w:rPr>
                <w:rFonts w:ascii="Arial Narrow" w:hAnsi="Arial Narrow" w:cs="Arial"/>
                <w:lang w:eastAsia="sk-SK"/>
              </w:rPr>
              <w:t xml:space="preserve"> </w:t>
            </w: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840 000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840 000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Nákup strojov, prístrojov, zariadení, techniky a náradia (713)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840 000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750 000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Rekonštrukcia a modernizácia (718)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73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Úradu pre dohľad nad zdravotnou starostlivosťou 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925 000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930 000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14CA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8E15DA" w:rsidRPr="00C14CAE" w:rsidP="008E15DA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C14CAE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B63B10" w:rsidP="00FA4FB8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1E18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1E18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32C3C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1E18" w:rsidRPr="004D0ACD" w:rsidP="00866FE4">
      <w:pPr>
        <w:bidi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17F5" w:rsidP="006417F5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D0ACD" w:rsidR="007273C7">
        <w:rPr>
          <w:rFonts w:ascii="Times New Roman" w:hAnsi="Times New Roman"/>
          <w:sz w:val="20"/>
          <w:szCs w:val="20"/>
          <w:lang w:eastAsia="sk-SK"/>
        </w:rPr>
        <w:t>Tabuľka č. 4</w:t>
      </w:r>
      <w:r w:rsidR="00437C3E">
        <w:rPr>
          <w:rFonts w:ascii="Times New Roman" w:hAnsi="Times New Roman"/>
          <w:sz w:val="20"/>
          <w:szCs w:val="20"/>
        </w:rPr>
        <w:t>D</w:t>
      </w:r>
    </w:p>
    <w:tbl>
      <w:tblPr>
        <w:tblStyle w:val="TableNormal"/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980"/>
        <w:gridCol w:w="1000"/>
        <w:gridCol w:w="1040"/>
        <w:gridCol w:w="1040"/>
        <w:gridCol w:w="920"/>
      </w:tblGrid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70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rozpočet verejnej správy (v eurách)</w:t>
            </w:r>
          </w:p>
        </w:tc>
        <w:tc>
          <w:tcPr>
            <w:tcW w:w="40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Vplyv na rozpočet verejnej správy                                                                   (cash = ESA2010)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270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91 057 010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119 342 547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153 030 309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265 000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770 000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Rutinná a štandardná údržba (635)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265 000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480 000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770 000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90 792 010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118 862 547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152 260 309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90 792 010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118 862 547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152 260 309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F71DCB">
              <w:rPr>
                <w:rFonts w:ascii="Arial Narrow" w:hAnsi="Arial Narrow" w:cs="Arial"/>
                <w:lang w:eastAsia="sk-SK"/>
              </w:rPr>
              <w:t xml:space="preserve"> </w:t>
            </w: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2 749 000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2 640 000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2 749 000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2 640 000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Nákup strojov, prístrojov, zariadení, techniky a náradia (713)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2 749 000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2 640 000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400 000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>Rekonštrukcia a modernizácia (718)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52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916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93 806 010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121 982 547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71DC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lang w:eastAsia="sk-SK"/>
              </w:rPr>
              <w:t>153 430 309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extDirection w:val="lrTb"/>
            <w:vAlign w:val="center"/>
            <w:hideMark/>
          </w:tcPr>
          <w:p w:rsidR="00F71DCB" w:rsidRPr="00F71DCB" w:rsidP="00F71DCB">
            <w:pPr>
              <w:bidi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sk-SK"/>
              </w:rPr>
            </w:pPr>
            <w:r w:rsidRPr="00F71DCB">
              <w:rPr>
                <w:rFonts w:ascii="Arial Narrow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:rsidR="003942E4" w:rsidP="006417F5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97781" w:rsidRPr="004D0ACD" w:rsidP="006417F5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90DAD" w:rsidRPr="004D0ACD" w:rsidP="006417F5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90DAD" w:rsidRPr="004D0ACD" w:rsidP="006417F5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273C7" w:rsidRPr="004D0ACD" w:rsidP="001B4208">
      <w:pPr>
        <w:bidi w:val="0"/>
        <w:spacing w:line="240" w:lineRule="auto"/>
        <w:rPr>
          <w:rFonts w:ascii="Times New Roman" w:hAnsi="Times New Roman"/>
          <w:bCs/>
          <w:sz w:val="24"/>
          <w:szCs w:val="20"/>
          <w:lang w:eastAsia="sk-SK"/>
        </w:rPr>
        <w:sectPr w:rsidSect="003B5B9E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418" w:bottom="567" w:left="1418" w:header="709" w:footer="709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4D0ACD" w:rsidP="00F77641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4D0ACD" w:rsidP="00D8071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4D0ACD" w:rsidR="00D80712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470"/>
        <w:gridCol w:w="2016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215DD3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215DD3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215DD3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658F0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215DD3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658F0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  z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toho vplyv na ŠR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  z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toho vplyv na ŠR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Mzdy, platy, služobné príjmy a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ostatné osobné vyrovnania (610)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  z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toho vplyv na ŠR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Poistné a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príspevok do poisťovní (620)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  z</w:t>
            </w:r>
            <w:r w:rsidRPr="004E14D2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 </w:t>
            </w:r>
            <w:r w:rsidRPr="00DD79A1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toho vplyv na ŠR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79A1" w:rsidP="00CD2466">
            <w:pPr>
              <w:bidi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DD79A1" w:rsidR="005D0F6E">
              <w:rPr>
                <w:rFonts w:ascii="Arial Narrow" w:hAnsi="Arial Narrow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DD79A1" w:rsidP="00CD2466">
            <w:pPr>
              <w:bidi w:val="0"/>
              <w:spacing w:after="0" w:line="240" w:lineRule="auto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4E14D2">
              <w:rPr>
                <w:rFonts w:ascii="Arial Narrow" w:hAnsi="Arial Narrow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660017" w:rsidP="00CD246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660017" w:rsidP="00CD246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660017" w:rsidP="00CD246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660017" w:rsidP="00CD246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660017" w:rsidP="00CD246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CD246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D80712">
      <w:pPr>
        <w:bidi w:val="0"/>
        <w:spacing w:after="0" w:line="240" w:lineRule="auto"/>
      </w:pPr>
    </w:p>
    <w:sectPr w:rsidSect="00D80712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E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FA68E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E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4398C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:rsidR="00FA68ED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E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FA68E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ED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FA68ED" w:rsidRPr="00EB59C8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8ED" w:rsidRPr="000A15AE" w:rsidP="0051724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C37A35"/>
    <w:multiLevelType w:val="hybridMultilevel"/>
    <w:tmpl w:val="32544E1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312755E2"/>
    <w:multiLevelType w:val="hybridMultilevel"/>
    <w:tmpl w:val="64963BD2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C150D"/>
    <w:multiLevelType w:val="hybridMultilevel"/>
    <w:tmpl w:val="3EE07DE6"/>
    <w:lvl w:ilvl="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417EE"/>
    <w:multiLevelType w:val="hybridMultilevel"/>
    <w:tmpl w:val="2626FEC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14E5F"/>
    <w:multiLevelType w:val="hybridMultilevel"/>
    <w:tmpl w:val="7FC0769C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10380"/>
    <w:multiLevelType w:val="hybridMultilevel"/>
    <w:tmpl w:val="276CD660"/>
    <w:lvl w:ilvl="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8784C"/>
    <w:multiLevelType w:val="hybridMultilevel"/>
    <w:tmpl w:val="831E8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67CA1"/>
    <w:multiLevelType w:val="hybridMultilevel"/>
    <w:tmpl w:val="920E9EE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005EC"/>
    <w:rsid w:val="00000527"/>
    <w:rsid w:val="00007824"/>
    <w:rsid w:val="00014850"/>
    <w:rsid w:val="000206ED"/>
    <w:rsid w:val="00027B76"/>
    <w:rsid w:val="00031E18"/>
    <w:rsid w:val="00035EB6"/>
    <w:rsid w:val="00037573"/>
    <w:rsid w:val="0004147A"/>
    <w:rsid w:val="000416A5"/>
    <w:rsid w:val="00042CDF"/>
    <w:rsid w:val="00045303"/>
    <w:rsid w:val="000468CB"/>
    <w:rsid w:val="00054059"/>
    <w:rsid w:val="000552ED"/>
    <w:rsid w:val="00057135"/>
    <w:rsid w:val="000737C6"/>
    <w:rsid w:val="00074FD9"/>
    <w:rsid w:val="00084682"/>
    <w:rsid w:val="0009006D"/>
    <w:rsid w:val="000927D0"/>
    <w:rsid w:val="00092D89"/>
    <w:rsid w:val="0009495D"/>
    <w:rsid w:val="000977E2"/>
    <w:rsid w:val="00097E01"/>
    <w:rsid w:val="000A15AE"/>
    <w:rsid w:val="000A19FF"/>
    <w:rsid w:val="000A574A"/>
    <w:rsid w:val="000A764D"/>
    <w:rsid w:val="000B2853"/>
    <w:rsid w:val="000B2DD8"/>
    <w:rsid w:val="000B3BAE"/>
    <w:rsid w:val="000C6887"/>
    <w:rsid w:val="000D07CE"/>
    <w:rsid w:val="000E29DE"/>
    <w:rsid w:val="000E5AD1"/>
    <w:rsid w:val="000E6B4D"/>
    <w:rsid w:val="000F1438"/>
    <w:rsid w:val="000F341B"/>
    <w:rsid w:val="000F37FC"/>
    <w:rsid w:val="00102592"/>
    <w:rsid w:val="00111923"/>
    <w:rsid w:val="00112088"/>
    <w:rsid w:val="001127A8"/>
    <w:rsid w:val="00116559"/>
    <w:rsid w:val="00117CB8"/>
    <w:rsid w:val="0013517B"/>
    <w:rsid w:val="0014108D"/>
    <w:rsid w:val="00147982"/>
    <w:rsid w:val="00151256"/>
    <w:rsid w:val="00153F73"/>
    <w:rsid w:val="001576F5"/>
    <w:rsid w:val="0016067B"/>
    <w:rsid w:val="00163D97"/>
    <w:rsid w:val="00165D3F"/>
    <w:rsid w:val="00165D89"/>
    <w:rsid w:val="00170D2B"/>
    <w:rsid w:val="00170EC7"/>
    <w:rsid w:val="001724F7"/>
    <w:rsid w:val="00176F52"/>
    <w:rsid w:val="001774D8"/>
    <w:rsid w:val="00180079"/>
    <w:rsid w:val="00184F37"/>
    <w:rsid w:val="00192E67"/>
    <w:rsid w:val="001B4208"/>
    <w:rsid w:val="001C7640"/>
    <w:rsid w:val="001D1AE3"/>
    <w:rsid w:val="001D2A16"/>
    <w:rsid w:val="001D4B49"/>
    <w:rsid w:val="001D6E49"/>
    <w:rsid w:val="001E1809"/>
    <w:rsid w:val="001E27E4"/>
    <w:rsid w:val="001E6300"/>
    <w:rsid w:val="001E757C"/>
    <w:rsid w:val="001F3071"/>
    <w:rsid w:val="00200898"/>
    <w:rsid w:val="002119A8"/>
    <w:rsid w:val="00212894"/>
    <w:rsid w:val="002134EE"/>
    <w:rsid w:val="00214AD1"/>
    <w:rsid w:val="0021508E"/>
    <w:rsid w:val="00215DD3"/>
    <w:rsid w:val="00232363"/>
    <w:rsid w:val="0024067A"/>
    <w:rsid w:val="002439B0"/>
    <w:rsid w:val="002531B7"/>
    <w:rsid w:val="0026250A"/>
    <w:rsid w:val="0026659F"/>
    <w:rsid w:val="002674E3"/>
    <w:rsid w:val="00270D61"/>
    <w:rsid w:val="00275BA3"/>
    <w:rsid w:val="00280A57"/>
    <w:rsid w:val="002829F8"/>
    <w:rsid w:val="00282A79"/>
    <w:rsid w:val="00282DD4"/>
    <w:rsid w:val="00292770"/>
    <w:rsid w:val="002942EB"/>
    <w:rsid w:val="002951C1"/>
    <w:rsid w:val="002970DB"/>
    <w:rsid w:val="002A48E2"/>
    <w:rsid w:val="002B1923"/>
    <w:rsid w:val="002B1C46"/>
    <w:rsid w:val="002C6587"/>
    <w:rsid w:val="002D2B7C"/>
    <w:rsid w:val="002D3478"/>
    <w:rsid w:val="002E0228"/>
    <w:rsid w:val="002E4461"/>
    <w:rsid w:val="002F1733"/>
    <w:rsid w:val="002F34D7"/>
    <w:rsid w:val="002F478A"/>
    <w:rsid w:val="00300910"/>
    <w:rsid w:val="00303796"/>
    <w:rsid w:val="0030479A"/>
    <w:rsid w:val="003162D5"/>
    <w:rsid w:val="00317B90"/>
    <w:rsid w:val="003233CC"/>
    <w:rsid w:val="00323AB4"/>
    <w:rsid w:val="0033117D"/>
    <w:rsid w:val="0033270F"/>
    <w:rsid w:val="00335BF5"/>
    <w:rsid w:val="0034398C"/>
    <w:rsid w:val="00352312"/>
    <w:rsid w:val="00356761"/>
    <w:rsid w:val="0036280B"/>
    <w:rsid w:val="00363492"/>
    <w:rsid w:val="00370A9B"/>
    <w:rsid w:val="00377CC0"/>
    <w:rsid w:val="003866C0"/>
    <w:rsid w:val="00390633"/>
    <w:rsid w:val="00391C46"/>
    <w:rsid w:val="00393772"/>
    <w:rsid w:val="003942E4"/>
    <w:rsid w:val="00394973"/>
    <w:rsid w:val="003A2583"/>
    <w:rsid w:val="003A44C6"/>
    <w:rsid w:val="003A653E"/>
    <w:rsid w:val="003B32F6"/>
    <w:rsid w:val="003B4E2C"/>
    <w:rsid w:val="003B5B9E"/>
    <w:rsid w:val="003C0E5A"/>
    <w:rsid w:val="003C4968"/>
    <w:rsid w:val="003D394F"/>
    <w:rsid w:val="003D4EC1"/>
    <w:rsid w:val="003D67FB"/>
    <w:rsid w:val="004015CE"/>
    <w:rsid w:val="00402E1D"/>
    <w:rsid w:val="004034F6"/>
    <w:rsid w:val="0041579E"/>
    <w:rsid w:val="004224E4"/>
    <w:rsid w:val="0042351E"/>
    <w:rsid w:val="00424A58"/>
    <w:rsid w:val="00432070"/>
    <w:rsid w:val="00436870"/>
    <w:rsid w:val="00437C3E"/>
    <w:rsid w:val="004445AD"/>
    <w:rsid w:val="00463C0D"/>
    <w:rsid w:val="00467518"/>
    <w:rsid w:val="0047027A"/>
    <w:rsid w:val="00482BB2"/>
    <w:rsid w:val="00486EC0"/>
    <w:rsid w:val="00487203"/>
    <w:rsid w:val="00491F36"/>
    <w:rsid w:val="00496A9D"/>
    <w:rsid w:val="004A077B"/>
    <w:rsid w:val="004A7B08"/>
    <w:rsid w:val="004B189C"/>
    <w:rsid w:val="004D0ACD"/>
    <w:rsid w:val="004D2ED6"/>
    <w:rsid w:val="004D5843"/>
    <w:rsid w:val="004D7493"/>
    <w:rsid w:val="004E147C"/>
    <w:rsid w:val="004E14D2"/>
    <w:rsid w:val="004F0D89"/>
    <w:rsid w:val="005005EC"/>
    <w:rsid w:val="00500886"/>
    <w:rsid w:val="00501F39"/>
    <w:rsid w:val="00502ABF"/>
    <w:rsid w:val="00507678"/>
    <w:rsid w:val="005145FE"/>
    <w:rsid w:val="005157C2"/>
    <w:rsid w:val="00515A7C"/>
    <w:rsid w:val="0051724E"/>
    <w:rsid w:val="005256E6"/>
    <w:rsid w:val="00531D14"/>
    <w:rsid w:val="00532C3C"/>
    <w:rsid w:val="00564755"/>
    <w:rsid w:val="005658F0"/>
    <w:rsid w:val="0056627F"/>
    <w:rsid w:val="00567A1C"/>
    <w:rsid w:val="00573ADA"/>
    <w:rsid w:val="00580BAC"/>
    <w:rsid w:val="00591933"/>
    <w:rsid w:val="0059365F"/>
    <w:rsid w:val="0059386A"/>
    <w:rsid w:val="005940E4"/>
    <w:rsid w:val="00597118"/>
    <w:rsid w:val="00597781"/>
    <w:rsid w:val="005A3BF3"/>
    <w:rsid w:val="005B102D"/>
    <w:rsid w:val="005B236E"/>
    <w:rsid w:val="005B58FA"/>
    <w:rsid w:val="005C1701"/>
    <w:rsid w:val="005C4C62"/>
    <w:rsid w:val="005C58B5"/>
    <w:rsid w:val="005C617E"/>
    <w:rsid w:val="005C789C"/>
    <w:rsid w:val="005D0F6E"/>
    <w:rsid w:val="005D5515"/>
    <w:rsid w:val="005D6DF6"/>
    <w:rsid w:val="005E0539"/>
    <w:rsid w:val="005E6F62"/>
    <w:rsid w:val="005F5966"/>
    <w:rsid w:val="00602798"/>
    <w:rsid w:val="006139A0"/>
    <w:rsid w:val="006144D0"/>
    <w:rsid w:val="00623DD5"/>
    <w:rsid w:val="00630C6D"/>
    <w:rsid w:val="00631D94"/>
    <w:rsid w:val="00636D4A"/>
    <w:rsid w:val="006412C5"/>
    <w:rsid w:val="006417F5"/>
    <w:rsid w:val="00647F0E"/>
    <w:rsid w:val="00651213"/>
    <w:rsid w:val="00660017"/>
    <w:rsid w:val="006632A3"/>
    <w:rsid w:val="00665748"/>
    <w:rsid w:val="00666C20"/>
    <w:rsid w:val="00672D3E"/>
    <w:rsid w:val="0068101F"/>
    <w:rsid w:val="00691E9B"/>
    <w:rsid w:val="00694B50"/>
    <w:rsid w:val="00695C65"/>
    <w:rsid w:val="006976FB"/>
    <w:rsid w:val="006A0F3A"/>
    <w:rsid w:val="006B6A10"/>
    <w:rsid w:val="006C50CB"/>
    <w:rsid w:val="006C6B91"/>
    <w:rsid w:val="006D000F"/>
    <w:rsid w:val="006D3AB5"/>
    <w:rsid w:val="006E12F5"/>
    <w:rsid w:val="00715296"/>
    <w:rsid w:val="00720B31"/>
    <w:rsid w:val="007246BD"/>
    <w:rsid w:val="007267B7"/>
    <w:rsid w:val="007273C7"/>
    <w:rsid w:val="00731CB8"/>
    <w:rsid w:val="00732733"/>
    <w:rsid w:val="0074163D"/>
    <w:rsid w:val="007459C2"/>
    <w:rsid w:val="00753787"/>
    <w:rsid w:val="00761D02"/>
    <w:rsid w:val="00782FA7"/>
    <w:rsid w:val="00786BBF"/>
    <w:rsid w:val="00790DAD"/>
    <w:rsid w:val="00791432"/>
    <w:rsid w:val="00791D0D"/>
    <w:rsid w:val="00793D12"/>
    <w:rsid w:val="007943DC"/>
    <w:rsid w:val="00797253"/>
    <w:rsid w:val="007A0C39"/>
    <w:rsid w:val="007B5FB7"/>
    <w:rsid w:val="007C2E7F"/>
    <w:rsid w:val="007C537C"/>
    <w:rsid w:val="007D5748"/>
    <w:rsid w:val="007D61B5"/>
    <w:rsid w:val="007E33A6"/>
    <w:rsid w:val="007F15F4"/>
    <w:rsid w:val="007F1C56"/>
    <w:rsid w:val="007F511F"/>
    <w:rsid w:val="007F72FB"/>
    <w:rsid w:val="008046D8"/>
    <w:rsid w:val="008050F8"/>
    <w:rsid w:val="00805DE1"/>
    <w:rsid w:val="008132A4"/>
    <w:rsid w:val="008144ED"/>
    <w:rsid w:val="008159DF"/>
    <w:rsid w:val="00830E12"/>
    <w:rsid w:val="008418DA"/>
    <w:rsid w:val="00843E52"/>
    <w:rsid w:val="00846EFD"/>
    <w:rsid w:val="0085097D"/>
    <w:rsid w:val="008514FB"/>
    <w:rsid w:val="00853413"/>
    <w:rsid w:val="00857D73"/>
    <w:rsid w:val="00861800"/>
    <w:rsid w:val="00864BAA"/>
    <w:rsid w:val="00866554"/>
    <w:rsid w:val="00866FE4"/>
    <w:rsid w:val="008672BE"/>
    <w:rsid w:val="00870931"/>
    <w:rsid w:val="00872995"/>
    <w:rsid w:val="0089092F"/>
    <w:rsid w:val="00890F15"/>
    <w:rsid w:val="00891B6D"/>
    <w:rsid w:val="00893B84"/>
    <w:rsid w:val="008945CB"/>
    <w:rsid w:val="00897C4C"/>
    <w:rsid w:val="008A088D"/>
    <w:rsid w:val="008A7763"/>
    <w:rsid w:val="008B0449"/>
    <w:rsid w:val="008B2AD4"/>
    <w:rsid w:val="008B541B"/>
    <w:rsid w:val="008B5B87"/>
    <w:rsid w:val="008B6A9F"/>
    <w:rsid w:val="008C6B12"/>
    <w:rsid w:val="008D2801"/>
    <w:rsid w:val="008D339D"/>
    <w:rsid w:val="008D660F"/>
    <w:rsid w:val="008D6EA1"/>
    <w:rsid w:val="008E15DA"/>
    <w:rsid w:val="008E2736"/>
    <w:rsid w:val="008E5C3D"/>
    <w:rsid w:val="008E7C7C"/>
    <w:rsid w:val="008F49A8"/>
    <w:rsid w:val="009012CD"/>
    <w:rsid w:val="00902080"/>
    <w:rsid w:val="009070F0"/>
    <w:rsid w:val="00915E7E"/>
    <w:rsid w:val="00923BB5"/>
    <w:rsid w:val="009253F0"/>
    <w:rsid w:val="00926679"/>
    <w:rsid w:val="00956D20"/>
    <w:rsid w:val="00967FAC"/>
    <w:rsid w:val="009706A2"/>
    <w:rsid w:val="009706B7"/>
    <w:rsid w:val="00970775"/>
    <w:rsid w:val="0098095C"/>
    <w:rsid w:val="00981B3A"/>
    <w:rsid w:val="00987F10"/>
    <w:rsid w:val="009A5258"/>
    <w:rsid w:val="009A5A3C"/>
    <w:rsid w:val="009A78DA"/>
    <w:rsid w:val="009B23F9"/>
    <w:rsid w:val="009B3D08"/>
    <w:rsid w:val="009B3F00"/>
    <w:rsid w:val="009B5C19"/>
    <w:rsid w:val="009C458D"/>
    <w:rsid w:val="009C4678"/>
    <w:rsid w:val="009C4F9A"/>
    <w:rsid w:val="009D34C3"/>
    <w:rsid w:val="009E089E"/>
    <w:rsid w:val="009E1E31"/>
    <w:rsid w:val="009E2092"/>
    <w:rsid w:val="009E4F02"/>
    <w:rsid w:val="009E7615"/>
    <w:rsid w:val="009F5E85"/>
    <w:rsid w:val="00A04DD5"/>
    <w:rsid w:val="00A1056A"/>
    <w:rsid w:val="00A26A3F"/>
    <w:rsid w:val="00A26D50"/>
    <w:rsid w:val="00A37599"/>
    <w:rsid w:val="00A40433"/>
    <w:rsid w:val="00A50EDC"/>
    <w:rsid w:val="00A51B73"/>
    <w:rsid w:val="00A55131"/>
    <w:rsid w:val="00A61B91"/>
    <w:rsid w:val="00A7161B"/>
    <w:rsid w:val="00A71762"/>
    <w:rsid w:val="00A801AD"/>
    <w:rsid w:val="00A8123C"/>
    <w:rsid w:val="00A90FAC"/>
    <w:rsid w:val="00A94938"/>
    <w:rsid w:val="00A949EA"/>
    <w:rsid w:val="00A97366"/>
    <w:rsid w:val="00AA1009"/>
    <w:rsid w:val="00AB3C25"/>
    <w:rsid w:val="00AB656A"/>
    <w:rsid w:val="00AC2FC5"/>
    <w:rsid w:val="00AD6A93"/>
    <w:rsid w:val="00AD7A6C"/>
    <w:rsid w:val="00AE0791"/>
    <w:rsid w:val="00AE15E2"/>
    <w:rsid w:val="00AE1609"/>
    <w:rsid w:val="00B00162"/>
    <w:rsid w:val="00B01F02"/>
    <w:rsid w:val="00B02CB5"/>
    <w:rsid w:val="00B03EF7"/>
    <w:rsid w:val="00B058A4"/>
    <w:rsid w:val="00B109F2"/>
    <w:rsid w:val="00B20067"/>
    <w:rsid w:val="00B2048C"/>
    <w:rsid w:val="00B260BE"/>
    <w:rsid w:val="00B37D06"/>
    <w:rsid w:val="00B41D28"/>
    <w:rsid w:val="00B42274"/>
    <w:rsid w:val="00B43725"/>
    <w:rsid w:val="00B44897"/>
    <w:rsid w:val="00B52D80"/>
    <w:rsid w:val="00B5535C"/>
    <w:rsid w:val="00B56ACD"/>
    <w:rsid w:val="00B604D3"/>
    <w:rsid w:val="00B639D7"/>
    <w:rsid w:val="00B63B10"/>
    <w:rsid w:val="00B65274"/>
    <w:rsid w:val="00B67325"/>
    <w:rsid w:val="00B74471"/>
    <w:rsid w:val="00B8447B"/>
    <w:rsid w:val="00B87F25"/>
    <w:rsid w:val="00B92B88"/>
    <w:rsid w:val="00BA0784"/>
    <w:rsid w:val="00BA22D7"/>
    <w:rsid w:val="00BA3E7B"/>
    <w:rsid w:val="00BA5575"/>
    <w:rsid w:val="00BA7754"/>
    <w:rsid w:val="00BB2B49"/>
    <w:rsid w:val="00BB455C"/>
    <w:rsid w:val="00BC79E7"/>
    <w:rsid w:val="00BD097A"/>
    <w:rsid w:val="00BD385C"/>
    <w:rsid w:val="00BE1F89"/>
    <w:rsid w:val="00BF441E"/>
    <w:rsid w:val="00C010A2"/>
    <w:rsid w:val="00C016A5"/>
    <w:rsid w:val="00C06CA5"/>
    <w:rsid w:val="00C14CAE"/>
    <w:rsid w:val="00C14DCC"/>
    <w:rsid w:val="00C15212"/>
    <w:rsid w:val="00C23460"/>
    <w:rsid w:val="00C2384C"/>
    <w:rsid w:val="00C26F60"/>
    <w:rsid w:val="00C331FA"/>
    <w:rsid w:val="00C42A15"/>
    <w:rsid w:val="00C45868"/>
    <w:rsid w:val="00C51A40"/>
    <w:rsid w:val="00C51FD4"/>
    <w:rsid w:val="00C529EF"/>
    <w:rsid w:val="00C5650A"/>
    <w:rsid w:val="00C61844"/>
    <w:rsid w:val="00C6201D"/>
    <w:rsid w:val="00C65C1F"/>
    <w:rsid w:val="00C66E8A"/>
    <w:rsid w:val="00C834B4"/>
    <w:rsid w:val="00C85A2C"/>
    <w:rsid w:val="00C9399B"/>
    <w:rsid w:val="00CA0E25"/>
    <w:rsid w:val="00CA1DC8"/>
    <w:rsid w:val="00CA20AC"/>
    <w:rsid w:val="00CB0781"/>
    <w:rsid w:val="00CB1C78"/>
    <w:rsid w:val="00CB3623"/>
    <w:rsid w:val="00CC2B42"/>
    <w:rsid w:val="00CC30F8"/>
    <w:rsid w:val="00CC772B"/>
    <w:rsid w:val="00CC7A4B"/>
    <w:rsid w:val="00CD2466"/>
    <w:rsid w:val="00CD4629"/>
    <w:rsid w:val="00CD5602"/>
    <w:rsid w:val="00CD64F2"/>
    <w:rsid w:val="00CE156C"/>
    <w:rsid w:val="00CE299A"/>
    <w:rsid w:val="00CF1CE5"/>
    <w:rsid w:val="00CF4703"/>
    <w:rsid w:val="00D016C1"/>
    <w:rsid w:val="00D05783"/>
    <w:rsid w:val="00D12056"/>
    <w:rsid w:val="00D1539A"/>
    <w:rsid w:val="00D215D1"/>
    <w:rsid w:val="00D21AA1"/>
    <w:rsid w:val="00D25C88"/>
    <w:rsid w:val="00D2773E"/>
    <w:rsid w:val="00D3283A"/>
    <w:rsid w:val="00D43F66"/>
    <w:rsid w:val="00D440A5"/>
    <w:rsid w:val="00D46D23"/>
    <w:rsid w:val="00D565B9"/>
    <w:rsid w:val="00D56EB2"/>
    <w:rsid w:val="00D57F7E"/>
    <w:rsid w:val="00D61AAD"/>
    <w:rsid w:val="00D76073"/>
    <w:rsid w:val="00D76D8F"/>
    <w:rsid w:val="00D80712"/>
    <w:rsid w:val="00D92598"/>
    <w:rsid w:val="00DB1C7D"/>
    <w:rsid w:val="00DB4E90"/>
    <w:rsid w:val="00DB6CCB"/>
    <w:rsid w:val="00DB6F7E"/>
    <w:rsid w:val="00DC3D83"/>
    <w:rsid w:val="00DC4170"/>
    <w:rsid w:val="00DC5470"/>
    <w:rsid w:val="00DC675E"/>
    <w:rsid w:val="00DD2805"/>
    <w:rsid w:val="00DD79A1"/>
    <w:rsid w:val="00DE392D"/>
    <w:rsid w:val="00DE5BF1"/>
    <w:rsid w:val="00DF1D5B"/>
    <w:rsid w:val="00E03938"/>
    <w:rsid w:val="00E03BE7"/>
    <w:rsid w:val="00E05595"/>
    <w:rsid w:val="00E07CE9"/>
    <w:rsid w:val="00E14014"/>
    <w:rsid w:val="00E16871"/>
    <w:rsid w:val="00E26305"/>
    <w:rsid w:val="00E340DD"/>
    <w:rsid w:val="00E410A7"/>
    <w:rsid w:val="00E41370"/>
    <w:rsid w:val="00E41670"/>
    <w:rsid w:val="00E45F02"/>
    <w:rsid w:val="00E53873"/>
    <w:rsid w:val="00E54194"/>
    <w:rsid w:val="00E57EEA"/>
    <w:rsid w:val="00E63BF2"/>
    <w:rsid w:val="00E65750"/>
    <w:rsid w:val="00E724CF"/>
    <w:rsid w:val="00E73EB1"/>
    <w:rsid w:val="00E81B3A"/>
    <w:rsid w:val="00E9239A"/>
    <w:rsid w:val="00E929E1"/>
    <w:rsid w:val="00E9528C"/>
    <w:rsid w:val="00E963A3"/>
    <w:rsid w:val="00EA1E90"/>
    <w:rsid w:val="00EA2EE3"/>
    <w:rsid w:val="00EA4ABA"/>
    <w:rsid w:val="00EB59C8"/>
    <w:rsid w:val="00EC591E"/>
    <w:rsid w:val="00ED0E39"/>
    <w:rsid w:val="00EE04E8"/>
    <w:rsid w:val="00EE1A67"/>
    <w:rsid w:val="00EF4D62"/>
    <w:rsid w:val="00EF4D78"/>
    <w:rsid w:val="00F02D9F"/>
    <w:rsid w:val="00F07630"/>
    <w:rsid w:val="00F13D7D"/>
    <w:rsid w:val="00F23342"/>
    <w:rsid w:val="00F253D0"/>
    <w:rsid w:val="00F337DF"/>
    <w:rsid w:val="00F35DD6"/>
    <w:rsid w:val="00F40136"/>
    <w:rsid w:val="00F5330B"/>
    <w:rsid w:val="00F6488A"/>
    <w:rsid w:val="00F71DCB"/>
    <w:rsid w:val="00F757ED"/>
    <w:rsid w:val="00F77641"/>
    <w:rsid w:val="00F83159"/>
    <w:rsid w:val="00F838ED"/>
    <w:rsid w:val="00FA4FB8"/>
    <w:rsid w:val="00FA68ED"/>
    <w:rsid w:val="00FA6E17"/>
    <w:rsid w:val="00FA7BF2"/>
    <w:rsid w:val="00FB0211"/>
    <w:rsid w:val="00FB2E28"/>
    <w:rsid w:val="00FC2E87"/>
    <w:rsid w:val="00FC5EC4"/>
    <w:rsid w:val="00FD4BAF"/>
    <w:rsid w:val="00FD7059"/>
    <w:rsid w:val="00FE0BE9"/>
    <w:rsid w:val="00FE3959"/>
    <w:rsid w:val="00FF12B1"/>
    <w:rsid w:val="00FF4C38"/>
    <w:rsid w:val="00FF5422"/>
    <w:rsid w:val="00FF73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866554"/>
    <w:pPr>
      <w:ind w:left="720"/>
      <w:contextualSpacing/>
      <w:jc w:val="left"/>
    </w:pPr>
    <w:rPr>
      <w:rFonts w:ascii="Calibri" w:hAnsi="Calibri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C7640"/>
    <w:pPr>
      <w:spacing w:after="0" w:line="240" w:lineRule="auto"/>
      <w:jc w:val="left"/>
    </w:pPr>
    <w:rPr>
      <w:rFonts w:ascii="Calibri" w:hAnsi="Calibri"/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C7640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unhideWhenUsed/>
    <w:rsid w:val="001C7640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1C7640"/>
    <w:rPr>
      <w:rFonts w:cs="Times New Roman"/>
      <w:color w:val="0000FF" w:themeColor="hlink" w:themeShade="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063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063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063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063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0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58C3B-F809-40E8-BCC1-8E158B5B7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10</Pages>
  <Words>3140</Words>
  <Characters>17898</Characters>
  <Application>Microsoft Office Word</Application>
  <DocSecurity>0</DocSecurity>
  <Lines>0</Lines>
  <Paragraphs>0</Paragraphs>
  <ScaleCrop>false</ScaleCrop>
  <Company>MH SR</Company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Hatala Martin</cp:lastModifiedBy>
  <cp:revision>5</cp:revision>
  <cp:lastPrinted>2016-12-15T14:46:00Z</cp:lastPrinted>
  <dcterms:created xsi:type="dcterms:W3CDTF">2017-08-09T10:23:00Z</dcterms:created>
  <dcterms:modified xsi:type="dcterms:W3CDTF">2017-08-17T08:08:00Z</dcterms:modified>
</cp:coreProperties>
</file>