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540"/>
        <w:gridCol w:w="1080"/>
        <w:gridCol w:w="5866"/>
        <w:gridCol w:w="567"/>
        <w:gridCol w:w="851"/>
        <w:gridCol w:w="567"/>
        <w:gridCol w:w="5670"/>
        <w:gridCol w:w="425"/>
        <w:gridCol w:w="634"/>
      </w:tblGrid>
      <w:tr>
        <w:tblPrEx>
          <w:tblW w:w="1620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1620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4929E0" w:rsidP="0078287E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929E0">
              <w:rPr>
                <w:rFonts w:ascii="Times New Roman" w:hAnsi="Times New Roman"/>
                <w:sz w:val="22"/>
                <w:szCs w:val="22"/>
              </w:rPr>
              <w:t>TABUĽKA  ZHODY</w:t>
            </w:r>
          </w:p>
          <w:p w:rsidR="008C54C3" w:rsidRPr="004929E0" w:rsidP="00861E2E">
            <w:pPr>
              <w:tabs>
                <w:tab w:val="left" w:pos="0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929E0" w:rsidR="004577EC">
              <w:rPr>
                <w:rFonts w:ascii="Times New Roman" w:hAnsi="Times New Roman"/>
                <w:b/>
                <w:sz w:val="22"/>
                <w:szCs w:val="22"/>
              </w:rPr>
              <w:t>k </w:t>
            </w:r>
            <w:r w:rsidRPr="004929E0" w:rsidR="0078287E">
              <w:rPr>
                <w:rFonts w:ascii="Times New Roman" w:hAnsi="Times New Roman"/>
                <w:b/>
                <w:sz w:val="22"/>
                <w:szCs w:val="22"/>
              </w:rPr>
              <w:t>n</w:t>
            </w:r>
            <w:r w:rsidRPr="004929E0" w:rsidR="0091636B">
              <w:rPr>
                <w:rFonts w:ascii="Times New Roman" w:hAnsi="Times New Roman"/>
                <w:b/>
                <w:sz w:val="22"/>
                <w:szCs w:val="22"/>
              </w:rPr>
              <w:t>ávrh</w:t>
            </w:r>
            <w:r w:rsidRPr="004929E0" w:rsidR="00AB7D27">
              <w:rPr>
                <w:rFonts w:ascii="Times New Roman" w:hAnsi="Times New Roman"/>
                <w:b/>
                <w:sz w:val="22"/>
                <w:szCs w:val="22"/>
              </w:rPr>
              <w:t>u</w:t>
            </w:r>
            <w:r w:rsidRPr="004929E0" w:rsidR="0091636B">
              <w:rPr>
                <w:rFonts w:ascii="Times New Roman" w:hAnsi="Times New Roman"/>
                <w:b/>
                <w:sz w:val="22"/>
                <w:szCs w:val="22"/>
              </w:rPr>
              <w:t xml:space="preserve"> zákona</w:t>
            </w:r>
            <w:r w:rsidRPr="004929E0" w:rsidR="002E1D16"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  <w:r w:rsidRPr="004929E0" w:rsidR="00D205AC">
              <w:rPr>
                <w:rFonts w:ascii="Times New Roman" w:hAnsi="Times New Roman"/>
                <w:b/>
                <w:bCs/>
                <w:sz w:val="22"/>
                <w:szCs w:val="22"/>
              </w:rPr>
              <w:t>ktorým sa mení a dopĺňa zákon č. 483/2001 Z. z. o bankách a o zmene a doplnení niektorých</w:t>
            </w:r>
            <w:r w:rsidRPr="004929E0" w:rsidR="00D205A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4929E0" w:rsidR="00D205A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zákonov v znení neskorších predpisov a ktorým sa menia a dopĺňajú niektoré zákony </w:t>
            </w:r>
            <w:r w:rsidRPr="004929E0" w:rsidR="00127033">
              <w:rPr>
                <w:rFonts w:ascii="Times New Roman" w:hAnsi="Times New Roman"/>
                <w:b/>
                <w:sz w:val="22"/>
                <w:szCs w:val="22"/>
              </w:rPr>
              <w:t>s právom Európskej únie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8C54C3" w:rsidRPr="004929E0">
            <w:pPr>
              <w:pStyle w:val="Heading4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29E0">
              <w:rPr>
                <w:rFonts w:ascii="Times New Roman" w:hAnsi="Times New Roman"/>
              </w:rPr>
              <w:t>Názov smernice:</w:t>
            </w:r>
          </w:p>
        </w:tc>
        <w:tc>
          <w:tcPr>
            <w:tcW w:w="145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4929E0" w:rsidP="00217BF4">
            <w:pPr>
              <w:pStyle w:val="Default"/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29E0" w:rsidR="00D205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SMERNICA </w:t>
            </w:r>
            <w:r w:rsidRPr="004929E0" w:rsidR="00D205AC">
              <w:rPr>
                <w:rStyle w:val="Strong"/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Európskeho parlamentu a Rady </w:t>
            </w:r>
            <w:r w:rsidRPr="004929E0" w:rsidR="00D205AC">
              <w:rPr>
                <w:rStyle w:val="Strong"/>
                <w:rFonts w:ascii="Times New Roman" w:hAnsi="Times New Roman"/>
                <w:bCs/>
                <w:color w:val="auto"/>
                <w:sz w:val="22"/>
                <w:szCs w:val="22"/>
                <w:u w:val="single"/>
              </w:rPr>
              <w:t>2013/36/EÚ</w:t>
            </w:r>
            <w:r w:rsidRPr="004929E0" w:rsidR="00D205AC">
              <w:rPr>
                <w:rStyle w:val="Strong"/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z  26. júna 2013 o prístupe k činnosti úverových inštitúcií a prudenciálnom dohľade nad úverovými inštitúciami a investičnými spoločnosťami, o zmene smernice 2002/87/ES a o zrušení smerníc 2006/48/ES a 2006/49/ES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805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4929E0">
            <w:pPr>
              <w:pStyle w:val="Heading4"/>
              <w:bidi w:val="0"/>
              <w:spacing w:before="120" w:after="0" w:line="240" w:lineRule="auto"/>
              <w:rPr>
                <w:rFonts w:ascii="Times New Roman" w:hAnsi="Times New Roman"/>
              </w:rPr>
            </w:pPr>
            <w:r w:rsidRPr="004929E0" w:rsidR="00DE0F85">
              <w:rPr>
                <w:rFonts w:ascii="Times New Roman" w:hAnsi="Times New Roman"/>
              </w:rPr>
              <w:t>Smernica EÚ</w:t>
            </w:r>
          </w:p>
          <w:p w:rsidR="00EE7DD6" w:rsidRPr="004929E0" w:rsidP="00D83E5B">
            <w:pPr>
              <w:pStyle w:val="BodyText3"/>
              <w:bidi w:val="0"/>
              <w:spacing w:after="0"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4929E0" w:rsidR="009C5E2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SMERNICA </w:t>
            </w:r>
            <w:r w:rsidRPr="004929E0" w:rsidR="00D83E5B">
              <w:rPr>
                <w:rStyle w:val="Strong"/>
                <w:rFonts w:ascii="Times New Roman" w:hAnsi="Times New Roman"/>
                <w:bCs/>
                <w:sz w:val="22"/>
                <w:szCs w:val="22"/>
              </w:rPr>
              <w:t xml:space="preserve">Európskeho parlamentu a Rady </w:t>
            </w:r>
            <w:r w:rsidRPr="004929E0" w:rsidR="00D83E5B">
              <w:rPr>
                <w:rStyle w:val="Strong"/>
                <w:rFonts w:ascii="Times New Roman" w:hAnsi="Times New Roman"/>
                <w:bCs/>
                <w:sz w:val="22"/>
                <w:szCs w:val="22"/>
                <w:u w:val="single"/>
              </w:rPr>
              <w:t>2013/36/EÚ</w:t>
            </w:r>
            <w:r w:rsidRPr="004929E0" w:rsidR="00D83E5B">
              <w:rPr>
                <w:rStyle w:val="Strong"/>
                <w:rFonts w:ascii="Times New Roman" w:hAnsi="Times New Roman"/>
                <w:bCs/>
                <w:sz w:val="22"/>
                <w:szCs w:val="22"/>
              </w:rPr>
              <w:t xml:space="preserve"> z  26. júna 2013 o prístupe k činnosti úverových inštitúcií a prudenciálnom dohľade nad úverovými inštitúciami a investičnými spoločnosťami, o zmene smernice 2002/87/ES a o zrušení smerníc 2006/48/ES a 2006/49/ES</w:t>
            </w:r>
          </w:p>
        </w:tc>
        <w:tc>
          <w:tcPr>
            <w:tcW w:w="81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4929E0">
            <w:pPr>
              <w:pStyle w:val="Heading4"/>
              <w:bidi w:val="0"/>
              <w:spacing w:before="120" w:after="0" w:line="240" w:lineRule="auto"/>
              <w:rPr>
                <w:rFonts w:ascii="Times New Roman" w:hAnsi="Times New Roman"/>
              </w:rPr>
            </w:pPr>
            <w:r w:rsidRPr="004929E0">
              <w:rPr>
                <w:rFonts w:ascii="Times New Roman" w:hAnsi="Times New Roman"/>
              </w:rPr>
              <w:t>Všeobecne záväzné právne predpisy Slovenskej republiky</w:t>
            </w:r>
          </w:p>
          <w:p w:rsidR="002153F7" w:rsidRPr="004929E0" w:rsidP="002153F7">
            <w:pPr>
              <w:tabs>
                <w:tab w:val="left" w:pos="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4929E0" w:rsidR="004577EC">
              <w:rPr>
                <w:rFonts w:ascii="Times New Roman" w:hAnsi="Times New Roman"/>
                <w:b/>
                <w:sz w:val="22"/>
                <w:szCs w:val="22"/>
              </w:rPr>
              <w:t xml:space="preserve">Návrh zákona, </w:t>
            </w:r>
            <w:r w:rsidRPr="004929E0">
              <w:rPr>
                <w:rFonts w:ascii="Times New Roman" w:hAnsi="Times New Roman"/>
                <w:b/>
                <w:bCs/>
                <w:sz w:val="22"/>
                <w:szCs w:val="22"/>
              </w:rPr>
              <w:t>ktorým sa mení a dopĺňa zákon č. 483/2001 Z. z. o bankách a o zmene a doplnení niektorých</w:t>
            </w:r>
            <w:r w:rsidRPr="004929E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4929E0">
              <w:rPr>
                <w:rFonts w:ascii="Times New Roman" w:hAnsi="Times New Roman"/>
                <w:b/>
                <w:bCs/>
                <w:sz w:val="22"/>
                <w:szCs w:val="22"/>
              </w:rPr>
              <w:t>zákonov v znení neskorších predpisov a ktorým sa menia a dopĺňajú niektoré zákony</w:t>
            </w:r>
            <w:r w:rsidRPr="004929E0" w:rsidR="00D340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(ďalej „návrh zákona“)</w:t>
            </w:r>
          </w:p>
          <w:p w:rsidR="00217BF4" w:rsidRPr="004929E0" w:rsidP="00217BF4">
            <w:pPr>
              <w:pStyle w:val="Zkladntext"/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D3404B" w:rsidRPr="004929E0" w:rsidP="00D3404B">
            <w:pPr>
              <w:tabs>
                <w:tab w:val="left" w:pos="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4929E0" w:rsidR="00D205AC">
              <w:rPr>
                <w:rFonts w:ascii="Times New Roman" w:hAnsi="Times New Roman"/>
                <w:bCs/>
                <w:sz w:val="22"/>
                <w:szCs w:val="22"/>
              </w:rPr>
              <w:t>Zákon č. 483/2001 Z. z. o bankách a o zmene a doplnení niektorých zákonov v znení neskorších predpisov</w:t>
            </w:r>
            <w:r w:rsidRPr="004929E0">
              <w:rPr>
                <w:rFonts w:ascii="Times New Roman" w:hAnsi="Times New Roman"/>
                <w:bCs/>
                <w:sz w:val="22"/>
                <w:szCs w:val="22"/>
              </w:rPr>
              <w:t xml:space="preserve"> (ďalej „483/2001“)</w:t>
            </w:r>
          </w:p>
          <w:p w:rsidR="002E1D16" w:rsidRPr="004929E0" w:rsidP="002E1D16">
            <w:pPr>
              <w:pStyle w:val="Zkladntext"/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929E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29E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929E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29E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4929E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29E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929E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29E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929E0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4929E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929E0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4929E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929E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29E0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4929E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29E0" w:rsidR="005170A9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929E0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29E0">
              <w:rPr>
                <w:rFonts w:ascii="Times New Roman" w:hAnsi="Times New Roman"/>
                <w:sz w:val="22"/>
                <w:szCs w:val="22"/>
              </w:rPr>
              <w:t>Článok</w:t>
            </w:r>
          </w:p>
          <w:p w:rsidR="00A9063F" w:rsidRPr="004929E0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29E0">
              <w:rPr>
                <w:rFonts w:ascii="Times New Roman" w:hAnsi="Times New Roman"/>
                <w:sz w:val="22"/>
                <w:szCs w:val="22"/>
              </w:rPr>
              <w:t>(Č, O,</w:t>
            </w:r>
          </w:p>
          <w:p w:rsidR="00A9063F" w:rsidRPr="004929E0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29E0">
              <w:rPr>
                <w:rFonts w:ascii="Times New Roman" w:hAnsi="Times New Roman"/>
                <w:sz w:val="22"/>
                <w:szCs w:val="22"/>
              </w:rPr>
              <w:t>V, P)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929E0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29E0">
              <w:rPr>
                <w:rFonts w:ascii="Times New Roman" w:hAnsi="Times New Roman"/>
                <w:sz w:val="22"/>
                <w:szCs w:val="22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4929E0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29E0">
              <w:rPr>
                <w:rFonts w:ascii="Times New Roman" w:hAnsi="Times New Roman"/>
                <w:sz w:val="22"/>
                <w:szCs w:val="22"/>
              </w:rPr>
              <w:t>Spôsob transp.</w:t>
            </w:r>
          </w:p>
          <w:p w:rsidR="00A9063F" w:rsidRPr="004929E0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29E0">
              <w:rPr>
                <w:rFonts w:ascii="Times New Roman" w:hAnsi="Times New Roman"/>
                <w:sz w:val="22"/>
                <w:szCs w:val="22"/>
              </w:rPr>
              <w:t>(N, O, D, n.a.)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929E0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29E0">
              <w:rPr>
                <w:rFonts w:ascii="Times New Roman" w:hAnsi="Times New Roman"/>
                <w:sz w:val="22"/>
                <w:szCs w:val="22"/>
              </w:rPr>
              <w:t>Číslo</w:t>
            </w:r>
          </w:p>
          <w:p w:rsidR="00A9063F" w:rsidRPr="004929E0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29E0">
              <w:rPr>
                <w:rFonts w:ascii="Times New Roman" w:hAnsi="Times New Roman"/>
                <w:sz w:val="22"/>
                <w:szCs w:val="22"/>
              </w:rPr>
              <w:t>predpisu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929E0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29E0">
              <w:rPr>
                <w:rFonts w:ascii="Times New Roman" w:hAnsi="Times New Roman"/>
                <w:sz w:val="22"/>
                <w:szCs w:val="22"/>
              </w:rPr>
              <w:t>Článok (Č, §, O, V, P)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929E0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29E0">
              <w:rPr>
                <w:rFonts w:ascii="Times New Roman" w:hAnsi="Times New Roman"/>
                <w:sz w:val="22"/>
                <w:szCs w:val="22"/>
              </w:rPr>
              <w:t>Text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929E0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29E0">
              <w:rPr>
                <w:rFonts w:ascii="Times New Roman" w:hAnsi="Times New Roman"/>
                <w:sz w:val="22"/>
                <w:szCs w:val="22"/>
              </w:rPr>
              <w:t>Zhoda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4929E0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29E0">
              <w:rPr>
                <w:rFonts w:ascii="Times New Roman" w:hAnsi="Times New Roman"/>
                <w:sz w:val="22"/>
                <w:szCs w:val="22"/>
              </w:rPr>
              <w:t>Poznámky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929E0" w:rsidP="00601F1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29E0" w:rsidR="0078287E">
              <w:rPr>
                <w:rFonts w:ascii="Times New Roman" w:hAnsi="Times New Roman"/>
                <w:sz w:val="22"/>
                <w:szCs w:val="22"/>
              </w:rPr>
              <w:t xml:space="preserve">Čl. </w:t>
            </w:r>
            <w:r w:rsidRPr="004929E0" w:rsidR="00601F13">
              <w:rPr>
                <w:rFonts w:ascii="Times New Roman" w:hAnsi="Times New Roman"/>
                <w:sz w:val="22"/>
                <w:szCs w:val="22"/>
              </w:rPr>
              <w:t>94</w:t>
            </w:r>
            <w:r w:rsidRPr="004929E0" w:rsidR="00FF417B">
              <w:rPr>
                <w:rFonts w:ascii="Times New Roman" w:hAnsi="Times New Roman"/>
                <w:sz w:val="22"/>
                <w:szCs w:val="22"/>
              </w:rPr>
              <w:t xml:space="preserve"> ods.1 pís.l)</w:t>
            </w:r>
            <w:r w:rsidRPr="004929E0" w:rsidR="00A47BE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E1D16" w:rsidRPr="004929E0" w:rsidP="00FF417B">
            <w:pPr>
              <w:pStyle w:val="CM4"/>
              <w:numPr>
                <w:numId w:val="17"/>
              </w:numPr>
              <w:bidi w:val="0"/>
              <w:spacing w:before="60" w:after="60" w:line="240" w:lineRule="auto"/>
              <w:ind w:left="383"/>
              <w:rPr>
                <w:rFonts w:ascii="Times New Roman" w:hAnsi="Times New Roman"/>
                <w:sz w:val="22"/>
                <w:szCs w:val="22"/>
              </w:rPr>
            </w:pPr>
            <w:r w:rsidRPr="004929E0" w:rsidR="00D83E5B">
              <w:rPr>
                <w:rFonts w:ascii="Times New Roman" w:hAnsi="Times New Roman"/>
                <w:sz w:val="22"/>
                <w:szCs w:val="22"/>
              </w:rPr>
              <w:t>Na pohyblivé prvky odmeňovania sa okrem zásad stanovených v článku 92 ods. 2 a za rovnakých podmienok, ako sú stanovené v tomto článku, uplatňujú tieto zásady:</w:t>
            </w:r>
          </w:p>
          <w:tbl>
            <w:tblPr>
              <w:tblStyle w:val="TableNormal"/>
              <w:tblW w:w="6895" w:type="dxa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33"/>
              <w:gridCol w:w="6662"/>
            </w:tblGrid>
            <w:tr>
              <w:tblPrEx>
                <w:tblW w:w="6895" w:type="dxa"/>
                <w:tbl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blBorders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233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  <w:hideMark/>
                </w:tcPr>
                <w:p w:rsidR="00D83E5B" w:rsidRPr="004929E0" w:rsidP="00D83E5B">
                  <w:pPr>
                    <w:autoSpaceDE/>
                    <w:autoSpaceDN/>
                    <w:bidi w:val="0"/>
                    <w:spacing w:before="120" w:after="0" w:line="312" w:lineRule="atLeast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929E0">
                    <w:rPr>
                      <w:rFonts w:ascii="Times New Roman" w:hAnsi="Times New Roman"/>
                      <w:sz w:val="22"/>
                      <w:szCs w:val="22"/>
                    </w:rPr>
                    <w:t>l)</w:t>
                  </w:r>
                </w:p>
              </w:tc>
              <w:tc>
                <w:tcPr>
                  <w:tcW w:w="666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  <w:hideMark/>
                </w:tcPr>
                <w:p w:rsidR="00D83E5B" w:rsidRPr="004929E0" w:rsidP="00D83E5B">
                  <w:pPr>
                    <w:autoSpaceDE/>
                    <w:autoSpaceDN/>
                    <w:bidi w:val="0"/>
                    <w:spacing w:before="120" w:after="0" w:line="312" w:lineRule="atLeast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929E0">
                    <w:rPr>
                      <w:rFonts w:ascii="Times New Roman" w:hAnsi="Times New Roman"/>
                      <w:sz w:val="22"/>
                      <w:szCs w:val="22"/>
                    </w:rPr>
                    <w:t>významná časť každej pohyblivej odmeny, v každom prípade minimálne 50 %, pozostáva z týchto súčastí:</w:t>
                  </w:r>
                </w:p>
                <w:tbl>
                  <w:tblPr>
                    <w:tblStyle w:val="TableNormal"/>
                    <w:tblW w:w="6580" w:type="dxa"/>
                    <w:tblBorders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42"/>
                    <w:gridCol w:w="6238"/>
                  </w:tblGrid>
                  <w:tr>
                    <w:tblPrEx>
                      <w:tblW w:w="6580" w:type="dxa"/>
                      <w:tblBorders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c>
                      <w:tcPr>
                        <w:tcW w:w="342" w:type="dxa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30" w:type="dxa"/>
                        </w:tcMar>
                        <w:textDirection w:val="lrTb"/>
                        <w:vAlign w:val="top"/>
                        <w:hideMark/>
                      </w:tcPr>
                      <w:p w:rsidR="00D83E5B" w:rsidRPr="004929E0" w:rsidP="00D83E5B">
                        <w:pPr>
                          <w:autoSpaceDE/>
                          <w:autoSpaceDN/>
                          <w:bidi w:val="0"/>
                          <w:spacing w:before="120" w:after="0" w:line="312" w:lineRule="atLeast"/>
                          <w:jc w:val="both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4929E0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i)</w:t>
                        </w:r>
                      </w:p>
                    </w:tc>
                    <w:tc>
                      <w:tcPr>
                        <w:tcW w:w="6238" w:type="dxa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30" w:type="dxa"/>
                        </w:tcMar>
                        <w:textDirection w:val="lrTb"/>
                        <w:vAlign w:val="top"/>
                        <w:hideMark/>
                      </w:tcPr>
                      <w:p w:rsidR="00D83E5B" w:rsidRPr="004929E0" w:rsidP="00D83E5B">
                        <w:pPr>
                          <w:autoSpaceDE/>
                          <w:autoSpaceDN/>
                          <w:bidi w:val="0"/>
                          <w:spacing w:before="120" w:after="0" w:line="312" w:lineRule="atLeast"/>
                          <w:jc w:val="both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4929E0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akcií alebo rovnocenných majetkových podielov v závislosti od právnej štruktúry dotknutej inštitúcie, alebo nástrojov súvisiacich s akciami alebo rovnocenných bezhotovostných nástrojov v prípade nekótovanej inštitúcie;</w:t>
                        </w:r>
                      </w:p>
                    </w:tc>
                  </w:tr>
                </w:tbl>
                <w:p w:rsidR="00D83E5B" w:rsidRPr="004929E0" w:rsidP="00D83E5B">
                  <w:pPr>
                    <w:autoSpaceDE/>
                    <w:autoSpaceDN/>
                    <w:bidi w:val="0"/>
                    <w:spacing w:after="0" w:line="312" w:lineRule="atLeast"/>
                    <w:rPr>
                      <w:rFonts w:ascii="Times New Roman" w:hAnsi="Times New Roman"/>
                      <w:vanish/>
                      <w:sz w:val="22"/>
                      <w:szCs w:val="22"/>
                    </w:rPr>
                  </w:pPr>
                </w:p>
                <w:tbl>
                  <w:tblPr>
                    <w:tblStyle w:val="TableNormal"/>
                    <w:tblW w:w="6579" w:type="dxa"/>
                    <w:tblBorders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42"/>
                    <w:gridCol w:w="6237"/>
                  </w:tblGrid>
                  <w:tr>
                    <w:tblPrEx>
                      <w:tblW w:w="6579" w:type="dxa"/>
                      <w:tblBorders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c>
                      <w:tcPr>
                        <w:tcW w:w="342" w:type="dxa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30" w:type="dxa"/>
                        </w:tcMar>
                        <w:textDirection w:val="lrTb"/>
                        <w:vAlign w:val="top"/>
                        <w:hideMark/>
                      </w:tcPr>
                      <w:p w:rsidR="00D83E5B" w:rsidRPr="004929E0" w:rsidP="00D83E5B">
                        <w:pPr>
                          <w:autoSpaceDE/>
                          <w:autoSpaceDN/>
                          <w:bidi w:val="0"/>
                          <w:spacing w:before="120" w:after="0" w:line="312" w:lineRule="atLeast"/>
                          <w:jc w:val="both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4929E0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ii)</w:t>
                        </w:r>
                      </w:p>
                    </w:tc>
                    <w:tc>
                      <w:tcPr>
                        <w:tcW w:w="6237" w:type="dxa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30" w:type="dxa"/>
                        </w:tcMar>
                        <w:textDirection w:val="lrTb"/>
                        <w:vAlign w:val="top"/>
                        <w:hideMark/>
                      </w:tcPr>
                      <w:p w:rsidR="00D83E5B" w:rsidRPr="004929E0" w:rsidP="00D83E5B">
                        <w:pPr>
                          <w:autoSpaceDE/>
                          <w:autoSpaceDN/>
                          <w:bidi w:val="0"/>
                          <w:spacing w:before="120" w:after="0" w:line="312" w:lineRule="atLeast"/>
                          <w:jc w:val="both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4929E0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ak je to možné aj iných nástrojov v zmysle článku 52 alebo článku 63 nariadenia (EÚ) č. 575/2013 alebo iných nástrojov, ktoré možno plne konvertovať na nástroje vlastného kapitálu Tier 1 alebo odpísať, v ktorých sa v každom prípade primerane odráža kreditná kvalita inštitúcie pri pokračovaní činnosti a ktoré sú prispôsobené na používanie na účely pohyblivej odmeny.</w:t>
                        </w:r>
                      </w:p>
                    </w:tc>
                  </w:tr>
                </w:tbl>
                <w:p w:rsidR="00D83E5B" w:rsidRPr="004929E0" w:rsidP="00D83E5B">
                  <w:pPr>
                    <w:autoSpaceDE/>
                    <w:autoSpaceDN/>
                    <w:bidi w:val="0"/>
                    <w:spacing w:after="0" w:line="312" w:lineRule="atLeast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</w:tbl>
          <w:p w:rsidR="00D83E5B" w:rsidRPr="004929E0" w:rsidP="00D83E5B">
            <w:pPr>
              <w:pStyle w:val="Default"/>
              <w:bidi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030B3" w:rsidRPr="004929E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29E0">
              <w:rPr>
                <w:rFonts w:ascii="Times New Roman" w:hAnsi="Times New Roman"/>
                <w:sz w:val="22"/>
                <w:szCs w:val="22"/>
              </w:rPr>
              <w:t>N</w:t>
            </w:r>
          </w:p>
          <w:p w:rsidR="00E030B3" w:rsidRPr="004929E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9063F" w:rsidRPr="004929E0" w:rsidP="00A47BED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E030B3" w:rsidRPr="004929E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030B3" w:rsidRPr="004929E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030B3" w:rsidRPr="004929E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030B3" w:rsidRPr="004929E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030B3" w:rsidRPr="004929E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030B3" w:rsidRPr="004929E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030B3" w:rsidRPr="004929E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030B3" w:rsidRPr="004929E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030B3" w:rsidRPr="004929E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030B3" w:rsidRPr="004929E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030B3" w:rsidRPr="004929E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205AC" w:rsidRPr="004929E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9063F" w:rsidRPr="004929E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29E0" w:rsidR="00D205AC">
              <w:rPr>
                <w:rFonts w:ascii="Times New Roman" w:hAnsi="Times New Roman"/>
                <w:sz w:val="22"/>
                <w:szCs w:val="22"/>
              </w:rPr>
              <w:t>483/2001</w:t>
            </w:r>
          </w:p>
          <w:p w:rsidR="002153F7" w:rsidRPr="004929E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153F7" w:rsidRPr="004929E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153F7" w:rsidRPr="004929E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05AC" w:rsidRPr="004929E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153F7" w:rsidRPr="004929E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929E0">
              <w:rPr>
                <w:rFonts w:ascii="Times New Roman" w:hAnsi="Times New Roman"/>
                <w:b/>
                <w:sz w:val="22"/>
                <w:szCs w:val="22"/>
              </w:rPr>
              <w:t>Návrh zákona čl.I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205AC" w:rsidRPr="004929E0" w:rsidP="00A47BED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D205AC" w:rsidRPr="004929E0" w:rsidP="00A47BED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929E0" w:rsidR="002153F7">
              <w:rPr>
                <w:rFonts w:ascii="Times New Roman" w:hAnsi="Times New Roman"/>
                <w:sz w:val="22"/>
                <w:szCs w:val="22"/>
              </w:rPr>
              <w:t xml:space="preserve">§ 23b </w:t>
            </w:r>
            <w:r w:rsidRPr="004929E0">
              <w:rPr>
                <w:rFonts w:ascii="Times New Roman" w:hAnsi="Times New Roman"/>
                <w:sz w:val="22"/>
                <w:szCs w:val="22"/>
              </w:rPr>
              <w:t xml:space="preserve">ods.5 </w:t>
            </w:r>
          </w:p>
          <w:p w:rsidR="00D205AC" w:rsidRPr="004929E0" w:rsidP="00A47BED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D205AC" w:rsidRPr="004929E0" w:rsidP="00A47BED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D205AC" w:rsidRPr="004929E0" w:rsidP="00A47BED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2153F7" w:rsidRPr="004929E0" w:rsidP="00A47BED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929E0">
              <w:rPr>
                <w:rFonts w:ascii="Times New Roman" w:hAnsi="Times New Roman"/>
                <w:sz w:val="22"/>
                <w:szCs w:val="22"/>
              </w:rPr>
              <w:t xml:space="preserve">ods.1 </w:t>
            </w:r>
          </w:p>
          <w:p w:rsidR="002153F7" w:rsidRPr="004929E0" w:rsidP="00A47BED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2153F7" w:rsidRPr="004929E0" w:rsidP="00A47BED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929E0">
              <w:rPr>
                <w:rFonts w:ascii="Times New Roman" w:hAnsi="Times New Roman"/>
                <w:sz w:val="22"/>
                <w:szCs w:val="22"/>
              </w:rPr>
              <w:t xml:space="preserve">pís.d) </w:t>
            </w:r>
          </w:p>
          <w:p w:rsidR="002153F7" w:rsidRPr="004929E0" w:rsidP="00A47BED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2153F7" w:rsidRPr="004929E0" w:rsidP="00A47BED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2153F7" w:rsidRPr="004929E0" w:rsidP="00A47BED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E030B3" w:rsidRPr="004929E0" w:rsidP="00A47BED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929E0" w:rsidR="002153F7">
              <w:rPr>
                <w:rFonts w:ascii="Times New Roman" w:hAnsi="Times New Roman"/>
                <w:sz w:val="22"/>
                <w:szCs w:val="22"/>
              </w:rPr>
              <w:t>pís.e)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205AC" w:rsidRPr="004929E0" w:rsidP="00D205AC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030B3" w:rsidRPr="004929E0" w:rsidP="00D205AC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929E0" w:rsidR="002153F7">
              <w:rPr>
                <w:rFonts w:ascii="Times New Roman" w:hAnsi="Times New Roman"/>
                <w:sz w:val="22"/>
                <w:szCs w:val="22"/>
              </w:rPr>
              <w:t>Podiel pohyblivej zložky celkovej odmeny, ktorá bude osobe podľa § 23a ods. 1 poskytovaná vo forme cenných papierov a iných finančných nástrojov podľa odseku 1 písm. d) a e), musí predstavovať najmenej 50% sumy pohyblivej zložky celkovej odmeny.</w:t>
            </w:r>
          </w:p>
          <w:p w:rsidR="002153F7" w:rsidRPr="004929E0" w:rsidP="002E1D16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E030B3" w:rsidRPr="004929E0" w:rsidP="002E1D16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929E0" w:rsidR="002153F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Pohyblivú zložku celkovej odmeny tvoria</w:t>
            </w:r>
          </w:p>
          <w:p w:rsidR="002153F7" w:rsidRPr="004929E0" w:rsidP="002153F7">
            <w:pPr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722CF9" w:rsidRPr="004929E0" w:rsidP="00722CF9">
            <w:pPr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929E0">
              <w:rPr>
                <w:rFonts w:ascii="Times New Roman" w:hAnsi="Times New Roman"/>
                <w:b/>
                <w:bCs/>
                <w:sz w:val="22"/>
                <w:szCs w:val="22"/>
              </w:rPr>
              <w:t>d) cenné papiere,</w:t>
            </w:r>
          </w:p>
          <w:p w:rsidR="00722CF9" w:rsidRPr="004929E0" w:rsidP="00722CF9">
            <w:pPr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D205AC" w:rsidRPr="004929E0" w:rsidP="00722CF9">
            <w:pPr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929E0" w:rsidR="00722CF9">
              <w:rPr>
                <w:rFonts w:ascii="Times New Roman" w:hAnsi="Times New Roman"/>
                <w:b/>
                <w:bCs/>
                <w:sz w:val="22"/>
                <w:szCs w:val="22"/>
              </w:rPr>
              <w:t>e) vždy, ak je to možné iné finančné nástroje podľa osobitného predpisu</w:t>
            </w:r>
            <w:r w:rsidRPr="004929E0" w:rsidR="00722CF9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25af</w:t>
            </w:r>
            <w:r w:rsidRPr="004929E0" w:rsidR="00722CF9">
              <w:rPr>
                <w:rFonts w:ascii="Times New Roman" w:hAnsi="Times New Roman"/>
                <w:b/>
                <w:bCs/>
                <w:sz w:val="22"/>
                <w:szCs w:val="22"/>
              </w:rPr>
              <w:t>) alebo iné nástroje, ktoré je možné plne konvertovať na nástroje kapitálu Tier 1 alebo odpísať, pričom musí byť zabezpečené, že tieto nástroje primerane odrážajú kreditnú kvalitu banky pri pokračovaní jej činnosti,</w:t>
            </w:r>
          </w:p>
          <w:p w:rsidR="00722CF9" w:rsidRPr="004929E0" w:rsidP="00722CF9">
            <w:pPr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A9063F" w:rsidRPr="004929E0" w:rsidP="00722CF9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929E0" w:rsidR="002153F7">
              <w:rPr>
                <w:rFonts w:ascii="Times New Roman" w:hAnsi="Times New Roman"/>
                <w:b/>
                <w:color w:val="000000"/>
                <w:sz w:val="22"/>
                <w:szCs w:val="22"/>
                <w:vertAlign w:val="superscript"/>
              </w:rPr>
              <w:t>25af</w:t>
            </w:r>
            <w:r w:rsidRPr="004929E0" w:rsidR="002153F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) Čl. 52 a 63 nariadenie (EÚ) č. 575 / 2013</w:t>
            </w:r>
            <w:r w:rsidRPr="004929E0" w:rsidR="00B756D9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v platnom znení</w:t>
            </w:r>
            <w:r w:rsidRPr="004929E0" w:rsidR="002153F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929E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29E0" w:rsidR="0078287E">
              <w:rPr>
                <w:rFonts w:ascii="Times New Roman" w:hAnsi="Times New Roman"/>
                <w:sz w:val="22"/>
                <w:szCs w:val="22"/>
              </w:rPr>
              <w:t>Ú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4929E0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</w:tr>
    </w:tbl>
    <w:p w:rsidR="008C54C3" w:rsidRPr="004929E0">
      <w:pPr>
        <w:pStyle w:val="Header"/>
        <w:tabs>
          <w:tab w:val="clear" w:pos="4536"/>
          <w:tab w:val="clear" w:pos="9072"/>
        </w:tabs>
        <w:autoSpaceDE/>
        <w:autoSpaceDN/>
        <w:bidi w:val="0"/>
        <w:rPr>
          <w:rFonts w:ascii="Times New Roman" w:hAnsi="Times New Roman"/>
          <w:sz w:val="22"/>
          <w:szCs w:val="22"/>
        </w:rPr>
      </w:pPr>
    </w:p>
    <w:sectPr>
      <w:footerReference w:type="default" r:id="rId4"/>
      <w:pgSz w:w="16838" w:h="11906" w:orient="landscape" w:code="9"/>
      <w:pgMar w:top="851" w:right="851" w:bottom="851" w:left="85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Arial Unicode MS"/>
    <w:panose1 w:val="00000000000000000000"/>
    <w:charset w:val="EE"/>
    <w:family w:val="swiss"/>
    <w:pitch w:val="default"/>
    <w:sig w:usb0="00000000" w:usb1="00000000" w:usb2="00000000" w:usb3="00000000" w:csb0="00000003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E5D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4929E0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CB2E5D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E3E00AF"/>
    <w:multiLevelType w:val="hybridMultilevel"/>
    <w:tmpl w:val="D61EDC9A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43D89"/>
    <w:multiLevelType w:val="hybridMultilevel"/>
    <w:tmpl w:val="E4401AF2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rtl w:val="0"/>
        <w:cs w:val="0"/>
      </w:rPr>
    </w:lvl>
  </w:abstractNum>
  <w:abstractNum w:abstractNumId="4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33E10911"/>
    <w:multiLevelType w:val="hybridMultilevel"/>
    <w:tmpl w:val="48E84B02"/>
    <w:lvl w:ilvl="0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6E77358"/>
    <w:multiLevelType w:val="hybridMultilevel"/>
    <w:tmpl w:val="19C03F3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A20FE4"/>
    <w:multiLevelType w:val="hybridMultilevel"/>
    <w:tmpl w:val="8F7E36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  <w:rtl w:val="0"/>
        <w:cs w:val="0"/>
      </w:rPr>
    </w:lvl>
  </w:abstractNum>
  <w:abstractNum w:abstractNumId="9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B4E3C4D"/>
    <w:multiLevelType w:val="hybridMultilevel"/>
    <w:tmpl w:val="3222ABB4"/>
    <w:lvl w:ilvl="0">
      <w:start w:val="1"/>
      <w:numFmt w:val="decimal"/>
      <w:lvlText w:val="(%1)"/>
      <w:lvlJc w:val="left"/>
      <w:pPr>
        <w:ind w:left="207" w:hanging="207"/>
      </w:pPr>
      <w:rPr>
        <w:rFonts w:cs="Times New Roman" w:hint="default"/>
        <w:b w:val="0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D80696D"/>
    <w:multiLevelType w:val="hybridMultilevel"/>
    <w:tmpl w:val="7F204AD4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A85ABE"/>
    <w:multiLevelType w:val="hybridMultilevel"/>
    <w:tmpl w:val="0406BCC8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3"/>
    </w:lvlOverride>
  </w:num>
  <w:num w:numId="3">
    <w:abstractNumId w:val="8"/>
  </w:num>
  <w:num w:numId="4">
    <w:abstractNumId w:val="8"/>
    <w:lvlOverride w:ilvl="0">
      <w:startOverride w:val="2"/>
    </w:lvlOverride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2"/>
  </w:num>
  <w:num w:numId="12">
    <w:abstractNumId w:val="2"/>
  </w:num>
  <w:num w:numId="13">
    <w:abstractNumId w:val="11"/>
  </w:num>
  <w:num w:numId="14">
    <w:abstractNumId w:val="1"/>
  </w:num>
  <w:num w:numId="15">
    <w:abstractNumId w:val="10"/>
  </w:num>
  <w:num w:numId="16">
    <w:abstractNumId w:val="7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9063F"/>
    <w:rsid w:val="00093769"/>
    <w:rsid w:val="000C2E53"/>
    <w:rsid w:val="00127033"/>
    <w:rsid w:val="00153B33"/>
    <w:rsid w:val="002153F7"/>
    <w:rsid w:val="00217BF4"/>
    <w:rsid w:val="00270E65"/>
    <w:rsid w:val="002E1D16"/>
    <w:rsid w:val="002F3EE5"/>
    <w:rsid w:val="00346101"/>
    <w:rsid w:val="00391DC5"/>
    <w:rsid w:val="00393340"/>
    <w:rsid w:val="003E7B78"/>
    <w:rsid w:val="004219E0"/>
    <w:rsid w:val="00424270"/>
    <w:rsid w:val="00440A2A"/>
    <w:rsid w:val="004577EC"/>
    <w:rsid w:val="004929E0"/>
    <w:rsid w:val="00494CFC"/>
    <w:rsid w:val="00510804"/>
    <w:rsid w:val="005170A9"/>
    <w:rsid w:val="005947B8"/>
    <w:rsid w:val="005E0477"/>
    <w:rsid w:val="005E147F"/>
    <w:rsid w:val="00601F13"/>
    <w:rsid w:val="0064397E"/>
    <w:rsid w:val="00656B18"/>
    <w:rsid w:val="006756F0"/>
    <w:rsid w:val="00683A6B"/>
    <w:rsid w:val="006E689D"/>
    <w:rsid w:val="00722CF9"/>
    <w:rsid w:val="0078287E"/>
    <w:rsid w:val="00851837"/>
    <w:rsid w:val="00861E2E"/>
    <w:rsid w:val="008A0B4B"/>
    <w:rsid w:val="008A5161"/>
    <w:rsid w:val="008C54C3"/>
    <w:rsid w:val="0091636B"/>
    <w:rsid w:val="009612CE"/>
    <w:rsid w:val="009719C2"/>
    <w:rsid w:val="009826E3"/>
    <w:rsid w:val="009C5E2D"/>
    <w:rsid w:val="00A02F9A"/>
    <w:rsid w:val="00A47BED"/>
    <w:rsid w:val="00A9063F"/>
    <w:rsid w:val="00A91B17"/>
    <w:rsid w:val="00A972D1"/>
    <w:rsid w:val="00AA55DA"/>
    <w:rsid w:val="00AB1D32"/>
    <w:rsid w:val="00AB7D27"/>
    <w:rsid w:val="00AE0595"/>
    <w:rsid w:val="00B64B09"/>
    <w:rsid w:val="00B756D9"/>
    <w:rsid w:val="00C139A5"/>
    <w:rsid w:val="00C21CEF"/>
    <w:rsid w:val="00C34EF5"/>
    <w:rsid w:val="00CB2E5D"/>
    <w:rsid w:val="00D205AC"/>
    <w:rsid w:val="00D22A7B"/>
    <w:rsid w:val="00D33B5F"/>
    <w:rsid w:val="00D3404B"/>
    <w:rsid w:val="00D83E5B"/>
    <w:rsid w:val="00DA0F6C"/>
    <w:rsid w:val="00DC0F95"/>
    <w:rsid w:val="00DE0F85"/>
    <w:rsid w:val="00E030B3"/>
    <w:rsid w:val="00EE7DD6"/>
    <w:rsid w:val="00F047A8"/>
    <w:rsid w:val="00F4080C"/>
    <w:rsid w:val="00F63C5A"/>
    <w:rsid w:val="00FF417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3" w:semiHidden="1"/>
    <w:lsdException w:name="Body Text Indent 2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uiPriority w:val="99"/>
    <w:pPr>
      <w:jc w:val="left"/>
    </w:pPr>
    <w:rPr>
      <w:sz w:val="20"/>
      <w:szCs w:val="20"/>
      <w:lang w:eastAsia="en-US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customStyle="1" w:styleId="PARA">
    <w:name w:val="PARA"/>
    <w:basedOn w:val="Normal"/>
    <w:next w:val="Normal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autoSpaceDE/>
      <w:autoSpaceDN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autoSpaceDE/>
      <w:autoSpaceDN/>
      <w:ind w:left="290" w:hanging="290"/>
      <w:jc w:val="left"/>
    </w:pPr>
    <w:rPr>
      <w:sz w:val="20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Default">
    <w:name w:val="Default"/>
    <w:rsid w:val="00CB2E5D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M4">
    <w:name w:val="CM4"/>
    <w:basedOn w:val="Default"/>
    <w:next w:val="Default"/>
    <w:uiPriority w:val="99"/>
    <w:rsid w:val="00CB2E5D"/>
    <w:pPr>
      <w:jc w:val="left"/>
    </w:pPr>
    <w:rPr>
      <w:rFonts w:cs="Times New Roman"/>
      <w:color w:val="auto"/>
    </w:rPr>
  </w:style>
  <w:style w:type="paragraph" w:customStyle="1" w:styleId="Zkladntext">
    <w:name w:val="Základní text"/>
    <w:aliases w:val="Základný text Char Char"/>
    <w:rsid w:val="00EE7DD6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harChar">
    <w:name w:val="Char Char"/>
    <w:basedOn w:val="Normal"/>
    <w:uiPriority w:val="99"/>
    <w:rsid w:val="0078287E"/>
    <w:pPr>
      <w:autoSpaceDE/>
      <w:autoSpaceDN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2E1D16"/>
    <w:pPr>
      <w:jc w:val="lef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E1D16"/>
    <w:pPr>
      <w:jc w:val="lef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E030B3"/>
    <w:pPr>
      <w:autoSpaceDE/>
      <w:autoSpaceDN/>
      <w:ind w:left="720"/>
      <w:contextualSpacing/>
      <w:jc w:val="left"/>
    </w:pPr>
  </w:style>
  <w:style w:type="character" w:styleId="Strong">
    <w:name w:val="Strong"/>
    <w:basedOn w:val="DefaultParagraphFont"/>
    <w:uiPriority w:val="22"/>
    <w:qFormat/>
    <w:rsid w:val="00D83E5B"/>
    <w:rPr>
      <w:rFonts w:cs="Times New Roman"/>
      <w:b/>
      <w:rtl w:val="0"/>
      <w:cs w:val="0"/>
    </w:rPr>
  </w:style>
  <w:style w:type="paragraph" w:customStyle="1" w:styleId="normal2">
    <w:name w:val="normal2"/>
    <w:basedOn w:val="Normal"/>
    <w:rsid w:val="00D83E5B"/>
    <w:pPr>
      <w:autoSpaceDE/>
      <w:autoSpaceDN/>
      <w:spacing w:before="120" w:line="312" w:lineRule="atLeas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440</Words>
  <Characters>2508</Characters>
  <Application>Microsoft Office Word</Application>
  <DocSecurity>0</DocSecurity>
  <Lines>0</Lines>
  <Paragraphs>0</Paragraphs>
  <ScaleCrop>false</ScaleCrop>
  <Company>ÚV SR</Company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Bartikova Anna</cp:lastModifiedBy>
  <cp:revision>6</cp:revision>
  <cp:lastPrinted>2006-12-14T15:09:00Z</cp:lastPrinted>
  <dcterms:created xsi:type="dcterms:W3CDTF">2017-06-27T10:07:00Z</dcterms:created>
  <dcterms:modified xsi:type="dcterms:W3CDTF">2017-08-09T07:28:00Z</dcterms:modified>
</cp:coreProperties>
</file>