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81CC3" w:rsidRPr="00C3452A" w:rsidP="00581CC3">
      <w:pPr>
        <w:tabs>
          <w:tab w:val="left" w:pos="7230"/>
        </w:tabs>
        <w:bidi w:val="0"/>
        <w:jc w:val="center"/>
        <w:outlineLvl w:val="0"/>
        <w:rPr>
          <w:rFonts w:ascii="Times New Roman" w:hAnsi="Times New Roman"/>
          <w:b/>
          <w:bCs/>
        </w:rPr>
      </w:pPr>
      <w:r w:rsidRPr="00C3452A">
        <w:rPr>
          <w:rFonts w:ascii="Times New Roman" w:hAnsi="Times New Roman"/>
          <w:b/>
          <w:bCs/>
        </w:rPr>
        <w:t>Dôvodová správa</w:t>
      </w:r>
    </w:p>
    <w:p w:rsidR="00581CC3" w:rsidRPr="00C3452A" w:rsidP="00581CC3">
      <w:pPr>
        <w:tabs>
          <w:tab w:val="left" w:pos="7230"/>
        </w:tabs>
        <w:bidi w:val="0"/>
        <w:jc w:val="center"/>
        <w:outlineLvl w:val="0"/>
        <w:rPr>
          <w:rFonts w:ascii="Times New Roman" w:hAnsi="Times New Roman"/>
          <w:b/>
          <w:bCs/>
        </w:rPr>
      </w:pPr>
      <w:r w:rsidRPr="00C3452A">
        <w:rPr>
          <w:rFonts w:ascii="Times New Roman" w:hAnsi="Times New Roman"/>
          <w:b/>
          <w:bCs/>
        </w:rPr>
        <w:t xml:space="preserve"> </w:t>
      </w:r>
    </w:p>
    <w:p w:rsidR="00581CC3" w:rsidRPr="00816507" w:rsidP="00581CC3">
      <w:pPr>
        <w:pStyle w:val="ListParagraph"/>
        <w:numPr>
          <w:numId w:val="14"/>
        </w:numPr>
        <w:bidi w:val="0"/>
        <w:ind w:left="426" w:hanging="426"/>
        <w:outlineLvl w:val="0"/>
        <w:rPr>
          <w:rFonts w:ascii="Times New Roman" w:hAnsi="Times New Roman"/>
          <w:b/>
          <w:bCs/>
        </w:rPr>
      </w:pPr>
      <w:r w:rsidRPr="00816507">
        <w:rPr>
          <w:rFonts w:ascii="Times New Roman" w:hAnsi="Times New Roman"/>
          <w:b/>
          <w:bCs/>
        </w:rPr>
        <w:t>Všeobecná časť</w:t>
      </w:r>
    </w:p>
    <w:p w:rsidR="00581CC3" w:rsidRPr="00C3452A" w:rsidP="00581CC3">
      <w:pPr>
        <w:bidi w:val="0"/>
        <w:jc w:val="center"/>
        <w:outlineLvl w:val="0"/>
        <w:rPr>
          <w:rFonts w:ascii="Times New Roman" w:hAnsi="Times New Roman"/>
          <w:b/>
          <w:bCs/>
        </w:rPr>
      </w:pPr>
    </w:p>
    <w:p w:rsidR="00581CC3" w:rsidRPr="00C3452A" w:rsidP="00581CC3">
      <w:pPr>
        <w:bidi w:val="0"/>
        <w:jc w:val="center"/>
        <w:outlineLvl w:val="0"/>
        <w:rPr>
          <w:rFonts w:ascii="Times New Roman" w:hAnsi="Times New Roman"/>
          <w:b/>
          <w:bCs/>
        </w:rPr>
      </w:pPr>
    </w:p>
    <w:p w:rsidR="00581CC3" w:rsidRPr="00C3452A" w:rsidP="00581CC3">
      <w:pPr>
        <w:pStyle w:val="odsek"/>
        <w:keepNext w:val="0"/>
        <w:widowControl w:val="0"/>
        <w:bidi w:val="0"/>
        <w:ind w:firstLine="0"/>
        <w:rPr>
          <w:rFonts w:ascii="Times New Roman" w:hAnsi="Times New Roman"/>
        </w:rPr>
      </w:pPr>
      <w:r w:rsidRPr="00C3452A">
        <w:rPr>
          <w:rFonts w:ascii="Times New Roman" w:hAnsi="Times New Roman"/>
          <w:b/>
          <w:bCs/>
          <w:lang w:eastAsia="sk-SK"/>
        </w:rPr>
        <w:tab/>
      </w:r>
      <w:r w:rsidRPr="00C3452A">
        <w:rPr>
          <w:rFonts w:ascii="Times New Roman" w:hAnsi="Times New Roman"/>
        </w:rPr>
        <w:t xml:space="preserve">Ministerstvo pôdohospodárstva a rozvoja vidieka Slovenskej republiky (ďalej len „ministerstvo“) vypracovalo návrh zákona, ktorým sa mení a dopĺňa zákon </w:t>
      </w:r>
      <w:r w:rsidRPr="00C3452A">
        <w:rPr>
          <w:rFonts w:ascii="Times New Roman" w:hAnsi="Times New Roman"/>
          <w:shd w:val="clear" w:color="auto" w:fill="FFFFFF"/>
        </w:rPr>
        <w:t>č. </w:t>
      </w:r>
      <w:hyperlink r:id="rId4" w:tooltip="Odkaz na predpis alebo ustanovenie" w:history="1">
        <w:r w:rsidRPr="00C3452A">
          <w:rPr>
            <w:rFonts w:ascii="Times New Roman" w:hAnsi="Times New Roman"/>
            <w:iCs/>
            <w:shd w:val="clear" w:color="auto" w:fill="FFFFFF"/>
          </w:rPr>
          <w:t>504/2003 Z. z.</w:t>
        </w:r>
      </w:hyperlink>
      <w:r w:rsidRPr="00C3452A">
        <w:rPr>
          <w:rFonts w:ascii="Times New Roman" w:hAnsi="Times New Roman"/>
          <w:shd w:val="clear" w:color="auto" w:fill="FFFFFF"/>
        </w:rPr>
        <w:t xml:space="preserve"> o nájme poľnohospodárskych pozemkov, poľnohospodárskeho podniku a lesných pozemkov a o zmene niektorých zákonov </w:t>
      </w:r>
      <w:r w:rsidRPr="00C3452A">
        <w:rPr>
          <w:rFonts w:ascii="Times New Roman" w:hAnsi="Times New Roman"/>
        </w:rPr>
        <w:t>v znení neskorších predpisov</w:t>
      </w:r>
      <w:r>
        <w:rPr>
          <w:rFonts w:ascii="Times New Roman" w:hAnsi="Times New Roman"/>
        </w:rPr>
        <w:t xml:space="preserve"> </w:t>
      </w:r>
      <w:r w:rsidRPr="00444E2F">
        <w:rPr>
          <w:rFonts w:ascii="Times New Roman" w:hAnsi="Times New Roman"/>
        </w:rPr>
        <w:t xml:space="preserve">a ktorým sa mení zákon č. 24/2015 Z. z., </w:t>
      </w:r>
      <w:r w:rsidRPr="00444E2F">
        <w:rPr>
          <w:rFonts w:ascii="Times New Roman" w:hAnsi="Times New Roman"/>
          <w:shd w:val="clear" w:color="auto" w:fill="FFFFFF"/>
        </w:rPr>
        <w:t>ktorým sa mení a dopĺňa zákon Národnej rady Slovenskej republiky č. 180/1995 Z. z.</w:t>
      </w:r>
      <w:r w:rsidRPr="00444E2F">
        <w:rPr>
          <w:rFonts w:ascii="Times New Roman" w:hAnsi="Times New Roman"/>
        </w:rPr>
        <w:t xml:space="preserve"> </w:t>
      </w:r>
      <w:r w:rsidRPr="00444E2F">
        <w:rPr>
          <w:rFonts w:ascii="Times New Roman" w:hAnsi="Times New Roman"/>
          <w:shd w:val="clear" w:color="auto" w:fill="FFFFFF"/>
        </w:rPr>
        <w:t>o niektorých opatreniach na usporiadanie vlastníctva k pozemkom v znení neskorších predpisov a ktorým sa dopĺňa zákon č. 504/2003 Z. z. o nájme poľnohospodárskych pozemkov, poľnohospodárskeho podniku a lesných pozemkov a o zmene niektorých zákonov v znení neskorších predpisov</w:t>
      </w:r>
      <w:r w:rsidRPr="00C3452A">
        <w:rPr>
          <w:rFonts w:ascii="Times New Roman" w:hAnsi="Times New Roman"/>
        </w:rPr>
        <w:t xml:space="preserve"> na základe úlohy č. 1 na jún z Plánu legislatívnych úloh vlády SR na rok 2017. Úloha bola presunutá na august 2017.</w:t>
      </w:r>
    </w:p>
    <w:p w:rsidR="00581CC3" w:rsidRPr="00C3452A" w:rsidP="00581CC3">
      <w:pPr>
        <w:bidi w:val="0"/>
        <w:ind w:firstLine="708"/>
        <w:rPr>
          <w:rFonts w:ascii="Times New Roman" w:hAnsi="Times New Roman"/>
        </w:rPr>
      </w:pPr>
      <w:r w:rsidRPr="00C3452A">
        <w:rPr>
          <w:rFonts w:ascii="Times New Roman" w:hAnsi="Times New Roman"/>
        </w:rPr>
        <w:t>Novela zákona dopĺňa definíciu pozemku o pozemok, ktorý je v katastri nehnuteľností klasifikovaný ako zastavané plochy a nádvoria, pričom však slúži na poľnohospodárske účely. Ustanovením sa odstraňuje nejednotnosť výkladu, čo v praxi spôsobovalo nezodpovedané otázky, či je možné aj takýto druh pozemku, ktorý je súčasťou napr. hospodárskeho dvora, považovať za pozemok  na účely tohto zákona. Zároveň bola dopracovaná definícia toho, čo  treba rozumieť pod pojmom obvyklá výška nájomného, keďže znalosť tohto ukazovateľa má vplyv na ďalšie procesy a inštitúty ovplyvňujúce nájomné vzťahy.</w:t>
      </w:r>
    </w:p>
    <w:p w:rsidR="00581CC3" w:rsidRPr="00C3452A" w:rsidP="00581CC3">
      <w:pPr>
        <w:pStyle w:val="CommentText"/>
        <w:bidi w:val="0"/>
        <w:ind w:firstLine="708"/>
        <w:rPr>
          <w:rFonts w:ascii="Times New Roman" w:hAnsi="Times New Roman"/>
          <w:bCs/>
          <w:color w:val="000000"/>
          <w:sz w:val="24"/>
          <w:szCs w:val="24"/>
          <w:shd w:val="clear" w:color="auto" w:fill="FFFFFF"/>
        </w:rPr>
      </w:pPr>
      <w:r w:rsidRPr="00C3452A">
        <w:rPr>
          <w:rFonts w:ascii="Times New Roman" w:hAnsi="Times New Roman"/>
          <w:sz w:val="24"/>
          <w:szCs w:val="24"/>
        </w:rPr>
        <w:t>V spojitosti so spresnenou definíciou pozemku novela zákona rieši aj ďalší aplikačný problém, ktorý vyvstával pri určovaní výšky nájomného za pozemok slúžiaci na  poľnohospodárske účely (ďalej len „pozemok“).</w:t>
      </w:r>
      <w:r w:rsidRPr="00C3452A">
        <w:rPr>
          <w:rFonts w:ascii="Times New Roman" w:hAnsi="Times New Roman"/>
          <w:bCs/>
          <w:color w:val="000000"/>
          <w:sz w:val="24"/>
          <w:szCs w:val="24"/>
          <w:shd w:val="clear" w:color="auto" w:fill="FFFFFF"/>
        </w:rPr>
        <w:t xml:space="preserve"> V prípade, ak však ide o </w:t>
      </w:r>
      <w:r w:rsidRPr="00C3452A">
        <w:rPr>
          <w:rFonts w:ascii="Times New Roman" w:hAnsi="Times New Roman"/>
          <w:sz w:val="24"/>
          <w:szCs w:val="24"/>
        </w:rPr>
        <w:t>pozemok evidovaný v katastri nehnuteľností ako zastavaná plocha a nádvorie slúžiaci na  poľnohospodárske účely alebo časť takého pozemku alebo pozemok zastavaný stavbou slúžiacou na poľnohospodárske účely alebo časť tohto pozemku, výška nájomného v prípade, že sa zmluvné strany nedohodnú inak, bude najmenej dvojnásobok  obvyklej výšky nájomného za poľnohospodársku pôdu</w:t>
      </w:r>
      <w:r w:rsidRPr="00C3452A">
        <w:rPr>
          <w:rFonts w:ascii="Times New Roman" w:hAnsi="Times New Roman"/>
          <w:color w:val="FF0000"/>
          <w:sz w:val="24"/>
          <w:szCs w:val="24"/>
        </w:rPr>
        <w:t xml:space="preserve"> </w:t>
      </w:r>
      <w:r w:rsidRPr="00C3452A">
        <w:rPr>
          <w:rFonts w:ascii="Times New Roman" w:hAnsi="Times New Roman"/>
          <w:sz w:val="24"/>
          <w:szCs w:val="24"/>
        </w:rPr>
        <w:t xml:space="preserve">v danom katastrálnom území. </w:t>
      </w:r>
    </w:p>
    <w:p w:rsidR="00581CC3" w:rsidRPr="00C3452A" w:rsidP="00581CC3">
      <w:pPr>
        <w:pStyle w:val="CommentText"/>
        <w:bidi w:val="0"/>
        <w:rPr>
          <w:rFonts w:ascii="Times New Roman" w:hAnsi="Times New Roman"/>
          <w:sz w:val="24"/>
          <w:szCs w:val="24"/>
        </w:rPr>
      </w:pPr>
      <w:r w:rsidRPr="00C3452A">
        <w:rPr>
          <w:rFonts w:ascii="Times New Roman" w:hAnsi="Times New Roman"/>
          <w:sz w:val="24"/>
          <w:szCs w:val="24"/>
        </w:rPr>
        <w:tab/>
        <w:t xml:space="preserve">Novela zákona na jednej strane  posilňuje stabilitu podnikateľského prostredia, pričom však reaguje aj na podnety malých a stredných podnikateľov, ktorí majú záujem podnikať v poľnohospodárstve a zabezpečuje im ľahšie podmienky prístupu k prenájmu poľnohospodárskej pôdy. Novela zákona reaguje na tieto požiadavky a vypúšťa doterajšiu úpravu automatickej obnovy nájomného vzťahu, nakoľko táto úprava spôsobovala nájomcom, ako aj prenajímateľom v praxi problémy, najmä z hľadiska záťaže sledovania doby trvania nájomných zmlúv, vyzývania jednej alebo druhej zmluvnej strany na vrátenie a prevzatie pozemku resp. dochádzalo aj  k ďalšiemu prenajatiu pozemkov bez toho, aby o zákonom ustanovenej povinnosti mala zmluvná strana vedomosť. Ďalším dôvodom, pre ktoré sa inštitút automatickej obnovy nájmu pozemkov vypúšťa, sú aj značné komplikácie, ktoré vznikali v súvislosti s  poskytovaním  priamych platieb na plochu, keď si nárok na túto podporu uplatňuje tak doterajší nájomca titulom automatickej obnovy nájomného vzťahu, ako aj subjekt s ktorým prenajímateľ uzatvoril novú nájomnú zmluvu. Tento stav si vyžiadal aj kontroly zo  strany Pôdohospodárskej platobnej agentúry (ďalej len „PPA“) priamo na mieste, pričom jeden takýto výjazd predstavoval pre PPA náklady v sume cca 450 až 500 Eur.  </w:t>
      </w:r>
    </w:p>
    <w:p w:rsidR="00581CC3" w:rsidRPr="00C3452A" w:rsidP="00581CC3">
      <w:pPr>
        <w:pStyle w:val="CommentText"/>
        <w:bidi w:val="0"/>
        <w:rPr>
          <w:rFonts w:ascii="Times New Roman" w:hAnsi="Times New Roman"/>
          <w:sz w:val="24"/>
          <w:szCs w:val="24"/>
        </w:rPr>
      </w:pPr>
      <w:r w:rsidRPr="00C3452A">
        <w:rPr>
          <w:rFonts w:ascii="Times New Roman" w:hAnsi="Times New Roman"/>
          <w:sz w:val="24"/>
          <w:szCs w:val="24"/>
        </w:rPr>
        <w:tab/>
        <w:t>Novela  zároveň precizuje doterajšiu úpravu týkajúcu sa vzniku podnájomných vzťahov v prípadoch, ak nájomca užíva pozemky, kde sa zmluvný nájom skončil alebo sa má skončiť a pozemky sú neprístupné alebo ich nemožno racionálne užívať. V takom prípade je nájomca povinný s vlastníkom (ďalej len „doterajší prenajímateľ") uzatvoriť na základe jeho písomnej žiadosti podnájomnú zmluvu k pozemkom, ktoré má prenajaté,  a to v primeranej výmere a bonite.  Okrem doterajších inštitútov (dohoda účastníkov o vzniku podnájomného vzťahu, rozhodnutie správneho orgánu o vzniku podnájomného vzťahu) novela zákona zavádza možnosť, aby o postup podľa ustanovenia § 12a ods. 1 až 16 mohla požiadať aj fyzická alebo právnická osoba, ktorá má s doterajším prenajímateľom uzavretú nájomnú zmluvu na nové obdobie, pričom v takomto prípade by podnájomný vzťah vznikol už priamo v prospech takéhoto subjektu, ktorého zákon za účelom odlíšenia jednotlivých účastníkov takýchto vzťahov označuje ako budúceho obhospodarovateľa.</w:t>
      </w:r>
    </w:p>
    <w:p w:rsidR="00581CC3" w:rsidRPr="00C3452A" w:rsidP="00581CC3">
      <w:pPr>
        <w:pStyle w:val="CommentText"/>
        <w:bidi w:val="0"/>
        <w:ind w:firstLine="567"/>
        <w:rPr>
          <w:rFonts w:ascii="Times New Roman" w:hAnsi="Times New Roman"/>
          <w:sz w:val="24"/>
          <w:szCs w:val="24"/>
        </w:rPr>
      </w:pPr>
      <w:r w:rsidRPr="00C3452A">
        <w:rPr>
          <w:rFonts w:ascii="Times New Roman" w:hAnsi="Times New Roman"/>
          <w:sz w:val="24"/>
          <w:szCs w:val="24"/>
        </w:rPr>
        <w:t>V nadväznosti na vypustenie ustanovenia § 12 ods. 1 zakotvujúceho automatickú obnovu nájomnej zmluvy novela zákona modifikuje aj ustanovenia o prednostnom práve na nájom, keď definuje prípady, kedy sa toto právo pri uzatváraní nových nájomných zmlúv neuplatní a  v novom odseku 3 § 13 upresňuje mechanizmus realizácie tohto prednostného práva. V prípade nerešpektovania prednostného práva na nájom sa právny úkon prenajímateľa považuje za  neplatný, pokiaľ sa ten, kto je takýmto úkonom dotknutý (nájomca), neplatnosti právneho úkonu dovolá. Novela precizuje povinnosť nájomcu viesť evidenciu pozemkov, ktoré vlastní a má prenajaté, ako aj povinnosť viesť a uchovávať evidenciu o dohodnutom a zaplatenom nájomnom. Informácie z takto evidovaných údajov budú pre potreby zavedenia väčšej prehľadnosti slúžiť pre rozhodovanie okresných úradov napr. v prípadoch určenia vydania rozhodnutia o vzniku podnájomného vzťahu, zverejňovanie obvyklej výšky nájomného,</w:t>
      </w:r>
      <w:r w:rsidRPr="00C3452A">
        <w:rPr>
          <w:rFonts w:ascii="Times New Roman" w:hAnsi="Times New Roman"/>
          <w:color w:val="FF0000"/>
          <w:sz w:val="24"/>
          <w:szCs w:val="24"/>
        </w:rPr>
        <w:t xml:space="preserve">  </w:t>
      </w:r>
      <w:r w:rsidRPr="00C3452A">
        <w:rPr>
          <w:rFonts w:ascii="Times New Roman" w:hAnsi="Times New Roman"/>
          <w:sz w:val="24"/>
          <w:szCs w:val="24"/>
        </w:rPr>
        <w:t xml:space="preserve">ako aj PPA v súvislosti s prideľovaním dotácií.  </w:t>
      </w:r>
    </w:p>
    <w:p w:rsidR="00581CC3" w:rsidRPr="00C3452A" w:rsidP="00581CC3">
      <w:pPr>
        <w:pStyle w:val="CommentText"/>
        <w:bidi w:val="0"/>
        <w:ind w:firstLine="567"/>
        <w:rPr>
          <w:rFonts w:ascii="Times New Roman" w:eastAsia="MS Mincho" w:hAnsi="Times New Roman" w:hint="default"/>
          <w:sz w:val="24"/>
          <w:szCs w:val="24"/>
          <w:lang w:eastAsia="cs-CZ"/>
        </w:rPr>
      </w:pPr>
      <w:r w:rsidRPr="00C3452A">
        <w:rPr>
          <w:rFonts w:ascii="Times New Roman" w:eastAsia="MS Mincho" w:hAnsi="Times New Roman" w:hint="default"/>
          <w:sz w:val="24"/>
          <w:szCs w:val="24"/>
          <w:lang w:eastAsia="cs-CZ"/>
        </w:rPr>
        <w:t>Dá</w:t>
      </w:r>
      <w:r w:rsidRPr="00C3452A">
        <w:rPr>
          <w:rFonts w:ascii="Times New Roman" w:eastAsia="MS Mincho" w:hAnsi="Times New Roman" w:hint="default"/>
          <w:sz w:val="24"/>
          <w:szCs w:val="24"/>
          <w:lang w:eastAsia="cs-CZ"/>
        </w:rPr>
        <w:t>tum nadobudnutia úč</w:t>
      </w:r>
      <w:r w:rsidRPr="00C3452A">
        <w:rPr>
          <w:rFonts w:ascii="Times New Roman" w:eastAsia="MS Mincho" w:hAnsi="Times New Roman" w:hint="default"/>
          <w:sz w:val="24"/>
          <w:szCs w:val="24"/>
          <w:lang w:eastAsia="cs-CZ"/>
        </w:rPr>
        <w:t>innosti je navrhnutý</w:t>
      </w:r>
      <w:r w:rsidRPr="00C3452A">
        <w:rPr>
          <w:rFonts w:ascii="Times New Roman" w:eastAsia="MS Mincho" w:hAnsi="Times New Roman" w:hint="default"/>
          <w:sz w:val="24"/>
          <w:szCs w:val="24"/>
          <w:lang w:eastAsia="cs-CZ"/>
        </w:rPr>
        <w:t xml:space="preserve"> tak, aby adres</w:t>
      </w:r>
      <w:r w:rsidRPr="00C3452A">
        <w:rPr>
          <w:rFonts w:ascii="Times New Roman" w:eastAsia="MS Mincho" w:hAnsi="Times New Roman" w:hint="default"/>
          <w:sz w:val="24"/>
          <w:szCs w:val="24"/>
          <w:lang w:eastAsia="cs-CZ"/>
        </w:rPr>
        <w:t>á</w:t>
      </w:r>
      <w:r w:rsidRPr="00C3452A">
        <w:rPr>
          <w:rFonts w:ascii="Times New Roman" w:eastAsia="MS Mincho" w:hAnsi="Times New Roman" w:hint="default"/>
          <w:sz w:val="24"/>
          <w:szCs w:val="24"/>
          <w:lang w:eastAsia="cs-CZ"/>
        </w:rPr>
        <w:t>ti zá</w:t>
      </w:r>
      <w:r w:rsidRPr="00C3452A">
        <w:rPr>
          <w:rFonts w:ascii="Times New Roman" w:eastAsia="MS Mincho" w:hAnsi="Times New Roman" w:hint="default"/>
          <w:sz w:val="24"/>
          <w:szCs w:val="24"/>
          <w:lang w:eastAsia="cs-CZ"/>
        </w:rPr>
        <w:t>kona mali dostatok č</w:t>
      </w:r>
      <w:r w:rsidRPr="00C3452A">
        <w:rPr>
          <w:rFonts w:ascii="Times New Roman" w:eastAsia="MS Mincho" w:hAnsi="Times New Roman" w:hint="default"/>
          <w:sz w:val="24"/>
          <w:szCs w:val="24"/>
          <w:lang w:eastAsia="cs-CZ"/>
        </w:rPr>
        <w:t>asu   na  </w:t>
      </w:r>
      <w:r w:rsidRPr="00C3452A">
        <w:rPr>
          <w:rFonts w:ascii="Times New Roman" w:eastAsia="MS Mincho" w:hAnsi="Times New Roman" w:hint="default"/>
          <w:sz w:val="24"/>
          <w:szCs w:val="24"/>
          <w:lang w:eastAsia="cs-CZ"/>
        </w:rPr>
        <w:t>obozná</w:t>
      </w:r>
      <w:r w:rsidRPr="00C3452A">
        <w:rPr>
          <w:rFonts w:ascii="Times New Roman" w:eastAsia="MS Mincho" w:hAnsi="Times New Roman" w:hint="default"/>
          <w:sz w:val="24"/>
          <w:szCs w:val="24"/>
          <w:lang w:eastAsia="cs-CZ"/>
        </w:rPr>
        <w:t>menie sa s </w:t>
      </w:r>
      <w:r w:rsidRPr="00C3452A">
        <w:rPr>
          <w:rFonts w:ascii="Times New Roman" w:eastAsia="MS Mincho" w:hAnsi="Times New Roman" w:hint="default"/>
          <w:sz w:val="24"/>
          <w:szCs w:val="24"/>
          <w:lang w:eastAsia="cs-CZ"/>
        </w:rPr>
        <w:t>novou prá</w:t>
      </w:r>
      <w:r w:rsidRPr="00C3452A">
        <w:rPr>
          <w:rFonts w:ascii="Times New Roman" w:eastAsia="MS Mincho" w:hAnsi="Times New Roman" w:hint="default"/>
          <w:sz w:val="24"/>
          <w:szCs w:val="24"/>
          <w:lang w:eastAsia="cs-CZ"/>
        </w:rPr>
        <w:t>vnou ú</w:t>
      </w:r>
      <w:r w:rsidRPr="00C3452A">
        <w:rPr>
          <w:rFonts w:ascii="Times New Roman" w:eastAsia="MS Mincho" w:hAnsi="Times New Roman" w:hint="default"/>
          <w:sz w:val="24"/>
          <w:szCs w:val="24"/>
          <w:lang w:eastAsia="cs-CZ"/>
        </w:rPr>
        <w:t>pravou.</w:t>
      </w:r>
    </w:p>
    <w:p w:rsidR="00581CC3" w:rsidRPr="00C3452A" w:rsidP="00581CC3">
      <w:pPr>
        <w:pStyle w:val="text"/>
        <w:widowControl w:val="0"/>
        <w:bidi w:val="0"/>
        <w:ind w:left="0" w:firstLine="567"/>
        <w:rPr>
          <w:rFonts w:ascii="Times New Roman" w:eastAsia="MS Mincho" w:hAnsi="Times New Roman"/>
          <w:lang w:eastAsia="cs-CZ"/>
        </w:rPr>
      </w:pPr>
      <w:r w:rsidRPr="00C3452A">
        <w:rPr>
          <w:rFonts w:ascii="Times New Roman" w:eastAsia="MS Mincho" w:hAnsi="Times New Roman" w:hint="default"/>
          <w:lang w:val="x-none" w:eastAsia="cs-CZ"/>
        </w:rPr>
        <w:t>Ná</w:t>
      </w:r>
      <w:r w:rsidRPr="00C3452A">
        <w:rPr>
          <w:rFonts w:ascii="Times New Roman" w:eastAsia="MS Mincho" w:hAnsi="Times New Roman" w:hint="default"/>
          <w:lang w:val="x-none" w:eastAsia="cs-CZ"/>
        </w:rPr>
        <w:t>vrh zá</w:t>
      </w:r>
      <w:r w:rsidRPr="00C3452A">
        <w:rPr>
          <w:rFonts w:ascii="Times New Roman" w:eastAsia="MS Mincho" w:hAnsi="Times New Roman" w:hint="default"/>
          <w:lang w:val="x-none" w:eastAsia="cs-CZ"/>
        </w:rPr>
        <w:t>kona nebude predmetom vnú</w:t>
      </w:r>
      <w:r w:rsidRPr="00C3452A">
        <w:rPr>
          <w:rFonts w:ascii="Times New Roman" w:eastAsia="MS Mincho" w:hAnsi="Times New Roman" w:hint="default"/>
          <w:lang w:val="x-none" w:eastAsia="cs-CZ"/>
        </w:rPr>
        <w:t>trokomunitá</w:t>
      </w:r>
      <w:r w:rsidRPr="00C3452A">
        <w:rPr>
          <w:rFonts w:ascii="Times New Roman" w:eastAsia="MS Mincho" w:hAnsi="Times New Roman" w:hint="default"/>
          <w:lang w:val="x-none" w:eastAsia="cs-CZ"/>
        </w:rPr>
        <w:t>rneho pripomienkové</w:t>
      </w:r>
      <w:r w:rsidRPr="00C3452A">
        <w:rPr>
          <w:rFonts w:ascii="Times New Roman" w:eastAsia="MS Mincho" w:hAnsi="Times New Roman" w:hint="default"/>
          <w:lang w:val="x-none" w:eastAsia="cs-CZ"/>
        </w:rPr>
        <w:t>ho konania.</w:t>
      </w:r>
    </w:p>
    <w:p w:rsidR="00581CC3" w:rsidRPr="00C3452A" w:rsidP="00581CC3">
      <w:pPr>
        <w:pStyle w:val="text"/>
        <w:widowControl w:val="0"/>
        <w:bidi w:val="0"/>
        <w:ind w:left="0" w:firstLine="567"/>
        <w:rPr>
          <w:rFonts w:ascii="Times New Roman" w:eastAsia="MS Mincho" w:hAnsi="Times New Roman"/>
          <w:lang w:val="x-none" w:eastAsia="cs-CZ"/>
        </w:rPr>
      </w:pPr>
      <w:r w:rsidRPr="00C3452A">
        <w:rPr>
          <w:rFonts w:ascii="Times New Roman" w:hAnsi="Times New Roman"/>
        </w:rPr>
        <w:t>Návrh zákona bude mať negatívny vplyv na štátny rozpočet. Bude mať pozitívny a negatívny vplyv na  podnikateľské prostredie, a pozitívny vplyv na služby verejnej správy pre občanov a na informatizáciu spoločnosti. Nebude mať  sociálne vplyvy ani vplyv na životné prostredie.</w:t>
      </w:r>
    </w:p>
    <w:p w:rsidR="00581CC3" w:rsidRPr="00C3452A" w:rsidP="00581CC3">
      <w:pPr>
        <w:pStyle w:val="text"/>
        <w:widowControl w:val="0"/>
        <w:bidi w:val="0"/>
        <w:ind w:left="0" w:firstLine="567"/>
        <w:rPr>
          <w:rFonts w:ascii="Times New Roman" w:hAnsi="Times New Roman"/>
        </w:rPr>
      </w:pPr>
      <w:r w:rsidRPr="00C3452A">
        <w:rPr>
          <w:rFonts w:ascii="Times New Roman" w:hAnsi="Times New Roman"/>
        </w:rPr>
        <w:t>Návrh zákona je v súlade s Ústavou Slovenskej republiky</w:t>
      </w:r>
      <w:r w:rsidRPr="00C3452A">
        <w:rPr>
          <w:rFonts w:ascii="Times New Roman" w:hAnsi="Times New Roman"/>
          <w:lang w:eastAsia="x-none"/>
        </w:rPr>
        <w:t xml:space="preserve">, ústavnými zákonmi, nálezmi ústavného súdu, zákonmi a ostatnými </w:t>
      </w:r>
      <w:r w:rsidRPr="00C3452A">
        <w:rPr>
          <w:rFonts w:ascii="Times New Roman" w:hAnsi="Times New Roman"/>
        </w:rPr>
        <w:t>všeobecne záväznými právnymi predpismi</w:t>
      </w:r>
      <w:r w:rsidRPr="00C3452A">
        <w:rPr>
          <w:rFonts w:ascii="Times New Roman" w:hAnsi="Times New Roman"/>
          <w:lang w:eastAsia="x-none"/>
        </w:rPr>
        <w:t>,</w:t>
      </w:r>
      <w:r w:rsidRPr="00C3452A">
        <w:rPr>
          <w:rFonts w:ascii="Times New Roman" w:hAnsi="Times New Roman"/>
        </w:rPr>
        <w:t xml:space="preserve"> medzinárodnými zmluvami</w:t>
      </w:r>
      <w:r w:rsidRPr="00C3452A">
        <w:rPr>
          <w:rFonts w:ascii="Times New Roman" w:hAnsi="Times New Roman"/>
          <w:lang w:eastAsia="x-none"/>
        </w:rPr>
        <w:t xml:space="preserve"> a inými medzinárodnými dokumentmi</w:t>
      </w:r>
      <w:r w:rsidRPr="00C3452A">
        <w:rPr>
          <w:rFonts w:ascii="Times New Roman" w:hAnsi="Times New Roman"/>
        </w:rPr>
        <w:t>, ktorými je Slovenská republika viazaná</w:t>
      </w:r>
      <w:r w:rsidRPr="00C3452A">
        <w:rPr>
          <w:rFonts w:ascii="Times New Roman" w:hAnsi="Times New Roman"/>
          <w:lang w:eastAsia="x-none"/>
        </w:rPr>
        <w:t>, ako aj s právnymi aktmi Európskej únie.</w:t>
      </w:r>
      <w:r w:rsidRPr="00C3452A">
        <w:rPr>
          <w:rFonts w:ascii="Times New Roman" w:hAnsi="Times New Roman"/>
        </w:rPr>
        <w:t xml:space="preserve"> </w:t>
      </w:r>
    </w:p>
    <w:p w:rsidR="00581CC3" w:rsidRPr="00C3452A" w:rsidP="00581CC3">
      <w:pPr>
        <w:pStyle w:val="text"/>
        <w:widowControl w:val="0"/>
        <w:bidi w:val="0"/>
        <w:ind w:left="0" w:firstLine="567"/>
        <w:rPr>
          <w:rFonts w:ascii="Times New Roman" w:hAnsi="Times New Roman"/>
        </w:rPr>
      </w:pPr>
    </w:p>
    <w:p w:rsidR="00581CC3" w:rsidRPr="00C3452A" w:rsidP="00581CC3">
      <w:pPr>
        <w:bidi w:val="0"/>
        <w:jc w:val="center"/>
        <w:rPr>
          <w:rFonts w:ascii="Times New Roman" w:hAnsi="Times New Roman"/>
          <w:b/>
          <w:caps/>
          <w:spacing w:val="30"/>
        </w:rPr>
      </w:pPr>
      <w:r w:rsidRPr="00C3452A">
        <w:rPr>
          <w:rFonts w:ascii="Times New Roman" w:hAnsi="Times New Roman"/>
          <w:b/>
          <w:caps/>
          <w:spacing w:val="30"/>
        </w:rPr>
        <w:t>Doložka zlučiteľnosti</w:t>
      </w:r>
    </w:p>
    <w:p w:rsidR="00581CC3" w:rsidRPr="00C3452A" w:rsidP="00581CC3">
      <w:pPr>
        <w:bidi w:val="0"/>
        <w:jc w:val="center"/>
        <w:rPr>
          <w:rFonts w:ascii="Times New Roman" w:hAnsi="Times New Roman"/>
          <w:b/>
        </w:rPr>
      </w:pPr>
      <w:r w:rsidRPr="00C3452A">
        <w:rPr>
          <w:rFonts w:ascii="Times New Roman" w:hAnsi="Times New Roman"/>
          <w:b/>
        </w:rPr>
        <w:t>návrhu právneho predpisu s právom Európskej únie</w:t>
      </w:r>
    </w:p>
    <w:p w:rsidR="00581CC3" w:rsidRPr="00C3452A" w:rsidP="00581CC3">
      <w:pPr>
        <w:bidi w:val="0"/>
        <w:jc w:val="center"/>
        <w:rPr>
          <w:rFonts w:ascii="Times New Roman" w:hAnsi="Times New Roman"/>
          <w:b/>
        </w:rPr>
      </w:pPr>
    </w:p>
    <w:p w:rsidR="00581CC3" w:rsidRPr="00C3452A" w:rsidP="00581CC3">
      <w:pPr>
        <w:bidi w:val="0"/>
        <w:jc w:val="center"/>
        <w:rPr>
          <w:rFonts w:ascii="Times New Roman" w:hAnsi="Times New Roman"/>
          <w:b/>
        </w:rPr>
      </w:pP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4"/>
        <w:gridCol w:w="8918"/>
        <w:gridCol w:w="709"/>
      </w:tblGrid>
      <w:tr>
        <w:tblPrEx>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gridAfter w:val="1"/>
          <w:wAfter w:w="709" w:type="dxa"/>
        </w:trPr>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r w:rsidRPr="00C3452A">
              <w:rPr>
                <w:rFonts w:ascii="Times New Roman" w:hAnsi="Times New Roman"/>
                <w:b/>
                <w:sz w:val="22"/>
                <w:szCs w:val="22"/>
              </w:rPr>
              <w:t>1.</w:t>
            </w:r>
          </w:p>
        </w:tc>
        <w:tc>
          <w:tcPr>
            <w:tcW w:w="8918"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r w:rsidRPr="00C3452A">
              <w:rPr>
                <w:rFonts w:ascii="Times New Roman" w:hAnsi="Times New Roman"/>
                <w:b/>
                <w:sz w:val="22"/>
                <w:szCs w:val="22"/>
              </w:rPr>
              <w:t xml:space="preserve">Predkladateľ návrhu právneho predpisu: </w:t>
            </w:r>
            <w:r w:rsidR="00E26A21">
              <w:rPr>
                <w:rFonts w:ascii="Times New Roman" w:hAnsi="Times New Roman"/>
                <w:sz w:val="22"/>
                <w:szCs w:val="22"/>
              </w:rPr>
              <w:fldChar w:fldCharType="begin"/>
            </w:r>
            <w:r w:rsidR="00E26A21">
              <w:rPr>
                <w:rFonts w:ascii="Times New Roman" w:hAnsi="Times New Roman"/>
                <w:sz w:val="22"/>
                <w:szCs w:val="22"/>
              </w:rPr>
              <w:instrText xml:space="preserve"> DOCPROPERTY  FSC#SKEDITIONSLOVLEX@103.510:zodpinstitucia  \* MERGEFORMAT </w:instrText>
            </w:r>
            <w:r w:rsidR="00E26A21">
              <w:rPr>
                <w:rFonts w:ascii="Times New Roman" w:hAnsi="Times New Roman"/>
                <w:sz w:val="22"/>
                <w:szCs w:val="22"/>
              </w:rPr>
              <w:fldChar w:fldCharType="separate"/>
            </w:r>
            <w:r w:rsidRPr="00C3452A">
              <w:rPr>
                <w:rFonts w:ascii="Times New Roman" w:hAnsi="Times New Roman"/>
                <w:sz w:val="22"/>
                <w:szCs w:val="22"/>
              </w:rPr>
              <w:t>Ministerstvo pôdohospodárstva a rozvoja vidieka Slovenskej republiky</w:t>
            </w:r>
            <w:r w:rsidR="00E26A21">
              <w:rPr>
                <w:rFonts w:ascii="Times New Roman" w:hAnsi="Times New Roman"/>
                <w:sz w:val="22"/>
                <w:szCs w:val="22"/>
              </w:rPr>
              <w:fldChar w:fldCharType="end"/>
            </w:r>
          </w:p>
        </w:tc>
      </w:tr>
      <w:tr>
        <w:tblPrEx>
          <w:tblW w:w="10031" w:type="dxa"/>
          <w:tblLook w:val="04A0"/>
        </w:tblPrEx>
        <w:trPr>
          <w:gridAfter w:val="1"/>
          <w:wAfter w:w="709" w:type="dxa"/>
        </w:trPr>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c>
          <w:tcPr>
            <w:tcW w:w="8918"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p>
        </w:tc>
      </w:tr>
      <w:tr>
        <w:tblPrEx>
          <w:tblW w:w="10031" w:type="dxa"/>
          <w:tblLook w:val="04A0"/>
        </w:tblPrEx>
        <w:trPr>
          <w:gridAfter w:val="1"/>
          <w:wAfter w:w="709" w:type="dxa"/>
        </w:trPr>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r w:rsidRPr="00C3452A">
              <w:rPr>
                <w:rFonts w:ascii="Times New Roman" w:hAnsi="Times New Roman"/>
                <w:b/>
                <w:sz w:val="22"/>
                <w:szCs w:val="22"/>
              </w:rPr>
              <w:t>2.</w:t>
            </w:r>
          </w:p>
        </w:tc>
        <w:tc>
          <w:tcPr>
            <w:tcW w:w="8918"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shd w:val="clear" w:color="auto" w:fill="FFFFFF"/>
              <w:bidi w:val="0"/>
              <w:spacing w:before="100" w:beforeAutospacing="1" w:after="100" w:afterAutospacing="1"/>
              <w:outlineLvl w:val="0"/>
              <w:rPr>
                <w:rFonts w:ascii="Times New Roman" w:hAnsi="Times New Roman"/>
                <w:b/>
                <w:bCs/>
                <w:color w:val="070707"/>
                <w:kern w:val="36"/>
                <w:sz w:val="22"/>
                <w:szCs w:val="22"/>
              </w:rPr>
            </w:pPr>
            <w:r w:rsidRPr="00C3452A">
              <w:rPr>
                <w:rFonts w:ascii="Times New Roman" w:hAnsi="Times New Roman"/>
                <w:b/>
                <w:sz w:val="22"/>
                <w:szCs w:val="22"/>
              </w:rPr>
              <w:t>Názov návrhu právneho predpisu:</w:t>
            </w:r>
            <w:r w:rsidRPr="00C3452A">
              <w:rPr>
                <w:rFonts w:ascii="Times New Roman" w:hAnsi="Times New Roman"/>
                <w:b/>
                <w:sz w:val="22"/>
                <w:szCs w:val="22"/>
              </w:rPr>
              <w:fldChar w:fldCharType="begin"/>
            </w:r>
            <w:r w:rsidRPr="00C3452A">
              <w:rPr>
                <w:rFonts w:ascii="Times New Roman" w:hAnsi="Times New Roman"/>
                <w:b/>
                <w:sz w:val="22"/>
                <w:szCs w:val="22"/>
              </w:rPr>
              <w:instrText xml:space="preserve"> DOCPROPERTY  FSC#SKEDITIONSLOVLEX@103.510:plnynazovpredpis  \* MERGEFORMAT </w:instrText>
            </w:r>
            <w:r w:rsidRPr="00C3452A">
              <w:rPr>
                <w:rFonts w:ascii="Times New Roman" w:hAnsi="Times New Roman"/>
                <w:b/>
                <w:sz w:val="22"/>
                <w:szCs w:val="22"/>
              </w:rPr>
              <w:fldChar w:fldCharType="separate"/>
            </w:r>
            <w:r w:rsidRPr="00EA6661">
              <w:rPr>
                <w:rFonts w:ascii="Times New Roman" w:hAnsi="Times New Roman"/>
                <w:b/>
                <w:sz w:val="22"/>
                <w:szCs w:val="22"/>
              </w:rPr>
              <w:t xml:space="preserve"> Návrh zákona, </w:t>
            </w:r>
            <w:r w:rsidRPr="00EA6661">
              <w:rPr>
                <w:rFonts w:ascii="Times New Roman" w:hAnsi="Times New Roman"/>
                <w:b/>
                <w:bCs/>
                <w:sz w:val="22"/>
                <w:szCs w:val="22"/>
              </w:rPr>
              <w:t>ktorým sa mení a dopĺňa zákon č. </w:t>
            </w:r>
            <w:hyperlink r:id="rId5" w:tooltip="Odkaz na predpis alebo ustanovenie" w:history="1">
              <w:r w:rsidRPr="00EA6661">
                <w:rPr>
                  <w:rFonts w:ascii="Times New Roman" w:hAnsi="Times New Roman"/>
                  <w:b/>
                  <w:bCs/>
                  <w:iCs/>
                  <w:sz w:val="22"/>
                  <w:szCs w:val="22"/>
                </w:rPr>
                <w:t>504/2003 Z.</w:t>
              </w:r>
            </w:hyperlink>
            <w:r w:rsidRPr="00EA6661">
              <w:rPr>
                <w:rFonts w:ascii="Times New Roman" w:hAnsi="Times New Roman"/>
                <w:b/>
                <w:bCs/>
                <w:iCs/>
                <w:sz w:val="22"/>
                <w:szCs w:val="22"/>
              </w:rPr>
              <w:t xml:space="preserve"> z. </w:t>
            </w:r>
            <w:r w:rsidRPr="00EA6661">
              <w:rPr>
                <w:rFonts w:ascii="Times New Roman" w:hAnsi="Times New Roman"/>
                <w:b/>
                <w:bCs/>
                <w:color w:val="070707"/>
                <w:kern w:val="36"/>
                <w:sz w:val="22"/>
                <w:szCs w:val="22"/>
              </w:rPr>
              <w:t xml:space="preserve">o nájme poľnohospodárskych pozemkov, poľnohospodárskeho podniku a lesných pozemkov a o zmene niektorých zákonov </w:t>
            </w:r>
            <w:r w:rsidRPr="00EA6661">
              <w:rPr>
                <w:rFonts w:ascii="Times New Roman" w:hAnsi="Times New Roman"/>
                <w:b/>
                <w:bCs/>
                <w:sz w:val="22"/>
                <w:szCs w:val="22"/>
              </w:rPr>
              <w:t xml:space="preserve">v znení neskorších predpisov </w:t>
            </w:r>
            <w:r w:rsidRPr="00EA6661">
              <w:rPr>
                <w:rFonts w:ascii="Times New Roman" w:hAnsi="Times New Roman"/>
                <w:b/>
                <w:sz w:val="22"/>
                <w:szCs w:val="22"/>
              </w:rPr>
              <w:t xml:space="preserve">a ktorým sa mení zákon č. 24/2015 Z. z., </w:t>
            </w:r>
            <w:r w:rsidRPr="00EA6661">
              <w:rPr>
                <w:rFonts w:ascii="Times New Roman" w:hAnsi="Times New Roman"/>
                <w:b/>
                <w:sz w:val="22"/>
                <w:szCs w:val="22"/>
                <w:shd w:val="clear" w:color="auto" w:fill="FFFFFF"/>
              </w:rPr>
              <w:t>ktorým sa mení a dopĺňa zákon Národnej rady Slovenskej republiky č. 180/1995 Z. z.</w:t>
            </w:r>
            <w:r w:rsidRPr="00EA6661">
              <w:rPr>
                <w:rFonts w:ascii="Times New Roman" w:hAnsi="Times New Roman"/>
                <w:b/>
                <w:sz w:val="22"/>
                <w:szCs w:val="22"/>
              </w:rPr>
              <w:t xml:space="preserve"> </w:t>
            </w:r>
            <w:r w:rsidRPr="00EA6661">
              <w:rPr>
                <w:rFonts w:ascii="Times New Roman" w:hAnsi="Times New Roman"/>
                <w:b/>
                <w:sz w:val="22"/>
                <w:szCs w:val="22"/>
                <w:shd w:val="clear" w:color="auto" w:fill="FFFFFF"/>
              </w:rPr>
              <w:t>o niektorých opatreniach na usporiadanie vlastníctva k pozemkom v znení neskorších predpisov a ktorým sa dopĺňa zákon č. 504/2003 Z. z. o nájme poľnohospodárskych pozemkov, poľnohospodárskeho podniku a lesných pozemkov a o zmene niektorých zákonov v znení neskorších predpisov</w:t>
            </w:r>
          </w:p>
          <w:p w:rsidR="00581CC3" w:rsidRPr="00C3452A" w:rsidP="00020905">
            <w:pPr>
              <w:tabs>
                <w:tab w:val="left" w:pos="360"/>
              </w:tabs>
              <w:bidi w:val="0"/>
              <w:rPr>
                <w:rFonts w:ascii="Times New Roman" w:hAnsi="Times New Roman"/>
                <w:b/>
                <w:sz w:val="22"/>
                <w:szCs w:val="22"/>
              </w:rPr>
            </w:pPr>
            <w:r w:rsidRPr="00C3452A">
              <w:rPr>
                <w:rFonts w:ascii="Times New Roman" w:hAnsi="Times New Roman"/>
                <w:b/>
                <w:sz w:val="22"/>
                <w:szCs w:val="22"/>
              </w:rPr>
              <w:fldChar w:fldCharType="end"/>
            </w:r>
            <w:r w:rsidRPr="00C3452A">
              <w:rPr>
                <w:rFonts w:ascii="Times New Roman" w:hAnsi="Times New Roman"/>
                <w:b/>
                <w:sz w:val="22"/>
                <w:szCs w:val="22"/>
              </w:rPr>
              <w:fldChar w:fldCharType="begin"/>
            </w:r>
            <w:r w:rsidRPr="00C3452A">
              <w:rPr>
                <w:rFonts w:ascii="Times New Roman" w:hAnsi="Times New Roman"/>
                <w:b/>
                <w:sz w:val="22"/>
                <w:szCs w:val="22"/>
              </w:rPr>
              <w:instrText xml:space="preserve"> DOCPROPERTY  FSC#SKEDITIONSLOVLEX@103.510:plnynazovpredpis1  \* MERGEFORMAT </w:instrText>
            </w:r>
            <w:r w:rsidRPr="00C3452A">
              <w:rPr>
                <w:rFonts w:ascii="Times New Roman" w:hAnsi="Times New Roman"/>
                <w:b/>
                <w:sz w:val="22"/>
                <w:szCs w:val="22"/>
              </w:rPr>
              <w:fldChar w:fldCharType="separate"/>
            </w:r>
            <w:r w:rsidRPr="00C3452A">
              <w:rPr>
                <w:rFonts w:ascii="Times New Roman" w:hAnsi="Times New Roman"/>
                <w:b/>
                <w:sz w:val="22"/>
                <w:szCs w:val="22"/>
              </w:rPr>
              <w:fldChar w:fldCharType="end"/>
            </w:r>
            <w:r w:rsidRPr="00C3452A">
              <w:rPr>
                <w:rFonts w:ascii="Times New Roman" w:hAnsi="Times New Roman"/>
                <w:b/>
                <w:sz w:val="22"/>
                <w:szCs w:val="22"/>
              </w:rPr>
              <w:fldChar w:fldCharType="begin"/>
            </w:r>
            <w:r w:rsidRPr="00C3452A">
              <w:rPr>
                <w:rFonts w:ascii="Times New Roman" w:hAnsi="Times New Roman"/>
                <w:b/>
                <w:sz w:val="22"/>
                <w:szCs w:val="22"/>
              </w:rPr>
              <w:instrText xml:space="preserve"> DOCPROPERTY  FSC#SKEDITIONSLOVLEX@103.510:plnynazovpredpis2  \* MERGEFORMAT </w:instrText>
            </w:r>
            <w:r w:rsidRPr="00C3452A">
              <w:rPr>
                <w:rFonts w:ascii="Times New Roman" w:hAnsi="Times New Roman"/>
                <w:b/>
                <w:sz w:val="22"/>
                <w:szCs w:val="22"/>
              </w:rPr>
              <w:fldChar w:fldCharType="separate"/>
            </w:r>
            <w:r w:rsidRPr="00C3452A">
              <w:rPr>
                <w:rFonts w:ascii="Times New Roman" w:hAnsi="Times New Roman"/>
                <w:b/>
                <w:sz w:val="22"/>
                <w:szCs w:val="22"/>
              </w:rPr>
              <w:fldChar w:fldCharType="end"/>
            </w:r>
            <w:r w:rsidRPr="00C3452A">
              <w:rPr>
                <w:rFonts w:ascii="Times New Roman" w:hAnsi="Times New Roman"/>
                <w:b/>
                <w:sz w:val="22"/>
                <w:szCs w:val="22"/>
              </w:rPr>
              <w:fldChar w:fldCharType="begin"/>
            </w:r>
            <w:r w:rsidRPr="00C3452A">
              <w:rPr>
                <w:rFonts w:ascii="Times New Roman" w:hAnsi="Times New Roman"/>
                <w:b/>
                <w:sz w:val="22"/>
                <w:szCs w:val="22"/>
              </w:rPr>
              <w:instrText xml:space="preserve"> DOCPROPERTY  FSC#SKEDITIONSLOVLEX@103.510:plnynazovpredpis3  \* MERGEFORMAT </w:instrText>
            </w:r>
            <w:r w:rsidRPr="00C3452A">
              <w:rPr>
                <w:rFonts w:ascii="Times New Roman" w:hAnsi="Times New Roman"/>
                <w:b/>
                <w:sz w:val="22"/>
                <w:szCs w:val="22"/>
              </w:rPr>
              <w:fldChar w:fldCharType="separate"/>
            </w:r>
            <w:r w:rsidRPr="00C3452A">
              <w:rPr>
                <w:rFonts w:ascii="Times New Roman" w:hAnsi="Times New Roman"/>
                <w:b/>
                <w:sz w:val="22"/>
                <w:szCs w:val="22"/>
              </w:rPr>
              <w:fldChar w:fldCharType="end"/>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c>
          <w:tcPr>
            <w:tcW w:w="9627" w:type="dxa"/>
            <w:gridSpan w:val="2"/>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r>
      <w:tr>
        <w:tblPrEx>
          <w:tblW w:w="10031" w:type="dxa"/>
          <w:tblLook w:val="04A0"/>
        </w:tblPrEx>
        <w:trPr>
          <w:gridAfter w:val="1"/>
          <w:wAfter w:w="709" w:type="dxa"/>
        </w:trPr>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r w:rsidRPr="00C3452A">
              <w:rPr>
                <w:rFonts w:ascii="Times New Roman" w:hAnsi="Times New Roman"/>
                <w:b/>
                <w:sz w:val="22"/>
                <w:szCs w:val="22"/>
              </w:rPr>
              <w:t>3.</w:t>
            </w:r>
          </w:p>
        </w:tc>
        <w:tc>
          <w:tcPr>
            <w:tcW w:w="8918"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r w:rsidRPr="00C3452A">
              <w:rPr>
                <w:rFonts w:ascii="Times New Roman" w:hAnsi="Times New Roman"/>
                <w:b/>
                <w:sz w:val="22"/>
                <w:szCs w:val="22"/>
              </w:rPr>
              <w:t>Problematika návrhu právneho predpisu:</w:t>
            </w:r>
          </w:p>
          <w:p w:rsidR="00581CC3" w:rsidRPr="00C3452A" w:rsidP="00020905">
            <w:pPr>
              <w:tabs>
                <w:tab w:val="left" w:pos="360"/>
              </w:tabs>
              <w:bidi w:val="0"/>
              <w:rPr>
                <w:rFonts w:ascii="Times New Roman" w:hAnsi="Times New Roman"/>
                <w:sz w:val="22"/>
                <w:szCs w:val="22"/>
              </w:rPr>
            </w:pPr>
          </w:p>
        </w:tc>
      </w:tr>
      <w:tr>
        <w:tblPrEx>
          <w:tblW w:w="10031" w:type="dxa"/>
          <w:tblLook w:val="04A0"/>
        </w:tblPrEx>
        <w:trPr>
          <w:gridAfter w:val="1"/>
          <w:wAfter w:w="709" w:type="dxa"/>
        </w:trPr>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c>
          <w:tcPr>
            <w:tcW w:w="8918"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pStyle w:val="ListParagraph"/>
              <w:numPr>
                <w:numId w:val="9"/>
              </w:numPr>
              <w:tabs>
                <w:tab w:val="left" w:pos="360"/>
              </w:tabs>
              <w:bidi w:val="0"/>
              <w:rPr>
                <w:rFonts w:ascii="Times New Roman" w:hAnsi="Times New Roman"/>
                <w:sz w:val="22"/>
                <w:szCs w:val="22"/>
              </w:rPr>
            </w:pPr>
            <w:r w:rsidRPr="00C3452A">
              <w:rPr>
                <w:rFonts w:ascii="Times New Roman" w:hAnsi="Times New Roman"/>
                <w:sz w:val="22"/>
                <w:szCs w:val="22"/>
              </w:rPr>
              <w:t>nie je upravená v práve Európskej únie</w:t>
            </w:r>
          </w:p>
          <w:p w:rsidR="00581CC3" w:rsidRPr="00C3452A" w:rsidP="00020905">
            <w:pPr>
              <w:bidi w:val="0"/>
              <w:rPr>
                <w:rFonts w:ascii="Times New Roman" w:hAnsi="Times New Roman"/>
                <w:i/>
                <w:iCs/>
                <w:sz w:val="22"/>
                <w:szCs w:val="22"/>
              </w:rPr>
            </w:pPr>
            <w:r w:rsidRPr="00C3452A">
              <w:rPr>
                <w:rFonts w:ascii="Times New Roman" w:hAnsi="Times New Roman"/>
                <w:sz w:val="22"/>
                <w:szCs w:val="22"/>
              </w:rPr>
              <w:br/>
            </w:r>
            <w:r w:rsidRPr="00C3452A">
              <w:rPr>
                <w:rFonts w:ascii="Times New Roman" w:hAnsi="Times New Roman"/>
                <w:i/>
                <w:iCs/>
                <w:sz w:val="22"/>
                <w:szCs w:val="22"/>
              </w:rPr>
              <w:t xml:space="preserve">- primárnom </w:t>
            </w:r>
          </w:p>
          <w:p w:rsidR="00581CC3" w:rsidRPr="00C3452A" w:rsidP="00020905">
            <w:pPr>
              <w:bidi w:val="0"/>
              <w:rPr>
                <w:rFonts w:ascii="Times New Roman" w:hAnsi="Times New Roman"/>
                <w:sz w:val="22"/>
                <w:szCs w:val="22"/>
              </w:rPr>
            </w:pPr>
          </w:p>
          <w:p w:rsidR="00581CC3" w:rsidRPr="00C3452A" w:rsidP="00020905">
            <w:pPr>
              <w:bidi w:val="0"/>
              <w:rPr>
                <w:rFonts w:ascii="Times New Roman" w:hAnsi="Times New Roman"/>
                <w:b/>
                <w:sz w:val="22"/>
                <w:szCs w:val="22"/>
              </w:rPr>
            </w:pPr>
            <w:r w:rsidRPr="00C3452A">
              <w:rPr>
                <w:rFonts w:ascii="Times New Roman" w:hAnsi="Times New Roman"/>
                <w:b/>
                <w:sz w:val="22"/>
                <w:szCs w:val="22"/>
              </w:rPr>
              <w:t>čl. 39 ods. 2 písm. a)  Hlava III  Zmluvy o fungovaní Európskej únie</w:t>
            </w:r>
          </w:p>
          <w:p w:rsidR="00581CC3" w:rsidRPr="00C3452A" w:rsidP="00020905">
            <w:pPr>
              <w:bidi w:val="0"/>
              <w:rPr>
                <w:rFonts w:ascii="Times New Roman" w:hAnsi="Times New Roman"/>
                <w:sz w:val="22"/>
                <w:szCs w:val="22"/>
              </w:rPr>
            </w:pPr>
            <w:r w:rsidRPr="00C3452A">
              <w:rPr>
                <w:rFonts w:ascii="Times New Roman" w:hAnsi="Times New Roman"/>
                <w:sz w:val="22"/>
                <w:szCs w:val="22"/>
              </w:rPr>
              <w:br/>
            </w:r>
          </w:p>
          <w:p w:rsidR="00581CC3" w:rsidRPr="00C3452A" w:rsidP="00020905">
            <w:pPr>
              <w:bidi w:val="0"/>
              <w:rPr>
                <w:rFonts w:ascii="Times New Roman" w:hAnsi="Times New Roman"/>
                <w:sz w:val="22"/>
                <w:szCs w:val="22"/>
              </w:rPr>
            </w:pPr>
            <w:r w:rsidRPr="00C3452A">
              <w:rPr>
                <w:rFonts w:ascii="Times New Roman" w:hAnsi="Times New Roman"/>
                <w:i/>
                <w:iCs/>
                <w:sz w:val="22"/>
                <w:szCs w:val="22"/>
              </w:rPr>
              <w:t>- sekundárnom (prijatom po nadobudnutím platnosti Lisabonskej zmluvy, ktorou sa mení a dopĺňa Zmluva o Európskom spoločenstve a Zmluva o Európskej únii – po 30. novembri 2009)</w:t>
            </w:r>
            <w:r w:rsidRPr="00C3452A">
              <w:rPr>
                <w:rFonts w:ascii="Times New Roman" w:hAnsi="Times New Roman"/>
                <w:sz w:val="22"/>
                <w:szCs w:val="22"/>
              </w:rPr>
              <w:br/>
              <w:br/>
              <w:t>1. legislatívne akty: </w:t>
            </w:r>
          </w:p>
          <w:p w:rsidR="00581CC3" w:rsidRPr="00C3452A" w:rsidP="00020905">
            <w:pPr>
              <w:bidi w:val="0"/>
              <w:rPr>
                <w:rStyle w:val="Strong"/>
                <w:rFonts w:ascii="Times New Roman" w:hAnsi="Times New Roman"/>
                <w:color w:val="444444"/>
                <w:sz w:val="22"/>
                <w:szCs w:val="22"/>
                <w:bdr w:val="nil"/>
                <w:shd w:val="clear" w:color="auto" w:fill="FFFFFF"/>
              </w:rPr>
            </w:pPr>
            <w:r w:rsidRPr="00C3452A">
              <w:rPr>
                <w:rFonts w:ascii="Times New Roman" w:hAnsi="Times New Roman"/>
                <w:sz w:val="22"/>
                <w:szCs w:val="22"/>
              </w:rPr>
              <w:t xml:space="preserve">  </w:t>
              <w:br/>
            </w:r>
          </w:p>
          <w:p w:rsidR="00581CC3" w:rsidRPr="00C3452A" w:rsidP="00020905">
            <w:pPr>
              <w:bidi w:val="0"/>
              <w:rPr>
                <w:rFonts w:ascii="Times New Roman" w:hAnsi="Times New Roman"/>
                <w:sz w:val="22"/>
                <w:szCs w:val="22"/>
              </w:rPr>
            </w:pPr>
            <w:r w:rsidRPr="00C3452A">
              <w:rPr>
                <w:rStyle w:val="Strong"/>
                <w:rFonts w:ascii="Times New Roman" w:hAnsi="Times New Roman"/>
                <w:sz w:val="22"/>
                <w:szCs w:val="22"/>
                <w:bdr w:val="nil"/>
                <w:shd w:val="clear" w:color="auto" w:fill="FFFFFF"/>
              </w:rPr>
              <w:t>Nariadenia Európskeho parlamentu a Rady (EÚ) č. 1307/2013 zo 17. december 2013, ktorým sa ustanovujú pravidlá priamych platieb pre poľnohospodárov na základe režimov podpory v rámci spoločnej poľnohospodárskej politiky a ktorým sa zrušuje nariadenie Rady (ES) č. 637/2008 a nariadenie Rady (ES) č. 73/2009 (</w:t>
            </w:r>
            <w:r w:rsidRPr="00C3452A">
              <w:rPr>
                <w:rFonts w:ascii="Times New Roman" w:hAnsi="Times New Roman"/>
                <w:b/>
                <w:iCs/>
                <w:sz w:val="22"/>
                <w:szCs w:val="22"/>
              </w:rPr>
              <w:t>Ú. v. EÚ L 347, 20.12.2013</w:t>
            </w:r>
            <w:r w:rsidRPr="00C3452A">
              <w:rPr>
                <w:rStyle w:val="Strong"/>
                <w:rFonts w:ascii="Times New Roman" w:hAnsi="Times New Roman"/>
                <w:sz w:val="22"/>
                <w:szCs w:val="22"/>
                <w:bdr w:val="nil"/>
                <w:shd w:val="clear" w:color="auto" w:fill="FFFFFF"/>
              </w:rPr>
              <w:t>) v platnom znení</w:t>
            </w:r>
          </w:p>
          <w:p w:rsidR="00581CC3" w:rsidRPr="00C3452A" w:rsidP="00020905">
            <w:pPr>
              <w:pStyle w:val="ListParagraph"/>
              <w:tabs>
                <w:tab w:val="left" w:pos="360"/>
              </w:tabs>
              <w:bidi w:val="0"/>
              <w:ind w:left="360"/>
              <w:rPr>
                <w:rFonts w:ascii="Times New Roman" w:hAnsi="Times New Roman"/>
                <w:sz w:val="22"/>
                <w:szCs w:val="22"/>
              </w:rPr>
            </w:pPr>
          </w:p>
          <w:p w:rsidR="00581CC3" w:rsidRPr="00C3452A" w:rsidP="00020905">
            <w:pPr>
              <w:bidi w:val="0"/>
              <w:rPr>
                <w:rFonts w:ascii="Times New Roman" w:hAnsi="Times New Roman"/>
                <w:sz w:val="22"/>
                <w:szCs w:val="22"/>
              </w:rPr>
            </w:pPr>
            <w:r w:rsidRPr="00C3452A">
              <w:rPr>
                <w:rFonts w:ascii="Times New Roman" w:hAnsi="Times New Roman"/>
                <w:sz w:val="22"/>
                <w:szCs w:val="22"/>
              </w:rPr>
              <w:t>2. nelegislatívne akty:</w:t>
            </w:r>
          </w:p>
          <w:p w:rsidR="00581CC3" w:rsidRPr="00C3452A" w:rsidP="00020905">
            <w:pPr>
              <w:bidi w:val="0"/>
              <w:rPr>
                <w:rFonts w:ascii="Times New Roman" w:hAnsi="Times New Roman"/>
                <w:sz w:val="22"/>
                <w:szCs w:val="22"/>
              </w:rPr>
            </w:pPr>
            <w:r w:rsidRPr="00C3452A">
              <w:rPr>
                <w:rFonts w:ascii="Times New Roman" w:hAnsi="Times New Roman"/>
                <w:sz w:val="22"/>
                <w:szCs w:val="22"/>
              </w:rPr>
              <w:t xml:space="preserve"> </w:t>
            </w:r>
          </w:p>
          <w:p w:rsidR="00581CC3" w:rsidRPr="00C3452A" w:rsidP="00020905">
            <w:pPr>
              <w:pStyle w:val="ListParagraph"/>
              <w:tabs>
                <w:tab w:val="left" w:pos="360"/>
              </w:tabs>
              <w:bidi w:val="0"/>
              <w:ind w:left="360"/>
              <w:rPr>
                <w:rFonts w:ascii="Times New Roman" w:hAnsi="Times New Roman"/>
                <w:sz w:val="22"/>
                <w:szCs w:val="22"/>
              </w:rPr>
            </w:pPr>
          </w:p>
          <w:p w:rsidR="00581CC3" w:rsidRPr="00C3452A" w:rsidP="00020905">
            <w:pPr>
              <w:bidi w:val="0"/>
              <w:rPr>
                <w:rFonts w:ascii="Times New Roman" w:hAnsi="Times New Roman"/>
                <w:sz w:val="22"/>
                <w:szCs w:val="22"/>
              </w:rPr>
            </w:pPr>
            <w:r w:rsidRPr="00C3452A">
              <w:rPr>
                <w:rFonts w:ascii="Times New Roman" w:hAnsi="Times New Roman"/>
                <w:i/>
                <w:iCs/>
                <w:sz w:val="22"/>
                <w:szCs w:val="22"/>
              </w:rPr>
              <w:t>- sekundárnom (prijatom pred nadobudnutím platnosti Lisabonskej zmluvy)</w:t>
              <w:br/>
              <w:br/>
            </w: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c>
          <w:tcPr>
            <w:tcW w:w="9627" w:type="dxa"/>
            <w:gridSpan w:val="2"/>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pStyle w:val="ListParagraph"/>
              <w:numPr>
                <w:numId w:val="9"/>
              </w:numPr>
              <w:tabs>
                <w:tab w:val="left" w:pos="360"/>
              </w:tabs>
              <w:bidi w:val="0"/>
              <w:rPr>
                <w:rFonts w:ascii="Times New Roman" w:hAnsi="Times New Roman"/>
                <w:sz w:val="22"/>
                <w:szCs w:val="22"/>
              </w:rPr>
            </w:pPr>
            <w:r w:rsidRPr="00C3452A">
              <w:rPr>
                <w:rFonts w:ascii="Times New Roman" w:hAnsi="Times New Roman"/>
                <w:sz w:val="22"/>
                <w:szCs w:val="22"/>
              </w:rPr>
              <w:t>nie je obsiahnutá v judikatúre Súdneho dvora Európskej únie</w:t>
            </w:r>
          </w:p>
          <w:p w:rsidR="00581CC3" w:rsidRPr="00C3452A" w:rsidP="00020905">
            <w:pPr>
              <w:pStyle w:val="ListParagraph"/>
              <w:tabs>
                <w:tab w:val="left" w:pos="360"/>
              </w:tabs>
              <w:bidi w:val="0"/>
              <w:ind w:left="360"/>
              <w:rPr>
                <w:rFonts w:ascii="Times New Roman" w:hAnsi="Times New Roman"/>
                <w:sz w:val="22"/>
                <w:szCs w:val="22"/>
              </w:rPr>
            </w:pPr>
            <w:r w:rsidRPr="00C3452A">
              <w:rPr>
                <w:rFonts w:ascii="Times New Roman" w:hAnsi="Times New Roman"/>
                <w:sz w:val="22"/>
                <w:szCs w:val="22"/>
              </w:rPr>
              <w:t>nie</w:t>
            </w:r>
          </w:p>
          <w:p w:rsidR="00581CC3" w:rsidRPr="00C3452A" w:rsidP="00CB521D">
            <w:pPr>
              <w:tabs>
                <w:tab w:val="left" w:pos="360"/>
              </w:tabs>
              <w:bidi w:val="0"/>
              <w:rPr>
                <w:rFonts w:ascii="Times New Roman" w:hAnsi="Times New Roman"/>
                <w:sz w:val="22"/>
                <w:szCs w:val="22"/>
              </w:rPr>
            </w:pPr>
          </w:p>
        </w:tc>
      </w:tr>
      <w:tr>
        <w:tblPrEx>
          <w:tblW w:w="10031" w:type="dxa"/>
          <w:tblLook w:val="04A0"/>
        </w:tblPrEx>
        <w:tc>
          <w:tcPr>
            <w:tcW w:w="404"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b/>
                <w:sz w:val="22"/>
                <w:szCs w:val="22"/>
              </w:rPr>
            </w:pPr>
          </w:p>
        </w:tc>
        <w:tc>
          <w:tcPr>
            <w:tcW w:w="9627" w:type="dxa"/>
            <w:gridSpan w:val="2"/>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tabs>
                <w:tab w:val="left" w:pos="360"/>
              </w:tabs>
              <w:bidi w:val="0"/>
              <w:rPr>
                <w:rFonts w:ascii="Times New Roman" w:hAnsi="Times New Roman"/>
                <w:sz w:val="22"/>
                <w:szCs w:val="22"/>
              </w:rPr>
            </w:pPr>
          </w:p>
        </w:tc>
      </w:tr>
    </w:tbl>
    <w:tbl>
      <w:tblPr>
        <w:tblStyle w:val="TableNormal"/>
        <w:tblW w:w="5000" w:type="pct"/>
        <w:jc w:val="center"/>
        <w:tblCellMar>
          <w:left w:w="0" w:type="dxa"/>
          <w:right w:w="0" w:type="dxa"/>
        </w:tblCellMar>
        <w:tblLook w:val="04A0"/>
      </w:tblPr>
      <w:tblGrid>
        <w:gridCol w:w="454"/>
        <w:gridCol w:w="272"/>
        <w:gridCol w:w="8346"/>
      </w:tblGrid>
      <w:tr>
        <w:tblPrEx>
          <w:tblW w:w="5000" w:type="pct"/>
          <w:jc w:val="center"/>
          <w:tblCellMar>
            <w:left w:w="0" w:type="dxa"/>
            <w:right w:w="0" w:type="dxa"/>
          </w:tblCellMar>
          <w:tblLook w:val="04A0"/>
        </w:tblPrEx>
        <w:trPr>
          <w:jc w:val="center"/>
        </w:trPr>
        <w:tc>
          <w:tcPr>
            <w:tcW w:w="2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bCs/>
              </w:rPr>
            </w:pPr>
            <w:r w:rsidRPr="00C3452A">
              <w:rPr>
                <w:rFonts w:ascii="Times New Roman" w:hAnsi="Times New Roman"/>
                <w:bCs/>
              </w:rPr>
              <w:t>4.</w:t>
            </w:r>
          </w:p>
        </w:tc>
        <w:tc>
          <w:tcPr>
            <w:tcW w:w="4750" w:type="pct"/>
            <w:gridSpan w:val="2"/>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b/>
                <w:bCs/>
              </w:rPr>
            </w:pPr>
            <w:r w:rsidRPr="00C3452A">
              <w:rPr>
                <w:rFonts w:ascii="Times New Roman" w:hAnsi="Times New Roman"/>
                <w:b/>
                <w:bCs/>
              </w:rPr>
              <w:t>Záväzky Slovenskej republiky vo vzťahu k Európskej únii:</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bCs/>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r w:rsidRPr="00C3452A">
              <w:rPr>
                <w:rFonts w:ascii="Times New Roman" w:hAnsi="Times New Roman"/>
              </w:rPr>
              <w:t>a)</w:t>
            </w: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lehota na prebratie smernice alebo lehota na implementáciu nariadenia alebo rozhodnutia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 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r w:rsidRPr="00C3452A">
              <w:rPr>
                <w:rFonts w:ascii="Times New Roman" w:hAnsi="Times New Roman"/>
              </w:rPr>
              <w:t>b)</w:t>
            </w: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 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r w:rsidRPr="00C3452A">
              <w:rPr>
                <w:rFonts w:ascii="Times New Roman" w:hAnsi="Times New Roman"/>
              </w:rPr>
              <w:t>c)</w:t>
            </w: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informácia o konaní začatom proti Slovenskej republike o porušení podľa čl. 258 až 260 Zmluvy o fungovaní Európskej únie</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 nie</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r w:rsidRPr="00C3452A">
              <w:rPr>
                <w:rFonts w:ascii="Times New Roman" w:hAnsi="Times New Roman"/>
              </w:rPr>
              <w:t>d)</w:t>
            </w: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informácia o právnych predpisoch, v ktorých sú preberané smernice už prebraté spolu s uvedením rozsahu tohto prebratia</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rPr>
            </w:pPr>
          </w:p>
        </w:tc>
        <w:tc>
          <w:tcPr>
            <w:tcW w:w="150" w:type="pct"/>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p>
        </w:tc>
        <w:tc>
          <w:tcPr>
            <w:tcW w:w="4600" w:type="pct"/>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 bezpredmetné</w:t>
              <w:br/>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bCs/>
              </w:rPr>
            </w:pPr>
            <w:r w:rsidRPr="00C3452A">
              <w:rPr>
                <w:rFonts w:ascii="Times New Roman" w:hAnsi="Times New Roman"/>
                <w:bCs/>
              </w:rPr>
              <w:t>5.</w:t>
            </w:r>
          </w:p>
        </w:tc>
        <w:tc>
          <w:tcPr>
            <w:tcW w:w="0" w:type="auto"/>
            <w:gridSpan w:val="2"/>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b/>
                <w:bCs/>
              </w:rPr>
            </w:pPr>
            <w:r w:rsidRPr="00C3452A">
              <w:rPr>
                <w:rFonts w:ascii="Times New Roman" w:hAnsi="Times New Roman"/>
                <w:b/>
                <w:bCs/>
              </w:rPr>
              <w:t>Stupeň zlučiteľnosti návrhu právneho predpisu s právom Európskej únie:</w:t>
            </w:r>
          </w:p>
          <w:p w:rsidR="00581CC3" w:rsidRPr="00C3452A" w:rsidP="00020905">
            <w:pPr>
              <w:bidi w:val="0"/>
              <w:spacing w:after="250" w:line="240" w:lineRule="auto"/>
              <w:rPr>
                <w:rFonts w:ascii="Times New Roman" w:hAnsi="Times New Roman"/>
                <w:b/>
                <w:bCs/>
              </w:rPr>
            </w:pPr>
            <w:r w:rsidRPr="00C3452A">
              <w:rPr>
                <w:rFonts w:ascii="Times New Roman" w:hAnsi="Times New Roman"/>
                <w:b/>
                <w:bCs/>
              </w:rPr>
              <w:t>- </w:t>
            </w:r>
            <w:r w:rsidRPr="00C3452A">
              <w:rPr>
                <w:rFonts w:ascii="Times New Roman" w:hAnsi="Times New Roman"/>
                <w:bCs/>
              </w:rPr>
              <w:t>bezpredmetné</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bCs/>
              </w:rPr>
            </w:pPr>
          </w:p>
        </w:tc>
        <w:tc>
          <w:tcPr>
            <w:tcW w:w="0" w:type="auto"/>
            <w:tcBorders>
              <w:top w:val="nil"/>
              <w:left w:val="nil"/>
              <w:bottom w:val="nil"/>
              <w:right w:val="nil"/>
            </w:tcBorders>
            <w:textDirection w:val="lrTb"/>
            <w:vAlign w:val="top"/>
            <w:hideMark/>
          </w:tcPr>
          <w:p w:rsidR="00581CC3" w:rsidRPr="00C3452A" w:rsidP="00020905">
            <w:pPr>
              <w:pStyle w:val="ListParagraph"/>
              <w:numPr>
                <w:numId w:val="10"/>
              </w:num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bCs/>
              </w:rPr>
            </w:pPr>
            <w:r w:rsidRPr="00C3452A">
              <w:rPr>
                <w:rFonts w:ascii="Times New Roman" w:hAnsi="Times New Roman"/>
                <w:bCs/>
              </w:rPr>
              <w:t>6.</w:t>
            </w:r>
          </w:p>
        </w:tc>
        <w:tc>
          <w:tcPr>
            <w:tcW w:w="0" w:type="auto"/>
            <w:gridSpan w:val="2"/>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b/>
                <w:bCs/>
              </w:rPr>
            </w:pPr>
            <w:r w:rsidRPr="00C3452A">
              <w:rPr>
                <w:rFonts w:ascii="Times New Roman" w:hAnsi="Times New Roman"/>
                <w:b/>
                <w:bCs/>
              </w:rPr>
              <w:t>Gestor a spolupracujúce rezorty:</w:t>
            </w:r>
          </w:p>
        </w:tc>
      </w:tr>
      <w:tr>
        <w:tblPrEx>
          <w:tblW w:w="5000" w:type="pct"/>
          <w:jc w:val="center"/>
          <w:tblCellMar>
            <w:left w:w="0" w:type="dxa"/>
            <w:right w:w="0" w:type="dxa"/>
          </w:tblCellMar>
          <w:tblLook w:val="04A0"/>
        </w:tblPrEx>
        <w:trPr>
          <w:jc w:val="center"/>
        </w:trPr>
        <w:tc>
          <w:tcPr>
            <w:tcW w:w="0" w:type="auto"/>
            <w:tcBorders>
              <w:top w:val="nil"/>
              <w:left w:val="nil"/>
              <w:bottom w:val="nil"/>
              <w:right w:val="nil"/>
            </w:tcBorders>
            <w:textDirection w:val="lrTb"/>
            <w:vAlign w:val="top"/>
            <w:hideMark/>
          </w:tcPr>
          <w:p w:rsidR="00581CC3" w:rsidRPr="00C3452A" w:rsidP="00020905">
            <w:pPr>
              <w:bidi w:val="0"/>
              <w:spacing w:after="250" w:line="240" w:lineRule="auto"/>
              <w:rPr>
                <w:rFonts w:ascii="Times New Roman" w:hAnsi="Times New Roman"/>
                <w:bCs/>
              </w:rPr>
            </w:pPr>
          </w:p>
        </w:tc>
        <w:tc>
          <w:tcPr>
            <w:tcW w:w="0" w:type="auto"/>
            <w:tcBorders>
              <w:top w:val="nil"/>
              <w:left w:val="nil"/>
              <w:bottom w:val="nil"/>
              <w:right w:val="nil"/>
            </w:tcBorders>
            <w:textDirection w:val="lrTb"/>
            <w:vAlign w:val="top"/>
            <w:hideMark/>
          </w:tcPr>
          <w:p w:rsidR="00581CC3" w:rsidRPr="00C3452A" w:rsidP="00020905">
            <w:pPr>
              <w:bidi w:val="0"/>
              <w:spacing w:after="0" w:line="240" w:lineRule="auto"/>
              <w:rPr>
                <w:rFonts w:ascii="Times New Roman" w:hAnsi="Times New Roman"/>
              </w:rPr>
            </w:pPr>
          </w:p>
        </w:tc>
        <w:tc>
          <w:tcPr>
            <w:tcW w:w="0" w:type="auto"/>
            <w:tcBorders>
              <w:top w:val="nil"/>
              <w:left w:val="nil"/>
              <w:bottom w:val="nil"/>
              <w:right w:val="nil"/>
            </w:tcBorders>
            <w:textDirection w:val="lrTb"/>
            <w:vAlign w:val="center"/>
            <w:hideMark/>
          </w:tcPr>
          <w:p w:rsidR="00581CC3" w:rsidRPr="00C3452A" w:rsidP="00020905">
            <w:pPr>
              <w:bidi w:val="0"/>
              <w:spacing w:after="250" w:line="240" w:lineRule="auto"/>
              <w:rPr>
                <w:rFonts w:ascii="Times New Roman" w:hAnsi="Times New Roman"/>
              </w:rPr>
            </w:pPr>
            <w:r w:rsidRPr="00C3452A">
              <w:rPr>
                <w:rFonts w:ascii="Times New Roman" w:hAnsi="Times New Roman"/>
              </w:rPr>
              <w:t>Ministerstvo pôdohospodárstva a rozvoja vidieka Slovenskej republiky</w:t>
              <w:br/>
            </w:r>
          </w:p>
        </w:tc>
      </w:tr>
    </w:tbl>
    <w:p w:rsidR="00581CC3" w:rsidRPr="00C3452A" w:rsidP="00581CC3">
      <w:pPr>
        <w:bidi w:val="0"/>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581CC3" w:rsidRPr="00C3452A" w:rsidP="00581CC3">
      <w:pPr>
        <w:bidi w:val="0"/>
        <w:jc w:val="center"/>
        <w:rPr>
          <w:rFonts w:ascii="Times New Roman" w:hAnsi="Times New Roman"/>
          <w:b/>
          <w:bCs/>
          <w:sz w:val="28"/>
          <w:szCs w:val="28"/>
        </w:rPr>
      </w:pPr>
    </w:p>
    <w:p w:rsidR="00E269CB">
      <w:pPr>
        <w:keepNext w:val="0"/>
        <w:bidi w:val="0"/>
        <w:spacing w:after="200" w:line="276" w:lineRule="auto"/>
        <w:jc w:val="left"/>
        <w:rPr>
          <w:rFonts w:ascii="Times New Roman" w:hAnsi="Times New Roman"/>
          <w:b/>
          <w:bCs/>
          <w:sz w:val="28"/>
          <w:szCs w:val="28"/>
        </w:rPr>
      </w:pPr>
      <w:r>
        <w:rPr>
          <w:rFonts w:ascii="Times New Roman" w:hAnsi="Times New Roman"/>
          <w:b/>
          <w:bCs/>
          <w:sz w:val="28"/>
          <w:szCs w:val="28"/>
        </w:rPr>
        <w:br w:type="page"/>
      </w:r>
    </w:p>
    <w:p w:rsidR="00581CC3" w:rsidRPr="00C3452A" w:rsidP="00581CC3">
      <w:pPr>
        <w:bidi w:val="0"/>
        <w:jc w:val="center"/>
        <w:rPr>
          <w:rFonts w:ascii="Times New Roman" w:hAnsi="Times New Roman"/>
          <w:b/>
          <w:bCs/>
          <w:sz w:val="28"/>
          <w:szCs w:val="28"/>
        </w:rPr>
      </w:pPr>
      <w:r w:rsidRPr="00C3452A">
        <w:rPr>
          <w:rFonts w:ascii="Times New Roman" w:hAnsi="Times New Roman"/>
          <w:b/>
          <w:bCs/>
          <w:sz w:val="28"/>
          <w:szCs w:val="28"/>
        </w:rPr>
        <w:t>Doložka vybraných vplyvov</w:t>
      </w:r>
    </w:p>
    <w:p w:rsidR="00581CC3" w:rsidRPr="00C3452A" w:rsidP="00581CC3">
      <w:pPr>
        <w:bidi w:val="0"/>
        <w:rPr>
          <w:rFonts w:ascii="Times New Roman" w:hAnsi="Times New Roman"/>
          <w:b/>
        </w:rPr>
      </w:pPr>
    </w:p>
    <w:tbl>
      <w:tblPr>
        <w:tblStyle w:val="TableGrid"/>
        <w:tblW w:w="9072" w:type="dxa"/>
        <w:tblInd w:w="108" w:type="dxa"/>
        <w:tblLayout w:type="fixed"/>
        <w:tblLook w:val="04A0"/>
      </w:tblPr>
      <w:tblGrid>
        <w:gridCol w:w="3702"/>
        <w:gridCol w:w="400"/>
        <w:gridCol w:w="141"/>
        <w:gridCol w:w="564"/>
        <w:gridCol w:w="717"/>
        <w:gridCol w:w="569"/>
        <w:gridCol w:w="1134"/>
        <w:gridCol w:w="284"/>
        <w:gridCol w:w="263"/>
        <w:gridCol w:w="1298"/>
      </w:tblGrid>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Základné údaje</w:t>
            </w: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Názov materiálu</w:t>
            </w:r>
          </w:p>
        </w:tc>
      </w:tr>
      <w:tr>
        <w:tblPrEx>
          <w:tblW w:w="9072" w:type="dxa"/>
          <w:tblInd w:w="108" w:type="dxa"/>
          <w:tblLayout w:type="fixed"/>
          <w:tblLook w:val="04A0"/>
        </w:tblPrEx>
        <w:tc>
          <w:tcPr>
            <w:tcW w:w="9072" w:type="dxa"/>
            <w:gridSpan w:val="10"/>
            <w:tcBorders>
              <w:top w:val="single" w:sz="4" w:space="0" w:color="FFFFFF"/>
              <w:left w:val="single" w:sz="4" w:space="0" w:color="auto"/>
              <w:bottom w:val="single" w:sz="4" w:space="0" w:color="auto"/>
              <w:right w:val="single" w:sz="4" w:space="0" w:color="auto"/>
            </w:tcBorders>
            <w:textDirection w:val="lrTb"/>
            <w:vAlign w:val="top"/>
          </w:tcPr>
          <w:p w:rsidR="00581CC3" w:rsidRPr="00C3452A" w:rsidP="00020905">
            <w:pPr>
              <w:shd w:val="clear" w:color="auto" w:fill="FFFFFF"/>
              <w:bidi w:val="0"/>
              <w:spacing w:before="100" w:beforeAutospacing="1" w:after="100" w:afterAutospacing="1"/>
              <w:outlineLvl w:val="0"/>
              <w:rPr>
                <w:rFonts w:ascii="Times New Roman" w:hAnsi="Times New Roman"/>
                <w:bCs/>
                <w:color w:val="070707"/>
                <w:kern w:val="36"/>
                <w:sz w:val="22"/>
                <w:szCs w:val="22"/>
              </w:rPr>
            </w:pPr>
            <w:r w:rsidRPr="00C3452A">
              <w:rPr>
                <w:rFonts w:ascii="Times New Roman" w:hAnsi="Times New Roman"/>
                <w:sz w:val="22"/>
                <w:szCs w:val="22"/>
              </w:rPr>
              <w:t xml:space="preserve">Návrh zákona, ktorým sa mení a dopĺňa zákon </w:t>
            </w:r>
            <w:r w:rsidRPr="00C3452A">
              <w:rPr>
                <w:rFonts w:ascii="Times New Roman" w:hAnsi="Times New Roman"/>
                <w:bCs/>
                <w:sz w:val="22"/>
                <w:szCs w:val="22"/>
              </w:rPr>
              <w:t>č. </w:t>
            </w:r>
            <w:hyperlink r:id="rId5" w:tooltip="Odkaz na predpis alebo ustanovenie" w:history="1">
              <w:r w:rsidRPr="00C3452A">
                <w:rPr>
                  <w:rFonts w:ascii="Times New Roman" w:hAnsi="Times New Roman"/>
                  <w:bCs/>
                  <w:iCs/>
                  <w:sz w:val="22"/>
                  <w:szCs w:val="22"/>
                </w:rPr>
                <w:t>504/2003 Z.</w:t>
              </w:r>
            </w:hyperlink>
            <w:r w:rsidRPr="00C3452A">
              <w:rPr>
                <w:rFonts w:ascii="Times New Roman" w:hAnsi="Times New Roman"/>
                <w:bCs/>
                <w:iCs/>
                <w:sz w:val="22"/>
                <w:szCs w:val="22"/>
              </w:rPr>
              <w:t xml:space="preserve"> z. </w:t>
            </w:r>
            <w:r w:rsidRPr="00C3452A">
              <w:rPr>
                <w:rFonts w:ascii="Times New Roman" w:hAnsi="Times New Roman"/>
                <w:bCs/>
                <w:color w:val="070707"/>
                <w:kern w:val="36"/>
                <w:sz w:val="22"/>
                <w:szCs w:val="22"/>
              </w:rPr>
              <w:t xml:space="preserve">o nájme poľnohospodárskych pozemkov, poľnohospodárskeho podniku a lesných pozemkov a o zmene niektorých zákonov </w:t>
            </w:r>
            <w:r w:rsidRPr="00C3452A">
              <w:rPr>
                <w:rFonts w:ascii="Times New Roman" w:hAnsi="Times New Roman"/>
                <w:bCs/>
                <w:sz w:val="22"/>
                <w:szCs w:val="22"/>
              </w:rPr>
              <w:t>v znení neskorších predpisov</w:t>
            </w:r>
            <w:r>
              <w:rPr>
                <w:rFonts w:ascii="Times New Roman" w:hAnsi="Times New Roman"/>
                <w:bCs/>
                <w:sz w:val="22"/>
                <w:szCs w:val="22"/>
              </w:rPr>
              <w:t xml:space="preserve"> </w:t>
            </w:r>
            <w:r w:rsidRPr="00444E2F">
              <w:rPr>
                <w:rFonts w:ascii="Times New Roman" w:hAnsi="Times New Roman"/>
                <w:sz w:val="22"/>
                <w:szCs w:val="22"/>
              </w:rPr>
              <w:t xml:space="preserve">a ktorým sa mení zákon č. 24/2015 Z. z., </w:t>
            </w:r>
            <w:r w:rsidRPr="00444E2F">
              <w:rPr>
                <w:rFonts w:ascii="Times New Roman" w:hAnsi="Times New Roman"/>
                <w:sz w:val="22"/>
                <w:szCs w:val="22"/>
                <w:shd w:val="clear" w:color="auto" w:fill="FFFFFF"/>
              </w:rPr>
              <w:t>ktorým sa mení a dopĺňa zákon Národnej rady Slovenskej republiky č. 180/1995 Z. z.</w:t>
            </w:r>
            <w:r w:rsidRPr="00444E2F">
              <w:rPr>
                <w:rFonts w:ascii="Times New Roman" w:hAnsi="Times New Roman"/>
                <w:sz w:val="22"/>
                <w:szCs w:val="22"/>
              </w:rPr>
              <w:t xml:space="preserve"> </w:t>
            </w:r>
            <w:r w:rsidRPr="00444E2F">
              <w:rPr>
                <w:rFonts w:ascii="Times New Roman" w:hAnsi="Times New Roman"/>
                <w:sz w:val="22"/>
                <w:szCs w:val="22"/>
                <w:shd w:val="clear" w:color="auto" w:fill="FFFFFF"/>
              </w:rPr>
              <w:t>o niektorých opatreniach na usporiadanie vlastníctva k pozemkom v znení neskorších predpisov a ktorým sa dopĺňa zákon č. 504/2003 Z. z. o nájme poľnohospodárskych pozemkov, poľnohospodárskeho podniku a lesných pozemkov a o zmene niektorých zákonov v znení neskorších predpisov</w:t>
            </w:r>
            <w:r w:rsidRPr="00C3452A">
              <w:rPr>
                <w:rFonts w:ascii="Times New Roman" w:hAnsi="Times New Roman"/>
                <w:bCs/>
                <w:color w:val="070707"/>
                <w:kern w:val="36"/>
                <w:sz w:val="22"/>
                <w:szCs w:val="22"/>
              </w:rPr>
              <w:t>.</w:t>
            </w: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Predkladateľ (a spolupredkladateľ)</w:t>
            </w:r>
          </w:p>
        </w:tc>
      </w:tr>
      <w:tr>
        <w:tblPrEx>
          <w:tblW w:w="9072" w:type="dxa"/>
          <w:tblInd w:w="108" w:type="dxa"/>
          <w:tblLayout w:type="fixed"/>
          <w:tblLook w:val="04A0"/>
        </w:tblPrEx>
        <w:tc>
          <w:tcPr>
            <w:tcW w:w="907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Ministerstvo pôdohospodárstva a rozvoja vidieka SR</w:t>
            </w:r>
          </w:p>
        </w:tc>
      </w:tr>
      <w:tr>
        <w:tblPrEx>
          <w:tblW w:w="9072" w:type="dxa"/>
          <w:tblInd w:w="108" w:type="dxa"/>
          <w:tblLayout w:type="fixed"/>
          <w:tblLook w:val="04A0"/>
        </w:tblPrEx>
        <w:tc>
          <w:tcPr>
            <w:tcW w:w="410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426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Materiál nelegislatívnej povahy</w:t>
            </w:r>
          </w:p>
        </w:tc>
      </w:tr>
      <w:tr>
        <w:tblPrEx>
          <w:tblW w:w="9072" w:type="dxa"/>
          <w:tblInd w:w="108" w:type="dxa"/>
          <w:tblLayout w:type="fixed"/>
          <w:tblLook w:val="04A0"/>
        </w:tblPrEx>
        <w:tc>
          <w:tcPr>
            <w:tcW w:w="410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426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81CC3" w:rsidRPr="00C3452A" w:rsidP="00020905">
            <w:pPr>
              <w:bidi w:val="0"/>
              <w:ind w:left="175" w:hanging="175"/>
              <w:rPr>
                <w:rFonts w:ascii="Times New Roman" w:hAnsi="Times New Roman"/>
                <w:sz w:val="22"/>
                <w:szCs w:val="22"/>
              </w:rPr>
            </w:pPr>
            <w:r w:rsidRPr="00C3452A">
              <w:rPr>
                <w:rFonts w:ascii="Times New Roman" w:hAnsi="Times New Roman"/>
                <w:sz w:val="22"/>
                <w:szCs w:val="22"/>
              </w:rPr>
              <w:t>Materiál legislatívnej povahy</w:t>
            </w:r>
          </w:p>
        </w:tc>
      </w:tr>
      <w:tr>
        <w:tblPrEx>
          <w:tblW w:w="9072" w:type="dxa"/>
          <w:tblInd w:w="108" w:type="dxa"/>
          <w:tblLayout w:type="fixed"/>
          <w:tblLook w:val="04A0"/>
        </w:tblPrEx>
        <w:tc>
          <w:tcPr>
            <w:tcW w:w="410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581CC3" w:rsidRPr="00C3452A" w:rsidP="00020905">
            <w:pPr>
              <w:bidi w:val="0"/>
              <w:rPr>
                <w:rFonts w:ascii="Times New Roman" w:hAnsi="Times New Roman"/>
                <w:sz w:val="22"/>
                <w:szCs w:val="22"/>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4265"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Transpozícia práva EÚ</w:t>
            </w:r>
          </w:p>
        </w:tc>
      </w:tr>
      <w:tr>
        <w:tblPrEx>
          <w:tblW w:w="9072" w:type="dxa"/>
          <w:tblInd w:w="108" w:type="dxa"/>
          <w:tblLayout w:type="fixed"/>
          <w:tblLook w:val="04A0"/>
        </w:tblPrEx>
        <w:trPr>
          <w:trHeight w:val="306"/>
        </w:trPr>
        <w:tc>
          <w:tcPr>
            <w:tcW w:w="9072"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V prípade transpozície uveďte zoznam transponovaných predpisov:</w:t>
            </w:r>
          </w:p>
          <w:p w:rsidR="00581CC3" w:rsidRPr="00C3452A" w:rsidP="00020905">
            <w:pPr>
              <w:bidi w:val="0"/>
              <w:rPr>
                <w:rFonts w:ascii="Times New Roman" w:hAnsi="Times New Roman"/>
                <w:sz w:val="22"/>
                <w:szCs w:val="22"/>
              </w:rPr>
            </w:pPr>
          </w:p>
        </w:tc>
      </w:tr>
      <w:tr>
        <w:tblPrEx>
          <w:tblW w:w="9072" w:type="dxa"/>
          <w:tblInd w:w="108" w:type="dxa"/>
          <w:tblLayout w:type="fixed"/>
          <w:tblLook w:val="04A0"/>
        </w:tblPrEx>
        <w:tc>
          <w:tcPr>
            <w:tcW w:w="552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Termín začiatku a ukončenia PPK</w:t>
            </w:r>
          </w:p>
        </w:tc>
        <w:tc>
          <w:tcPr>
            <w:tcW w:w="3548" w:type="dxa"/>
            <w:gridSpan w:val="5"/>
            <w:tcBorders>
              <w:top w:val="single" w:sz="4" w:space="0" w:color="000000"/>
              <w:left w:val="single" w:sz="4" w:space="0" w:color="auto"/>
              <w:bottom w:val="single" w:sz="4" w:space="0" w:color="auto"/>
              <w:right w:val="single" w:sz="4" w:space="0" w:color="auto"/>
            </w:tcBorders>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Máj 2017</w:t>
            </w:r>
          </w:p>
        </w:tc>
      </w:tr>
      <w:tr>
        <w:tblPrEx>
          <w:tblW w:w="9072" w:type="dxa"/>
          <w:tblInd w:w="108" w:type="dxa"/>
          <w:tblLayout w:type="fixed"/>
          <w:tblLook w:val="04A0"/>
        </w:tblPrEx>
        <w:tc>
          <w:tcPr>
            <w:tcW w:w="552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Predpokladaný termín predloženia na MPK*</w:t>
            </w:r>
          </w:p>
        </w:tc>
        <w:tc>
          <w:tcPr>
            <w:tcW w:w="3548" w:type="dxa"/>
            <w:gridSpan w:val="5"/>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Máj 2017</w:t>
            </w:r>
          </w:p>
        </w:tc>
      </w:tr>
      <w:tr>
        <w:tblPrEx>
          <w:tblW w:w="9072" w:type="dxa"/>
          <w:tblInd w:w="108" w:type="dxa"/>
          <w:tblLayout w:type="fixed"/>
          <w:tblLook w:val="04A0"/>
        </w:tblPrEx>
        <w:tc>
          <w:tcPr>
            <w:tcW w:w="552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C3452A" w:rsidP="00020905">
            <w:pPr>
              <w:pStyle w:val="ListParagraph"/>
              <w:bidi w:val="0"/>
              <w:ind w:left="142"/>
              <w:rPr>
                <w:rFonts w:ascii="Times New Roman" w:hAnsi="Times New Roman"/>
                <w:b/>
                <w:sz w:val="22"/>
                <w:szCs w:val="22"/>
              </w:rPr>
            </w:pPr>
            <w:r w:rsidRPr="00C3452A">
              <w:rPr>
                <w:rFonts w:ascii="Times New Roman" w:hAnsi="Times New Roman"/>
                <w:b/>
                <w:sz w:val="22"/>
                <w:szCs w:val="22"/>
              </w:rPr>
              <w:t>Predpokladaný termín predloženia na Rokovanie vlády SR*</w:t>
            </w:r>
          </w:p>
        </w:tc>
        <w:tc>
          <w:tcPr>
            <w:tcW w:w="3548" w:type="dxa"/>
            <w:gridSpan w:val="5"/>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Jún 2017</w:t>
            </w:r>
          </w:p>
        </w:tc>
      </w:tr>
      <w:tr>
        <w:tblPrEx>
          <w:tblW w:w="9072" w:type="dxa"/>
          <w:tblInd w:w="108" w:type="dxa"/>
          <w:tblLayout w:type="fixed"/>
          <w:tblLook w:val="04A0"/>
        </w:tblPrEx>
        <w:tc>
          <w:tcPr>
            <w:tcW w:w="9072" w:type="dxa"/>
            <w:gridSpan w:val="10"/>
            <w:tcBorders>
              <w:top w:val="single" w:sz="4" w:space="0" w:color="auto"/>
              <w:left w:val="nil"/>
              <w:bottom w:val="single" w:sz="4" w:space="0" w:color="auto"/>
              <w:right w:val="nil"/>
            </w:tcBorders>
            <w:shd w:val="clear" w:color="auto" w:fill="FFFFFF"/>
            <w:textDirection w:val="lrTb"/>
            <w:vAlign w:val="top"/>
          </w:tcPr>
          <w:p w:rsidR="00581CC3" w:rsidRPr="00C3452A" w:rsidP="00020905">
            <w:pPr>
              <w:bidi w:val="0"/>
              <w:rPr>
                <w:rFonts w:ascii="Times New Roman" w:hAnsi="Times New Roman"/>
                <w:sz w:val="22"/>
                <w:szCs w:val="22"/>
              </w:rPr>
            </w:pP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Definovanie problému</w:t>
            </w:r>
          </w:p>
        </w:tc>
      </w:tr>
      <w:tr>
        <w:tblPrEx>
          <w:tblW w:w="9072" w:type="dxa"/>
          <w:tblInd w:w="108" w:type="dxa"/>
          <w:tblLayout w:type="fixed"/>
          <w:tblLook w:val="04A0"/>
        </w:tblPrEx>
        <w:trPr>
          <w:trHeight w:val="529"/>
        </w:trPr>
        <w:tc>
          <w:tcPr>
            <w:tcW w:w="907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základné problémy, na ktoré navrhovaná regulácia reaguje.</w:t>
            </w:r>
          </w:p>
          <w:p w:rsidR="00581CC3" w:rsidRPr="00C3452A" w:rsidP="00020905">
            <w:pPr>
              <w:widowControl w:val="0"/>
              <w:bidi w:val="0"/>
              <w:rPr>
                <w:rFonts w:ascii="Times New Roman" w:hAnsi="Times New Roman"/>
                <w:b/>
                <w:sz w:val="22"/>
                <w:szCs w:val="22"/>
              </w:rPr>
            </w:pPr>
            <w:r w:rsidRPr="00C3452A">
              <w:rPr>
                <w:rFonts w:ascii="Times New Roman" w:hAnsi="Times New Roman"/>
                <w:b/>
                <w:sz w:val="22"/>
                <w:szCs w:val="22"/>
              </w:rPr>
              <w:t>Precizácia a úprava nájomných vzťahov k poľnohospodárskym pozemkom</w:t>
            </w:r>
          </w:p>
        </w:tc>
      </w:tr>
      <w:tr>
        <w:tblPrEx>
          <w:tblW w:w="9072" w:type="dxa"/>
          <w:tblInd w:w="108" w:type="dxa"/>
          <w:tblLayout w:type="fixed"/>
          <w:tblLook w:val="04A0"/>
        </w:tblPrEx>
        <w:tc>
          <w:tcPr>
            <w:tcW w:w="907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Ciele a výsledný stav</w:t>
            </w:r>
          </w:p>
        </w:tc>
      </w:tr>
      <w:tr>
        <w:tblPrEx>
          <w:tblW w:w="9072" w:type="dxa"/>
          <w:tblInd w:w="108" w:type="dxa"/>
          <w:tblLayout w:type="fixed"/>
          <w:tblLook w:val="04A0"/>
        </w:tblPrEx>
        <w:trPr>
          <w:trHeight w:val="741"/>
        </w:trPr>
        <w:tc>
          <w:tcPr>
            <w:tcW w:w="907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spacing w:after="160" w:line="256" w:lineRule="auto"/>
              <w:rPr>
                <w:rFonts w:ascii="Times New Roman" w:hAnsi="Times New Roman"/>
                <w:sz w:val="22"/>
                <w:szCs w:val="22"/>
              </w:rPr>
            </w:pPr>
            <w:r w:rsidRPr="00C3452A">
              <w:rPr>
                <w:rFonts w:ascii="Times New Roman" w:hAnsi="Times New Roman"/>
                <w:i/>
                <w:sz w:val="22"/>
                <w:szCs w:val="22"/>
              </w:rPr>
              <w:t>Uveďte hlavné ciele navrhovaného predpisu (aký výsledný stav chcete reguláciou dosiahnuť).</w:t>
            </w:r>
          </w:p>
          <w:p w:rsidR="00581CC3" w:rsidRPr="00C3452A" w:rsidP="00020905">
            <w:pPr>
              <w:bidi w:val="0"/>
              <w:spacing w:after="160" w:line="256" w:lineRule="auto"/>
              <w:rPr>
                <w:rFonts w:ascii="Times New Roman" w:hAnsi="Times New Roman"/>
                <w:sz w:val="22"/>
                <w:szCs w:val="22"/>
              </w:rPr>
            </w:pPr>
            <w:r w:rsidRPr="00C3452A">
              <w:rPr>
                <w:rFonts w:ascii="Times New Roman" w:hAnsi="Times New Roman"/>
                <w:sz w:val="22"/>
                <w:szCs w:val="22"/>
              </w:rPr>
              <w:t>Vzhľadom na problémy, ktoré vyplývajú z praxe cieľom právnej úpravy bude spresniť  definíciu pozemku, ktorý je určený  na poľnohospodárske účely, pričom sa zároveň stanoví , akým spôsobom sa bude určovať výška nájomného. Zároveň sa upraví procesný postup  vzniku podnájomného vzťahu podľa § 12a. Osobitným prínosom bude evidencia podnájomných a užívacích vzťahov k pozemkom, ktorá  zabezpečí väčšiu prehľadnosť  vo vlastníckych, podnájomných, užívacích a iných užívacích vzťahoch.</w:t>
            </w:r>
          </w:p>
          <w:p w:rsidR="00581CC3" w:rsidRPr="00C3452A" w:rsidP="00020905">
            <w:pPr>
              <w:keepNext w:val="0"/>
              <w:widowControl w:val="0"/>
              <w:numPr>
                <w:numId w:val="12"/>
              </w:numPr>
              <w:bidi w:val="0"/>
              <w:spacing w:after="60" w:line="256" w:lineRule="auto"/>
              <w:ind w:left="284" w:hanging="284"/>
              <w:rPr>
                <w:rFonts w:ascii="Times New Roman" w:hAnsi="Times New Roman"/>
                <w:sz w:val="22"/>
                <w:szCs w:val="22"/>
                <w:lang w:eastAsia="en-US"/>
              </w:rPr>
            </w:pPr>
            <w:r w:rsidRPr="00C3452A">
              <w:rPr>
                <w:rFonts w:ascii="Times New Roman" w:hAnsi="Times New Roman"/>
                <w:sz w:val="22"/>
                <w:szCs w:val="22"/>
              </w:rPr>
              <w:t>– Vymedziť jednoznačnejšie pozemok, ktorý je určený  na poľnohospodárske účely, vzhľadom na to, že ide o poľnohospodársku pôdu alebo časť takého pozemku, pozemku, ktorý je evidovaný v katastri nehnuteľností ako zastavané plochy  a nádvoria, pozemok zastavaný stavbou slúžiacou na poľnohospodárske účely alebo ako iný pozemok prenechaný na poľnohospodárske účely alebo ide o časť takého pozemku.</w:t>
            </w:r>
          </w:p>
          <w:p w:rsidR="00581CC3" w:rsidRPr="00C3452A" w:rsidP="00020905">
            <w:pPr>
              <w:keepNext w:val="0"/>
              <w:widowControl w:val="0"/>
              <w:numPr>
                <w:numId w:val="12"/>
              </w:numPr>
              <w:bidi w:val="0"/>
              <w:spacing w:after="60" w:line="256" w:lineRule="auto"/>
              <w:ind w:left="284" w:hanging="284"/>
              <w:rPr>
                <w:rFonts w:ascii="Times New Roman" w:hAnsi="Times New Roman"/>
                <w:sz w:val="22"/>
                <w:szCs w:val="22"/>
              </w:rPr>
            </w:pPr>
            <w:r w:rsidRPr="00C3452A">
              <w:rPr>
                <w:rFonts w:ascii="Times New Roman" w:hAnsi="Times New Roman"/>
                <w:sz w:val="22"/>
                <w:szCs w:val="22"/>
              </w:rPr>
              <w:t xml:space="preserve">– Ustanoviť obvyklú výšku nájomného </w:t>
            </w:r>
          </w:p>
          <w:p w:rsidR="00581CC3" w:rsidRPr="00C3452A" w:rsidP="00020905">
            <w:pPr>
              <w:keepNext w:val="0"/>
              <w:widowControl w:val="0"/>
              <w:numPr>
                <w:numId w:val="12"/>
              </w:numPr>
              <w:bidi w:val="0"/>
              <w:spacing w:after="60" w:line="256" w:lineRule="auto"/>
              <w:ind w:left="284" w:hanging="284"/>
              <w:rPr>
                <w:rFonts w:ascii="Times New Roman" w:hAnsi="Times New Roman"/>
                <w:sz w:val="22"/>
                <w:szCs w:val="22"/>
              </w:rPr>
            </w:pPr>
            <w:r w:rsidRPr="00C3452A">
              <w:rPr>
                <w:rFonts w:ascii="Times New Roman" w:hAnsi="Times New Roman"/>
                <w:sz w:val="22"/>
                <w:szCs w:val="22"/>
              </w:rPr>
              <w:t xml:space="preserve">– § 12a –Vymedziť procesný postup vzniku podnájomného vzťahu v prípade, ak nájomca užíva pozemky, kde sa zmluvný nájom skončil alebo sa má skončiť. Cieľom bude stanoviť práva a povinnosti nájomcu, vlastníka (doterajšieho prenajímateľa) v prípade vzniku podnájomného vzťahu, ako aj kompetencie okresného úradu v prípadoch,   ak nájomca nesplní povinnosť uzatvoriť s vlastníkom podnájomnú zmluvu. </w:t>
            </w:r>
          </w:p>
          <w:p w:rsidR="00581CC3" w:rsidRPr="00C3452A" w:rsidP="00020905">
            <w:pPr>
              <w:keepNext w:val="0"/>
              <w:widowControl w:val="0"/>
              <w:numPr>
                <w:numId w:val="12"/>
              </w:numPr>
              <w:bidi w:val="0"/>
              <w:spacing w:after="60" w:line="256" w:lineRule="auto"/>
              <w:ind w:left="284" w:hanging="284"/>
              <w:rPr>
                <w:rFonts w:ascii="Times New Roman" w:hAnsi="Times New Roman"/>
                <w:sz w:val="22"/>
                <w:szCs w:val="22"/>
                <w:lang w:eastAsia="en-US"/>
              </w:rPr>
            </w:pPr>
            <w:r w:rsidRPr="00C3452A">
              <w:rPr>
                <w:rFonts w:ascii="Times New Roman" w:hAnsi="Times New Roman"/>
                <w:sz w:val="22"/>
                <w:szCs w:val="22"/>
              </w:rPr>
              <w:t>– §13 Spresniť podmienky za, ktorých má nájomca právo na prednostné uzatvorenie nájomnej zmluvy.</w:t>
            </w:r>
          </w:p>
          <w:p w:rsidR="00581CC3" w:rsidRPr="00C3452A" w:rsidP="00020905">
            <w:pPr>
              <w:keepNext w:val="0"/>
              <w:widowControl w:val="0"/>
              <w:numPr>
                <w:numId w:val="12"/>
              </w:numPr>
              <w:bidi w:val="0"/>
              <w:spacing w:after="60" w:line="256" w:lineRule="auto"/>
              <w:ind w:left="284" w:hanging="284"/>
              <w:rPr>
                <w:rFonts w:ascii="Times New Roman" w:hAnsi="Times New Roman"/>
                <w:sz w:val="22"/>
                <w:szCs w:val="22"/>
                <w:lang w:eastAsia="en-US"/>
              </w:rPr>
            </w:pPr>
            <w:r w:rsidRPr="00C3452A">
              <w:rPr>
                <w:rFonts w:ascii="Times New Roman" w:hAnsi="Times New Roman"/>
                <w:sz w:val="22"/>
                <w:szCs w:val="22"/>
              </w:rPr>
              <w:t>Evidencia podnájomných a iných užívacích vzťahov.</w:t>
            </w:r>
          </w:p>
          <w:p w:rsidR="00581CC3" w:rsidRPr="00C3452A" w:rsidP="00020905">
            <w:pPr>
              <w:widowControl w:val="0"/>
              <w:bidi w:val="0"/>
              <w:spacing w:after="60" w:line="256" w:lineRule="auto"/>
              <w:rPr>
                <w:rFonts w:ascii="Times New Roman" w:hAnsi="Times New Roman"/>
                <w:sz w:val="22"/>
                <w:szCs w:val="22"/>
                <w:lang w:eastAsia="en-US"/>
              </w:rPr>
            </w:pPr>
          </w:p>
        </w:tc>
      </w:tr>
      <w:tr>
        <w:tblPrEx>
          <w:tblW w:w="9072" w:type="dxa"/>
          <w:tblInd w:w="108" w:type="dxa"/>
          <w:tblLayout w:type="fixed"/>
          <w:tblLook w:val="04A0"/>
        </w:tblPrEx>
        <w:tc>
          <w:tcPr>
            <w:tcW w:w="907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Dotknuté subjekty</w:t>
            </w:r>
          </w:p>
        </w:tc>
      </w:tr>
      <w:tr>
        <w:tblPrEx>
          <w:tblW w:w="9072" w:type="dxa"/>
          <w:tblInd w:w="108" w:type="dxa"/>
          <w:tblLayout w:type="fixed"/>
          <w:tblLook w:val="04A0"/>
        </w:tblPrEx>
        <w:trPr>
          <w:trHeight w:val="702"/>
        </w:trPr>
        <w:tc>
          <w:tcPr>
            <w:tcW w:w="907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subjekty, ktorých sa zmeny návrhu dotknú priamo aj nepriamo:</w:t>
            </w:r>
          </w:p>
          <w:p w:rsidR="00581CC3" w:rsidRPr="00C3452A" w:rsidP="00020905">
            <w:pPr>
              <w:bidi w:val="0"/>
              <w:rPr>
                <w:rFonts w:ascii="Times New Roman" w:hAnsi="Times New Roman"/>
                <w:sz w:val="22"/>
                <w:szCs w:val="22"/>
              </w:rPr>
            </w:pPr>
            <w:r w:rsidRPr="00C3452A">
              <w:rPr>
                <w:rFonts w:ascii="Times New Roman" w:hAnsi="Times New Roman"/>
                <w:sz w:val="22"/>
                <w:szCs w:val="22"/>
              </w:rPr>
              <w:t>Okresné úrady – pozemkové a lesné odbory, nájomcovia, vlastníci poľnohospodárskych pozemkov</w:t>
            </w:r>
          </w:p>
          <w:p w:rsidR="00581CC3" w:rsidRPr="00C3452A" w:rsidP="00020905">
            <w:pPr>
              <w:bidi w:val="0"/>
              <w:rPr>
                <w:rFonts w:ascii="Times New Roman" w:hAnsi="Times New Roman"/>
                <w:sz w:val="22"/>
                <w:szCs w:val="22"/>
              </w:rPr>
            </w:pPr>
          </w:p>
          <w:p w:rsidR="00581CC3" w:rsidRPr="00C3452A" w:rsidP="00020905">
            <w:pPr>
              <w:bidi w:val="0"/>
              <w:rPr>
                <w:rFonts w:ascii="Times New Roman" w:hAnsi="Times New Roman"/>
                <w:sz w:val="22"/>
                <w:szCs w:val="22"/>
              </w:rPr>
            </w:pPr>
          </w:p>
        </w:tc>
      </w:tr>
      <w:tr>
        <w:tblPrEx>
          <w:tblW w:w="9072" w:type="dxa"/>
          <w:tblInd w:w="108" w:type="dxa"/>
          <w:tblLayout w:type="fixed"/>
          <w:tblLook w:val="04A0"/>
        </w:tblPrEx>
        <w:tc>
          <w:tcPr>
            <w:tcW w:w="9072"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Alternatívne riešenia</w:t>
            </w:r>
          </w:p>
        </w:tc>
      </w:tr>
      <w:tr>
        <w:tblPrEx>
          <w:tblW w:w="9072" w:type="dxa"/>
          <w:tblInd w:w="108" w:type="dxa"/>
          <w:tblLayout w:type="fixed"/>
          <w:tblLook w:val="04A0"/>
        </w:tblPrEx>
        <w:trPr>
          <w:trHeight w:val="709"/>
        </w:trPr>
        <w:tc>
          <w:tcPr>
            <w:tcW w:w="907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Aké alternatívne riešenia boli posudzované?</w:t>
            </w:r>
          </w:p>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aké alternatívne spôsoby na odstránenie definovaného problému boli identifikované a posudzované.</w:t>
            </w:r>
          </w:p>
          <w:p w:rsidR="00581CC3" w:rsidRPr="00C3452A" w:rsidP="00020905">
            <w:pPr>
              <w:bidi w:val="0"/>
              <w:rPr>
                <w:rFonts w:ascii="Times New Roman" w:hAnsi="Times New Roman"/>
                <w:b/>
                <w:i/>
                <w:sz w:val="22"/>
                <w:szCs w:val="22"/>
              </w:rPr>
            </w:pPr>
            <w:r w:rsidRPr="00C3452A">
              <w:rPr>
                <w:rFonts w:ascii="Times New Roman" w:hAnsi="Times New Roman"/>
                <w:b/>
                <w:i/>
                <w:sz w:val="22"/>
                <w:szCs w:val="22"/>
              </w:rPr>
              <w:t>Vypúšťajú sa ustanovenia o automatickej obnove a upravujú sa ustanovenia o prednostnom nájme.</w:t>
            </w:r>
          </w:p>
          <w:p w:rsidR="00581CC3" w:rsidRPr="00C3452A" w:rsidP="00020905">
            <w:pPr>
              <w:pStyle w:val="CommentText"/>
              <w:bidi w:val="0"/>
              <w:rPr>
                <w:rFonts w:ascii="Times New Roman" w:hAnsi="Times New Roman"/>
                <w:sz w:val="22"/>
                <w:szCs w:val="22"/>
              </w:rPr>
            </w:pPr>
            <w:r w:rsidRPr="00C3452A">
              <w:rPr>
                <w:rFonts w:ascii="Times New Roman" w:hAnsi="Times New Roman"/>
                <w:sz w:val="22"/>
                <w:szCs w:val="22"/>
              </w:rPr>
              <w:t xml:space="preserve">Konzultácie prebehli v termíne od 07.04.2017 do 05.05.2017. Konzultácii sa zúčastnili podnikateľské subjekty pôsobiace v poľnohospodárstve a to; zástupcovia veľkopodnikateľov SPPK, Agrárnej komory Slovenska, zástupcovia malých a stredných podnikateľov a to;  Vidiecka platforma, Združenie mladých farmárov. Na pracovnom stretnutí boli prezentované diametrálne odlišné názory. SPPK a Agrárna komora Slovenska presadzovala názor ponechať ustanovenia automatickej obnovy nájomného vzťahu. Zástupcovia malých a stredných podnikateľov navrhovali zrušiť právo prednostného nájmu. </w:t>
            </w:r>
          </w:p>
          <w:p w:rsidR="00581CC3" w:rsidRPr="00C3452A" w:rsidP="00020905">
            <w:pPr>
              <w:widowControl w:val="0"/>
              <w:shd w:val="clear" w:color="auto" w:fill="FFFFFF"/>
              <w:bidi w:val="0"/>
              <w:rPr>
                <w:rFonts w:ascii="Times New Roman" w:hAnsi="Times New Roman"/>
                <w:sz w:val="22"/>
                <w:szCs w:val="22"/>
              </w:rPr>
            </w:pPr>
            <w:r w:rsidRPr="00C3452A">
              <w:rPr>
                <w:rFonts w:ascii="Times New Roman" w:hAnsi="Times New Roman"/>
                <w:sz w:val="22"/>
                <w:szCs w:val="22"/>
              </w:rPr>
              <w:t>Novela zákona zrušuje automatickú obnovu nájomného vzťahu v prípade, ak rok pred uplynutím času, na ktorý bol nájom dohodnutý, prenajímateľ nevyzval nájomcu na vrátenie pozemkov, resp. nájomca nevyzval prenajímateľa na prevzatie pozemkov. Takáto právna úprava často viedla k sporom a k neprehľadnosti v dojednaniach týkajúcich sa užívania pozemkov. Akreditovaný orgán štátnej správy zabezpečujúci administratívnu činnosť pri poskytovaní podpory v poľnohospodárstve detekoval automatickú obnovu nájomného vzťahu ako častú príčinu tzv. dvojitých deklarácií. Takéto jeho zistenia následne môžu brzdiť výplatu priamych platieb aj tým subjektom, ktoré – s ohľadom na systém priamych platieb viazaných na pôdne bloky–dvojitú deklaráciu nespôsobili. Navyše, ako vyplýva z doterajších zistení tohto orgánu, následné riešenia v záujme odstránenia vzniknutých nejasností (s ohľadom na povinnosť výkonu kontrolnej činnosti presne určenými subjektmi) si  vyžadujú finančné náklady v rozsahu cca 450 € – 500 € denne. S cieľom zabrániť zvyšovaniu takýchto finančných nákladov pre akreditovaný orgán štátnej správy t.j. PPA dochádza k zrušeniu automatickej obnovy.</w:t>
            </w:r>
          </w:p>
          <w:p w:rsidR="00581CC3" w:rsidRPr="00C3452A" w:rsidP="00020905">
            <w:pPr>
              <w:pStyle w:val="CommentText"/>
              <w:bidi w:val="0"/>
              <w:rPr>
                <w:rFonts w:ascii="Times New Roman" w:hAnsi="Times New Roman"/>
                <w:sz w:val="22"/>
                <w:szCs w:val="22"/>
              </w:rPr>
            </w:pPr>
            <w:r w:rsidRPr="00C3452A">
              <w:rPr>
                <w:rFonts w:ascii="Times New Roman" w:hAnsi="Times New Roman"/>
                <w:sz w:val="22"/>
                <w:szCs w:val="22"/>
              </w:rPr>
              <w:t>V súvislosti s právom prednostného nájmu novela v záujme obmedzia možných súdnych sporov definuje prípady, kedy sa toto právo pri uzatváraní nových nájomných zmlúv neuplatní. Zároveň novela stanovila, že v prípade nerešpektovania prednostného práva na  nájom sa právny úkon prenajímateľa bude považovať za neplatný, pokiaľ sa ten, kto je  takýmto úkonom dotknutý (nájomca), neplatnosti právneho úkonu dovolá.</w:t>
            </w:r>
          </w:p>
          <w:p w:rsidR="00581CC3" w:rsidRPr="00C3452A" w:rsidP="00020905">
            <w:pPr>
              <w:bidi w:val="0"/>
              <w:rPr>
                <w:rFonts w:ascii="Times New Roman" w:hAnsi="Times New Roman"/>
                <w:sz w:val="22"/>
                <w:szCs w:val="22"/>
              </w:rPr>
            </w:pPr>
            <w:r w:rsidRPr="00C3452A">
              <w:rPr>
                <w:rFonts w:ascii="Times New Roman" w:hAnsi="Times New Roman"/>
                <w:sz w:val="22"/>
                <w:szCs w:val="22"/>
              </w:rPr>
              <w:t>Novela zároveň spresňuje, akým postupom a za akých podmienok nájomca realizuje svoje prednostné právo s tým, že najskôr rok pred uplynutím času, na ktorý bol nájom dohodnutý, musí preukázateľným spôsobom doručiť prenajímateľovi návrh novej nájomnej zmluvy. Ak  sa na prenajímateľa vzťahuje niektorý z dôvodov uvedených v § 13 odseku 2 alebo má  prenajímateľ za to, že navrhnutá výška nájomného nie je obvyklá nájomnému za  poľnohospodársku pôdu v danom katastrálnom území, mal by návrh nájomcu do dvoch mesiacov odo dňa jeho doručenia odmietnuť. V opačnom prípade vznikne nájomný vzťah za  podmienok uvedených v návrhu nájomnej zmluvy, ktorú mu nájomca zaslal. Novela v prípade prednostného nájmu zavádza jednoznačnejší systém pri uplatňovaní uvedeného inštitútu.</w:t>
            </w: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Vykonávacie predpisy</w:t>
            </w:r>
          </w:p>
        </w:tc>
      </w:tr>
      <w:tr>
        <w:tblPrEx>
          <w:tblW w:w="9072" w:type="dxa"/>
          <w:tblInd w:w="108" w:type="dxa"/>
          <w:tblLayout w:type="fixed"/>
          <w:tblLook w:val="04A0"/>
        </w:tblPrEx>
        <w:tc>
          <w:tcPr>
            <w:tcW w:w="6093" w:type="dxa"/>
            <w:gridSpan w:val="6"/>
            <w:tcBorders>
              <w:top w:val="single" w:sz="4" w:space="0" w:color="FFFFFF"/>
              <w:left w:val="single" w:sz="4" w:space="0" w:color="auto"/>
              <w:bottom w:val="nil"/>
              <w:right w:val="nil"/>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Predpokladá sa prijatie/zmena  vykonávacích predpisov?</w:t>
            </w:r>
          </w:p>
        </w:tc>
        <w:tc>
          <w:tcPr>
            <w:tcW w:w="1418" w:type="dxa"/>
            <w:gridSpan w:val="2"/>
            <w:tcBorders>
              <w:top w:val="single" w:sz="4" w:space="0" w:color="FFFFFF"/>
              <w:left w:val="nil"/>
              <w:bottom w:val="nil"/>
              <w:right w:val="nil"/>
            </w:tcBorders>
            <w:shd w:val="clear" w:color="auto" w:fill="FFFFFF"/>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r w:rsidRPr="00C3452A">
              <w:rPr>
                <w:rFonts w:ascii="Times New Roman" w:hAnsi="Times New Roman"/>
                <w:sz w:val="22"/>
                <w:szCs w:val="22"/>
              </w:rPr>
              <w:t xml:space="preserve">  Áno</w:t>
            </w:r>
          </w:p>
        </w:tc>
        <w:tc>
          <w:tcPr>
            <w:tcW w:w="1561" w:type="dxa"/>
            <w:gridSpan w:val="2"/>
            <w:tcBorders>
              <w:top w:val="single" w:sz="4" w:space="0" w:color="FFFFFF"/>
              <w:left w:val="nil"/>
              <w:bottom w:val="nil"/>
              <w:right w:val="single" w:sz="4" w:space="0" w:color="auto"/>
            </w:tcBorders>
            <w:shd w:val="clear" w:color="auto" w:fill="FFFFFF"/>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r w:rsidRPr="00C3452A">
              <w:rPr>
                <w:rFonts w:ascii="Times New Roman" w:hAnsi="Times New Roman"/>
                <w:sz w:val="22"/>
                <w:szCs w:val="22"/>
              </w:rPr>
              <w:t xml:space="preserve">  Nie</w:t>
            </w:r>
          </w:p>
        </w:tc>
      </w:tr>
      <w:tr>
        <w:tblPrEx>
          <w:tblW w:w="9072" w:type="dxa"/>
          <w:tblInd w:w="108" w:type="dxa"/>
          <w:tblLayout w:type="fixed"/>
          <w:tblLook w:val="04A0"/>
        </w:tblPrEx>
        <w:tc>
          <w:tcPr>
            <w:tcW w:w="9072"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Ak áno, uveďte ktoré oblasti budú nimi upravené, resp. ktorých vykonávacích predpisov sa zmena dotkne:</w:t>
            </w: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 xml:space="preserve">Transpozícia práva EÚ </w:t>
            </w:r>
          </w:p>
        </w:tc>
      </w:tr>
      <w:tr>
        <w:tblPrEx>
          <w:tblW w:w="9072" w:type="dxa"/>
          <w:tblInd w:w="108" w:type="dxa"/>
          <w:tblLayout w:type="fixed"/>
          <w:tblLook w:val="04A0"/>
        </w:tblPrEx>
        <w:trPr>
          <w:trHeight w:val="157"/>
        </w:trPr>
        <w:tc>
          <w:tcPr>
            <w:tcW w:w="9072" w:type="dxa"/>
            <w:gridSpan w:val="10"/>
            <w:tcBorders>
              <w:top w:val="nil"/>
              <w:left w:val="single" w:sz="4" w:space="0" w:color="000000"/>
              <w:bottom w:val="nil"/>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v ktorých ustanoveniach ide národná právna úprava nad rámec minimálnych požiadaviek EÚ spolu s odôvodnením.</w:t>
            </w:r>
          </w:p>
        </w:tc>
      </w:tr>
      <w:tr>
        <w:tblPrEx>
          <w:tblW w:w="9072" w:type="dxa"/>
          <w:tblInd w:w="108" w:type="dxa"/>
          <w:tblLayout w:type="fixed"/>
          <w:tblLook w:val="04A0"/>
        </w:tblPrEx>
        <w:trPr>
          <w:trHeight w:val="248"/>
        </w:trPr>
        <w:tc>
          <w:tcPr>
            <w:tcW w:w="9072"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nie</w:t>
            </w:r>
          </w:p>
        </w:tc>
      </w:tr>
      <w:tr>
        <w:tblPrEx>
          <w:tblW w:w="9072" w:type="dxa"/>
          <w:tblInd w:w="108" w:type="dxa"/>
          <w:tblLayout w:type="fixed"/>
          <w:tblLook w:val="04A0"/>
        </w:tblPrEx>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Preskúmanie účelnosti**</w:t>
            </w:r>
          </w:p>
        </w:tc>
      </w:tr>
      <w:tr>
        <w:tblPrEx>
          <w:tblW w:w="9072" w:type="dxa"/>
          <w:tblInd w:w="108" w:type="dxa"/>
          <w:tblLayout w:type="fixed"/>
          <w:tblLook w:val="04A0"/>
        </w:tblPrEx>
        <w:tc>
          <w:tcPr>
            <w:tcW w:w="9072"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termín, kedy by malo dôjsť k preskúmaniu účinnosti a účelnosti navrhovaného predpisu.</w:t>
            </w:r>
          </w:p>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kritériá, na základe ktorých bude preskúmanie vykonané.</w:t>
            </w:r>
          </w:p>
          <w:p w:rsidR="00581CC3" w:rsidRPr="00C3452A" w:rsidP="00020905">
            <w:pPr>
              <w:bidi w:val="0"/>
              <w:rPr>
                <w:rFonts w:ascii="Times New Roman" w:hAnsi="Times New Roman"/>
                <w:i/>
                <w:sz w:val="22"/>
                <w:szCs w:val="22"/>
              </w:rPr>
            </w:pPr>
            <w:r w:rsidRPr="00C3452A">
              <w:rPr>
                <w:rFonts w:ascii="Times New Roman" w:hAnsi="Times New Roman"/>
                <w:i/>
                <w:sz w:val="22"/>
                <w:szCs w:val="22"/>
              </w:rPr>
              <w:t>nie</w:t>
            </w:r>
          </w:p>
        </w:tc>
      </w:tr>
      <w:tr>
        <w:tblPrEx>
          <w:tblW w:w="9072" w:type="dxa"/>
          <w:tblInd w:w="108" w:type="dxa"/>
          <w:tblLayout w:type="fixed"/>
          <w:tblLook w:val="04A0"/>
        </w:tblPrEx>
        <w:trPr>
          <w:trHeight w:val="715"/>
        </w:trPr>
        <w:tc>
          <w:tcPr>
            <w:tcW w:w="9072" w:type="dxa"/>
            <w:gridSpan w:val="10"/>
            <w:tcBorders>
              <w:top w:val="single" w:sz="4" w:space="0" w:color="auto"/>
              <w:left w:val="nil"/>
              <w:bottom w:val="nil"/>
              <w:right w:val="nil"/>
            </w:tcBorders>
            <w:shd w:val="clear" w:color="auto" w:fill="FFFFFF"/>
            <w:textDirection w:val="lrTb"/>
            <w:vAlign w:val="top"/>
          </w:tcPr>
          <w:p w:rsidR="00581CC3" w:rsidRPr="00C3452A" w:rsidP="00020905">
            <w:pPr>
              <w:bidi w:val="0"/>
              <w:ind w:left="142" w:hanging="142"/>
              <w:rPr>
                <w:rFonts w:ascii="Times New Roman" w:hAnsi="Times New Roman"/>
                <w:sz w:val="22"/>
                <w:szCs w:val="22"/>
              </w:rPr>
            </w:pPr>
            <w:r w:rsidRPr="00C3452A">
              <w:rPr>
                <w:rFonts w:ascii="Times New Roman" w:hAnsi="Times New Roman"/>
                <w:sz w:val="22"/>
                <w:szCs w:val="22"/>
              </w:rPr>
              <w:t>* vyplniť iba v prípade, ak materiál nie je zahrnutý do Plánu práce vlády Slovenskej republiky alebo Plánu legislatívnych úloh vlády Slovenskej republiky.</w:t>
            </w:r>
          </w:p>
          <w:p w:rsidR="00581CC3" w:rsidRPr="00C3452A" w:rsidP="00020905">
            <w:pPr>
              <w:bidi w:val="0"/>
              <w:rPr>
                <w:rFonts w:ascii="Times New Roman" w:hAnsi="Times New Roman"/>
                <w:sz w:val="22"/>
                <w:szCs w:val="22"/>
              </w:rPr>
            </w:pPr>
            <w:r w:rsidRPr="00C3452A">
              <w:rPr>
                <w:rFonts w:ascii="Times New Roman" w:hAnsi="Times New Roman"/>
                <w:sz w:val="22"/>
                <w:szCs w:val="22"/>
              </w:rPr>
              <w:t>** nepovinné</w:t>
            </w:r>
          </w:p>
          <w:p w:rsidR="00581CC3" w:rsidRPr="00C3452A" w:rsidP="00020905">
            <w:pPr>
              <w:bidi w:val="0"/>
              <w:rPr>
                <w:rFonts w:ascii="Times New Roman" w:hAnsi="Times New Roman"/>
                <w:sz w:val="22"/>
                <w:szCs w:val="22"/>
              </w:rPr>
            </w:pPr>
          </w:p>
          <w:p w:rsidR="00581CC3" w:rsidRPr="00C3452A" w:rsidP="00020905">
            <w:pPr>
              <w:bidi w:val="0"/>
              <w:rPr>
                <w:rFonts w:ascii="Times New Roman" w:hAnsi="Times New Roman"/>
                <w:sz w:val="22"/>
                <w:szCs w:val="22"/>
              </w:rPr>
            </w:pPr>
          </w:p>
        </w:tc>
      </w:tr>
      <w:tr>
        <w:tblPrEx>
          <w:tblW w:w="9072" w:type="dxa"/>
          <w:tblInd w:w="108" w:type="dxa"/>
          <w:tblLayout w:type="fixed"/>
          <w:tblLook w:val="04A0"/>
        </w:tblPrEx>
        <w:tc>
          <w:tcPr>
            <w:tcW w:w="9072" w:type="dxa"/>
            <w:gridSpan w:val="10"/>
            <w:tcBorders>
              <w:top w:val="nil"/>
              <w:left w:val="nil"/>
              <w:bottom w:val="single" w:sz="4" w:space="0" w:color="auto"/>
              <w:right w:val="nil"/>
            </w:tcBorders>
            <w:shd w:val="clear" w:color="auto" w:fill="FFFFFF"/>
            <w:textDirection w:val="lrTb"/>
            <w:vAlign w:val="top"/>
          </w:tcPr>
          <w:p w:rsidR="00581CC3" w:rsidRPr="00C3452A" w:rsidP="00020905">
            <w:pPr>
              <w:bidi w:val="0"/>
              <w:rPr>
                <w:rFonts w:ascii="Times New Roman" w:hAnsi="Times New Roman"/>
                <w:b/>
                <w:sz w:val="22"/>
                <w:szCs w:val="22"/>
              </w:rPr>
            </w:pPr>
          </w:p>
        </w:tc>
      </w:tr>
      <w:tr>
        <w:tblPrEx>
          <w:tblW w:w="9072" w:type="dxa"/>
          <w:tblInd w:w="108" w:type="dxa"/>
          <w:tblLayout w:type="fixed"/>
          <w:tblLook w:val="04A0"/>
        </w:tblPrEx>
        <w:trPr>
          <w:trHeight w:val="577"/>
        </w:trPr>
        <w:tc>
          <w:tcPr>
            <w:tcW w:w="9072"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Vplyvy navrhovaného materiálu</w:t>
            </w:r>
          </w:p>
        </w:tc>
      </w:tr>
      <w:tr>
        <w:tblPrEx>
          <w:tblW w:w="9072" w:type="dxa"/>
          <w:tblInd w:w="108" w:type="dxa"/>
          <w:tblLayout w:type="fixed"/>
          <w:tblLook w:val="04A0"/>
        </w:tblPrEx>
        <w:tc>
          <w:tcPr>
            <w:tcW w:w="3702" w:type="dxa"/>
            <w:tcBorders>
              <w:top w:val="single" w:sz="4" w:space="0" w:color="auto"/>
              <w:left w:val="single" w:sz="4" w:space="0" w:color="auto"/>
              <w:bottom w:val="nil"/>
              <w:right w:val="single" w:sz="4" w:space="0" w:color="auto"/>
            </w:tcBorders>
            <w:shd w:val="clear" w:color="auto" w:fill="E2E2E2"/>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ind w:left="-107" w:right="-108"/>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34"/>
              <w:rPr>
                <w:rFonts w:ascii="Times New Roman" w:hAnsi="Times New Roman"/>
                <w:b/>
                <w:sz w:val="22"/>
                <w:szCs w:val="22"/>
              </w:rPr>
            </w:pPr>
            <w:r w:rsidRPr="00C3452A">
              <w:rPr>
                <w:rFonts w:ascii="Times New Roman" w:hAnsi="Times New Roman"/>
                <w:b/>
                <w:sz w:val="22"/>
                <w:szCs w:val="22"/>
              </w:rPr>
              <w:t>Negatívne</w:t>
            </w:r>
          </w:p>
        </w:tc>
      </w:tr>
      <w:tr>
        <w:tblPrEx>
          <w:tblW w:w="9072" w:type="dxa"/>
          <w:tblInd w:w="108" w:type="dxa"/>
          <w:tblLayout w:type="fixed"/>
          <w:tblLook w:val="04A0"/>
        </w:tblPrEx>
        <w:tc>
          <w:tcPr>
            <w:tcW w:w="3702" w:type="dxa"/>
            <w:tcBorders>
              <w:top w:val="nil"/>
              <w:left w:val="single" w:sz="4" w:space="0" w:color="auto"/>
              <w:bottom w:val="single" w:sz="4" w:space="0" w:color="000000"/>
              <w:right w:val="single" w:sz="4" w:space="0" w:color="auto"/>
            </w:tcBorders>
            <w:shd w:val="clear" w:color="auto" w:fill="E2E2E2"/>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Áno</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Nie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ind w:left="-107" w:right="-108"/>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34"/>
              <w:rPr>
                <w:rFonts w:ascii="Times New Roman" w:hAnsi="Times New Roman"/>
                <w:sz w:val="22"/>
                <w:szCs w:val="22"/>
              </w:rPr>
            </w:pPr>
            <w:r w:rsidRPr="00C3452A">
              <w:rPr>
                <w:rFonts w:ascii="Times New Roman" w:hAnsi="Times New Roman"/>
                <w:sz w:val="22"/>
                <w:szCs w:val="22"/>
              </w:rPr>
              <w:t>Čiastočne</w:t>
            </w:r>
          </w:p>
        </w:tc>
      </w:tr>
      <w:tr>
        <w:tblPrEx>
          <w:tblW w:w="9072" w:type="dxa"/>
          <w:tblInd w:w="108" w:type="dxa"/>
          <w:tblLayout w:type="fixed"/>
          <w:tblLook w:val="04A0"/>
        </w:tblPrEx>
        <w:tc>
          <w:tcPr>
            <w:tcW w:w="3702" w:type="dxa"/>
            <w:tcBorders>
              <w:top w:val="single" w:sz="4" w:space="0" w:color="000000"/>
              <w:left w:val="single" w:sz="4" w:space="0" w:color="auto"/>
              <w:bottom w:val="nil"/>
              <w:right w:val="single" w:sz="4" w:space="0" w:color="auto"/>
            </w:tcBorders>
            <w:shd w:val="clear" w:color="auto" w:fill="E2E2E2"/>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54"/>
              <w:rPr>
                <w:rFonts w:ascii="Times New Roman" w:hAnsi="Times New Roman"/>
                <w:b/>
                <w:sz w:val="22"/>
                <w:szCs w:val="22"/>
              </w:rPr>
            </w:pPr>
            <w:r w:rsidRPr="00C3452A">
              <w:rPr>
                <w:rFonts w:ascii="Times New Roman" w:hAnsi="Times New Roman"/>
                <w:b/>
                <w:sz w:val="22"/>
                <w:szCs w:val="22"/>
              </w:rPr>
              <w:t>Negatívne</w:t>
            </w:r>
          </w:p>
        </w:tc>
      </w:tr>
      <w:tr>
        <w:tblPrEx>
          <w:tblW w:w="9072" w:type="dxa"/>
          <w:tblInd w:w="108" w:type="dxa"/>
          <w:tblLayout w:type="fixed"/>
          <w:tblLook w:val="04A0"/>
        </w:tblPrEx>
        <w:tc>
          <w:tcPr>
            <w:tcW w:w="3702" w:type="dxa"/>
            <w:tcBorders>
              <w:top w:val="nil"/>
              <w:left w:val="single" w:sz="4" w:space="0" w:color="000000"/>
              <w:bottom w:val="single" w:sz="4" w:space="0" w:color="000000"/>
              <w:right w:val="single" w:sz="4" w:space="0" w:color="000000"/>
            </w:tcBorders>
            <w:shd w:val="clear" w:color="auto" w:fill="E2E2E2"/>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ind w:right="-108"/>
              <w:rPr>
                <w:rFonts w:ascii="Times New Roman" w:hAnsi="Times New Roman"/>
                <w:sz w:val="22"/>
                <w:szCs w:val="22"/>
              </w:rPr>
            </w:pPr>
            <w:r w:rsidRPr="00C3452A">
              <w:rPr>
                <w:rFonts w:ascii="Times New Roman" w:hAnsi="Times New Roman"/>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sz w:val="22"/>
                <w:szCs w:val="22"/>
              </w:rPr>
            </w:pPr>
            <w:r w:rsidRPr="00C3452A">
              <w:rPr>
                <w:rFonts w:ascii="Times New Roman" w:hAnsi="Times New Roman"/>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54"/>
              <w:rPr>
                <w:rFonts w:ascii="Times New Roman" w:hAnsi="Times New Roman"/>
                <w:sz w:val="22"/>
                <w:szCs w:val="22"/>
              </w:rPr>
            </w:pPr>
            <w:r w:rsidRPr="00C3452A">
              <w:rPr>
                <w:rFonts w:ascii="Times New Roman" w:hAnsi="Times New Roman"/>
                <w:sz w:val="22"/>
                <w:szCs w:val="22"/>
              </w:rPr>
              <w:t>Negatívne</w:t>
            </w:r>
          </w:p>
        </w:tc>
      </w:tr>
      <w:tr>
        <w:tblPrEx>
          <w:tblW w:w="9072" w:type="dxa"/>
          <w:tblInd w:w="108" w:type="dxa"/>
          <w:tblLayout w:type="fixed"/>
          <w:tblLook w:val="04A0"/>
        </w:tblPrEx>
        <w:tc>
          <w:tcPr>
            <w:tcW w:w="370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54"/>
              <w:rPr>
                <w:rFonts w:ascii="Times New Roman" w:hAnsi="Times New Roman"/>
                <w:b/>
                <w:sz w:val="22"/>
                <w:szCs w:val="22"/>
              </w:rPr>
            </w:pPr>
            <w:r w:rsidRPr="00C3452A">
              <w:rPr>
                <w:rFonts w:ascii="Times New Roman" w:hAnsi="Times New Roman"/>
                <w:b/>
                <w:sz w:val="22"/>
                <w:szCs w:val="22"/>
              </w:rPr>
              <w:t>Negatívne</w:t>
            </w:r>
          </w:p>
        </w:tc>
      </w:tr>
      <w:tr>
        <w:tblPrEx>
          <w:tblW w:w="9072" w:type="dxa"/>
          <w:tblInd w:w="108" w:type="dxa"/>
          <w:tblLayout w:type="fixed"/>
          <w:tblLook w:val="04A0"/>
        </w:tblPrEx>
        <w:tc>
          <w:tcPr>
            <w:tcW w:w="370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54"/>
              <w:rPr>
                <w:rFonts w:ascii="Times New Roman" w:hAnsi="Times New Roman"/>
                <w:b/>
                <w:sz w:val="22"/>
                <w:szCs w:val="22"/>
              </w:rPr>
            </w:pPr>
            <w:r w:rsidRPr="00C3452A">
              <w:rPr>
                <w:rFonts w:ascii="Times New Roman" w:hAnsi="Times New Roman"/>
                <w:b/>
                <w:sz w:val="22"/>
                <w:szCs w:val="22"/>
              </w:rPr>
              <w:t>Negatívne</w:t>
            </w:r>
          </w:p>
        </w:tc>
      </w:tr>
      <w:tr>
        <w:tblPrEx>
          <w:tblW w:w="9072" w:type="dxa"/>
          <w:tblInd w:w="108" w:type="dxa"/>
          <w:tblLayout w:type="fixed"/>
          <w:tblLook w:val="04A0"/>
        </w:tblPrEx>
        <w:tc>
          <w:tcPr>
            <w:tcW w:w="370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gridSpan w:val="2"/>
            <w:tcBorders>
              <w:top w:val="single" w:sz="4" w:space="0" w:color="auto"/>
              <w:left w:val="nil"/>
              <w:bottom w:val="single" w:sz="4" w:space="0" w:color="auto"/>
              <w:right w:val="nil"/>
            </w:tcBorders>
            <w:textDirection w:val="lrTb"/>
            <w:vAlign w:val="top"/>
          </w:tcPr>
          <w:p w:rsidR="00581CC3" w:rsidRPr="00C3452A" w:rsidP="00020905">
            <w:pPr>
              <w:bidi w:val="0"/>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4" w:type="dxa"/>
            <w:tcBorders>
              <w:top w:val="single" w:sz="4" w:space="0" w:color="auto"/>
              <w:left w:val="nil"/>
              <w:bottom w:val="single" w:sz="4" w:space="0" w:color="auto"/>
              <w:right w:val="nil"/>
            </w:tcBorders>
            <w:textDirection w:val="lrTb"/>
            <w:vAlign w:val="top"/>
          </w:tcPr>
          <w:p w:rsidR="00581CC3" w:rsidRPr="00C3452A" w:rsidP="00020905">
            <w:pPr>
              <w:bidi w:val="0"/>
              <w:rPr>
                <w:rFonts w:ascii="Times New Roman" w:hAnsi="Times New Roman"/>
                <w:b/>
                <w:sz w:val="22"/>
                <w:szCs w:val="22"/>
              </w:rPr>
            </w:pPr>
            <w:r w:rsidRPr="00C3452A">
              <w:rPr>
                <w:rFonts w:ascii="Times New Roman" w:hAnsi="Times New Roman"/>
                <w:b/>
                <w:sz w:val="22"/>
                <w:szCs w:val="22"/>
              </w:rPr>
              <w:t>Žiadne</w:t>
            </w:r>
          </w:p>
        </w:tc>
        <w:tc>
          <w:tcPr>
            <w:tcW w:w="547" w:type="dxa"/>
            <w:gridSpan w:val="2"/>
            <w:tcBorders>
              <w:top w:val="single" w:sz="4" w:space="0" w:color="auto"/>
              <w:left w:val="nil"/>
              <w:bottom w:val="single" w:sz="4" w:space="0" w:color="auto"/>
              <w:right w:val="nil"/>
            </w:tcBorders>
            <w:textDirection w:val="lrTb"/>
            <w:vAlign w:val="top"/>
          </w:tcPr>
          <w:p w:rsidR="00581CC3" w:rsidRPr="00C3452A" w:rsidP="00020905">
            <w:pPr>
              <w:bidi w:val="0"/>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8" w:type="dxa"/>
            <w:tcBorders>
              <w:top w:val="single" w:sz="4" w:space="0" w:color="auto"/>
              <w:left w:val="nil"/>
              <w:bottom w:val="single" w:sz="4" w:space="0" w:color="auto"/>
              <w:right w:val="single" w:sz="4" w:space="0" w:color="auto"/>
            </w:tcBorders>
            <w:textDirection w:val="lrTb"/>
            <w:vAlign w:val="top"/>
          </w:tcPr>
          <w:p w:rsidR="00581CC3" w:rsidRPr="00C3452A" w:rsidP="00020905">
            <w:pPr>
              <w:bidi w:val="0"/>
              <w:ind w:left="54"/>
              <w:rPr>
                <w:rFonts w:ascii="Times New Roman" w:hAnsi="Times New Roman"/>
                <w:b/>
                <w:sz w:val="22"/>
                <w:szCs w:val="22"/>
              </w:rPr>
            </w:pPr>
            <w:r w:rsidRPr="00C3452A">
              <w:rPr>
                <w:rFonts w:ascii="Times New Roman" w:hAnsi="Times New Roman"/>
                <w:b/>
                <w:sz w:val="22"/>
                <w:szCs w:val="22"/>
              </w:rPr>
              <w:t>Negatívne</w:t>
            </w:r>
          </w:p>
        </w:tc>
      </w:tr>
    </w:tbl>
    <w:tbl>
      <w:tblPr>
        <w:tblStyle w:val="TableNormal"/>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704"/>
        <w:gridCol w:w="541"/>
        <w:gridCol w:w="1281"/>
        <w:gridCol w:w="569"/>
        <w:gridCol w:w="1133"/>
        <w:gridCol w:w="547"/>
        <w:gridCol w:w="1297"/>
      </w:tblGrid>
      <w:tr>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704" w:type="dxa"/>
            <w:tcBorders>
              <w:top w:val="single" w:sz="4" w:space="0" w:color="auto"/>
              <w:left w:val="single" w:sz="4" w:space="0" w:color="auto"/>
              <w:bottom w:val="nil"/>
              <w:right w:val="single" w:sz="4" w:space="0" w:color="auto"/>
            </w:tcBorders>
            <w:shd w:val="clear" w:color="auto" w:fill="E2E2E2"/>
            <w:textDirection w:val="lrTb"/>
            <w:vAlign w:val="top"/>
          </w:tcPr>
          <w:p w:rsidR="00581CC3" w:rsidRPr="00C3452A" w:rsidP="00020905">
            <w:pPr>
              <w:bidi w:val="0"/>
              <w:spacing w:after="0" w:line="240" w:lineRule="auto"/>
              <w:rPr>
                <w:rFonts w:ascii="Times New Roman" w:hAnsi="Times New Roman"/>
                <w:b/>
                <w:sz w:val="22"/>
                <w:szCs w:val="22"/>
              </w:rPr>
            </w:pPr>
            <w:r w:rsidRPr="00C3452A">
              <w:rPr>
                <w:rFonts w:ascii="Times New Roman" w:hAnsi="Times New Roman"/>
                <w:b/>
                <w:sz w:val="22"/>
                <w:szCs w:val="22"/>
                <w:lang w:eastAsia="en-US"/>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581CC3" w:rsidRPr="00C3452A" w:rsidP="00020905">
            <w:pPr>
              <w:bidi w:val="0"/>
              <w:spacing w:after="0" w:line="240" w:lineRule="auto"/>
              <w:jc w:val="center"/>
              <w:rPr>
                <w:rFonts w:ascii="Times New Roman" w:eastAsia="MS Mincho" w:hAnsi="Times New Roman"/>
                <w:b/>
                <w:sz w:val="22"/>
                <w:szCs w:val="22"/>
              </w:rPr>
            </w:pPr>
          </w:p>
        </w:tc>
        <w:tc>
          <w:tcPr>
            <w:tcW w:w="1281" w:type="dxa"/>
            <w:tcBorders>
              <w:top w:val="single" w:sz="4" w:space="0" w:color="auto"/>
              <w:left w:val="nil"/>
              <w:bottom w:val="nil"/>
              <w:right w:val="nil"/>
            </w:tcBorders>
            <w:textDirection w:val="lrTb"/>
            <w:vAlign w:val="top"/>
          </w:tcPr>
          <w:p w:rsidR="00581CC3" w:rsidRPr="00C3452A" w:rsidP="00020905">
            <w:pPr>
              <w:bidi w:val="0"/>
              <w:spacing w:after="0" w:line="240" w:lineRule="auto"/>
              <w:ind w:right="-108"/>
              <w:rPr>
                <w:rFonts w:ascii="Times New Roman" w:hAnsi="Times New Roman"/>
                <w:b/>
                <w:sz w:val="22"/>
                <w:szCs w:val="22"/>
              </w:rPr>
            </w:pPr>
          </w:p>
        </w:tc>
        <w:tc>
          <w:tcPr>
            <w:tcW w:w="569" w:type="dxa"/>
            <w:tcBorders>
              <w:top w:val="single" w:sz="4" w:space="0" w:color="auto"/>
              <w:left w:val="nil"/>
              <w:bottom w:val="nil"/>
              <w:right w:val="nil"/>
            </w:tcBorders>
            <w:textDirection w:val="lrTb"/>
            <w:vAlign w:val="top"/>
          </w:tcPr>
          <w:p w:rsidR="00581CC3" w:rsidRPr="00C3452A" w:rsidP="00020905">
            <w:pPr>
              <w:bidi w:val="0"/>
              <w:spacing w:after="0" w:line="240" w:lineRule="auto"/>
              <w:jc w:val="center"/>
              <w:rPr>
                <w:rFonts w:ascii="Times New Roman" w:eastAsia="MS Mincho" w:hAnsi="Times New Roman"/>
                <w:b/>
                <w:sz w:val="22"/>
                <w:szCs w:val="22"/>
              </w:rPr>
            </w:pPr>
          </w:p>
        </w:tc>
        <w:tc>
          <w:tcPr>
            <w:tcW w:w="1133" w:type="dxa"/>
            <w:tcBorders>
              <w:top w:val="single" w:sz="4" w:space="0" w:color="auto"/>
              <w:left w:val="nil"/>
              <w:bottom w:val="nil"/>
              <w:right w:val="nil"/>
            </w:tcBorders>
            <w:textDirection w:val="lrTb"/>
            <w:vAlign w:val="top"/>
          </w:tcPr>
          <w:p w:rsidR="00581CC3" w:rsidRPr="00C3452A" w:rsidP="00020905">
            <w:pPr>
              <w:bidi w:val="0"/>
              <w:spacing w:after="0" w:line="240" w:lineRule="auto"/>
              <w:rPr>
                <w:rFonts w:ascii="Times New Roman" w:hAnsi="Times New Roman"/>
                <w:b/>
                <w:sz w:val="22"/>
                <w:szCs w:val="22"/>
              </w:rPr>
            </w:pPr>
          </w:p>
        </w:tc>
        <w:tc>
          <w:tcPr>
            <w:tcW w:w="547" w:type="dxa"/>
            <w:tcBorders>
              <w:top w:val="single" w:sz="4" w:space="0" w:color="auto"/>
              <w:left w:val="nil"/>
              <w:bottom w:val="nil"/>
              <w:right w:val="nil"/>
            </w:tcBorders>
            <w:textDirection w:val="lrTb"/>
            <w:vAlign w:val="top"/>
          </w:tcPr>
          <w:p w:rsidR="00581CC3" w:rsidRPr="00C3452A" w:rsidP="00020905">
            <w:pPr>
              <w:bidi w:val="0"/>
              <w:spacing w:after="0" w:line="240" w:lineRule="auto"/>
              <w:jc w:val="center"/>
              <w:rPr>
                <w:rFonts w:ascii="Times New Roman" w:eastAsia="MS Mincho" w:hAnsi="Times New Roman"/>
                <w:b/>
                <w:sz w:val="22"/>
                <w:szCs w:val="22"/>
              </w:rPr>
            </w:pPr>
          </w:p>
        </w:tc>
        <w:tc>
          <w:tcPr>
            <w:tcW w:w="1297" w:type="dxa"/>
            <w:tcBorders>
              <w:top w:val="single" w:sz="4" w:space="0" w:color="auto"/>
              <w:left w:val="nil"/>
              <w:bottom w:val="nil"/>
              <w:right w:val="single" w:sz="4" w:space="0" w:color="auto"/>
            </w:tcBorders>
            <w:textDirection w:val="lrTb"/>
            <w:vAlign w:val="top"/>
          </w:tcPr>
          <w:p w:rsidR="00581CC3" w:rsidRPr="00C3452A" w:rsidP="00020905">
            <w:pPr>
              <w:bidi w:val="0"/>
              <w:spacing w:after="0" w:line="240" w:lineRule="auto"/>
              <w:ind w:left="54"/>
              <w:rPr>
                <w:rFonts w:ascii="Times New Roman" w:hAnsi="Times New Roman"/>
                <w:b/>
                <w:sz w:val="22"/>
                <w:szCs w:val="22"/>
              </w:rPr>
            </w:pPr>
          </w:p>
        </w:tc>
      </w:tr>
      <w:tr>
        <w:tblPrEx>
          <w:tblW w:w="9072" w:type="dxa"/>
          <w:tblInd w:w="108" w:type="dxa"/>
          <w:tblLayout w:type="fixed"/>
          <w:tblLook w:val="04A0"/>
        </w:tblPrEx>
        <w:tc>
          <w:tcPr>
            <w:tcW w:w="3704" w:type="dxa"/>
            <w:tcBorders>
              <w:top w:val="nil"/>
              <w:left w:val="single" w:sz="4" w:space="0" w:color="auto"/>
              <w:bottom w:val="nil"/>
              <w:right w:val="single" w:sz="4" w:space="0" w:color="auto"/>
            </w:tcBorders>
            <w:shd w:val="clear" w:color="auto" w:fill="E2E2E2"/>
            <w:textDirection w:val="lrTb"/>
            <w:vAlign w:val="top"/>
          </w:tcPr>
          <w:p w:rsidR="00581CC3" w:rsidRPr="00C3452A" w:rsidP="00020905">
            <w:pPr>
              <w:bidi w:val="0"/>
              <w:spacing w:after="0" w:line="240" w:lineRule="auto"/>
              <w:ind w:left="196" w:hanging="196"/>
              <w:rPr>
                <w:rFonts w:ascii="Times New Roman" w:hAnsi="Times New Roman"/>
                <w:b/>
                <w:sz w:val="22"/>
                <w:szCs w:val="22"/>
                <w:lang w:eastAsia="en-US"/>
              </w:rPr>
            </w:pPr>
            <w:r w:rsidRPr="00C3452A">
              <w:rPr>
                <w:rFonts w:ascii="Times New Roman" w:hAnsi="Times New Roman"/>
                <w:b/>
                <w:sz w:val="22"/>
                <w:szCs w:val="22"/>
                <w:lang w:eastAsia="en-US"/>
              </w:rPr>
              <w:t xml:space="preserve">    vplyvy služieb verejnej správy na občana</w:t>
            </w:r>
          </w:p>
        </w:tc>
        <w:tc>
          <w:tcPr>
            <w:tcW w:w="541" w:type="dxa"/>
            <w:tcBorders>
              <w:top w:val="nil"/>
              <w:left w:val="single" w:sz="4" w:space="0" w:color="auto"/>
              <w:bottom w:val="nil"/>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tcBorders>
              <w:top w:val="nil"/>
              <w:left w:val="nil"/>
              <w:bottom w:val="nil"/>
              <w:right w:val="nil"/>
            </w:tcBorders>
            <w:textDirection w:val="lrTb"/>
            <w:vAlign w:val="top"/>
          </w:tcPr>
          <w:p w:rsidR="00581CC3" w:rsidRPr="00C3452A" w:rsidP="00020905">
            <w:pPr>
              <w:bidi w:val="0"/>
              <w:spacing w:after="0" w:line="240" w:lineRule="auto"/>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nil"/>
              <w:left w:val="nil"/>
              <w:bottom w:val="nil"/>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3" w:type="dxa"/>
            <w:tcBorders>
              <w:top w:val="nil"/>
              <w:left w:val="nil"/>
              <w:bottom w:val="nil"/>
              <w:right w:val="nil"/>
            </w:tcBorders>
            <w:textDirection w:val="lrTb"/>
            <w:vAlign w:val="top"/>
          </w:tcPr>
          <w:p w:rsidR="00581CC3" w:rsidRPr="00C3452A" w:rsidP="00020905">
            <w:pPr>
              <w:bidi w:val="0"/>
              <w:spacing w:after="0" w:line="240" w:lineRule="auto"/>
              <w:rPr>
                <w:rFonts w:ascii="Times New Roman" w:hAnsi="Times New Roman"/>
                <w:b/>
                <w:sz w:val="22"/>
                <w:szCs w:val="22"/>
              </w:rPr>
            </w:pPr>
            <w:r w:rsidRPr="00C3452A">
              <w:rPr>
                <w:rFonts w:ascii="Times New Roman" w:hAnsi="Times New Roman"/>
                <w:b/>
                <w:sz w:val="22"/>
                <w:szCs w:val="22"/>
              </w:rPr>
              <w:t>Žiadne</w:t>
            </w:r>
          </w:p>
        </w:tc>
        <w:tc>
          <w:tcPr>
            <w:tcW w:w="547" w:type="dxa"/>
            <w:tcBorders>
              <w:top w:val="nil"/>
              <w:left w:val="nil"/>
              <w:bottom w:val="nil"/>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7" w:type="dxa"/>
            <w:tcBorders>
              <w:top w:val="nil"/>
              <w:left w:val="nil"/>
              <w:bottom w:val="nil"/>
              <w:right w:val="single" w:sz="4" w:space="0" w:color="auto"/>
            </w:tcBorders>
            <w:textDirection w:val="lrTb"/>
            <w:vAlign w:val="top"/>
          </w:tcPr>
          <w:p w:rsidR="00581CC3" w:rsidRPr="00C3452A" w:rsidP="00020905">
            <w:pPr>
              <w:bidi w:val="0"/>
              <w:spacing w:after="0" w:line="240" w:lineRule="auto"/>
              <w:ind w:left="54"/>
              <w:rPr>
                <w:rFonts w:ascii="Times New Roman" w:hAnsi="Times New Roman"/>
                <w:b/>
                <w:sz w:val="22"/>
                <w:szCs w:val="22"/>
              </w:rPr>
            </w:pPr>
            <w:r w:rsidRPr="00C3452A">
              <w:rPr>
                <w:rFonts w:ascii="Times New Roman" w:hAnsi="Times New Roman"/>
                <w:b/>
                <w:sz w:val="22"/>
                <w:szCs w:val="22"/>
              </w:rPr>
              <w:t>Negatívne</w:t>
            </w:r>
          </w:p>
        </w:tc>
      </w:tr>
      <w:tr>
        <w:tblPrEx>
          <w:tblW w:w="9072" w:type="dxa"/>
          <w:tblInd w:w="108" w:type="dxa"/>
          <w:tblLayout w:type="fixed"/>
          <w:tblLook w:val="04A0"/>
        </w:tblPrEx>
        <w:tc>
          <w:tcPr>
            <w:tcW w:w="3704" w:type="dxa"/>
            <w:tcBorders>
              <w:top w:val="nil"/>
              <w:left w:val="single" w:sz="4" w:space="0" w:color="auto"/>
              <w:bottom w:val="single" w:sz="4" w:space="0" w:color="auto"/>
              <w:right w:val="single" w:sz="4" w:space="0" w:color="auto"/>
            </w:tcBorders>
            <w:shd w:val="clear" w:color="auto" w:fill="E2E2E2"/>
            <w:textDirection w:val="lrTb"/>
            <w:vAlign w:val="top"/>
          </w:tcPr>
          <w:p w:rsidR="00581CC3" w:rsidRPr="00C3452A" w:rsidP="00020905">
            <w:pPr>
              <w:bidi w:val="0"/>
              <w:spacing w:after="0" w:line="240" w:lineRule="auto"/>
              <w:ind w:left="168" w:hanging="168"/>
              <w:rPr>
                <w:rFonts w:ascii="Times New Roman" w:hAnsi="Times New Roman"/>
                <w:b/>
                <w:sz w:val="22"/>
                <w:szCs w:val="22"/>
                <w:lang w:eastAsia="en-US"/>
              </w:rPr>
            </w:pPr>
            <w:r w:rsidRPr="00C3452A">
              <w:rPr>
                <w:rFonts w:ascii="Times New Roman" w:hAnsi="Times New Roman"/>
                <w:b/>
                <w:sz w:val="22"/>
                <w:szCs w:val="22"/>
                <w:lang w:eastAsia="en-US"/>
              </w:rPr>
              <w:t>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81" w:type="dxa"/>
            <w:tcBorders>
              <w:top w:val="nil"/>
              <w:left w:val="nil"/>
              <w:bottom w:val="single" w:sz="4" w:space="0" w:color="auto"/>
              <w:right w:val="nil"/>
            </w:tcBorders>
            <w:textDirection w:val="lrTb"/>
            <w:vAlign w:val="top"/>
          </w:tcPr>
          <w:p w:rsidR="00581CC3" w:rsidRPr="00C3452A" w:rsidP="00020905">
            <w:pPr>
              <w:bidi w:val="0"/>
              <w:spacing w:after="0" w:line="240" w:lineRule="auto"/>
              <w:ind w:right="-108"/>
              <w:rPr>
                <w:rFonts w:ascii="Times New Roman" w:hAnsi="Times New Roman"/>
                <w:b/>
                <w:sz w:val="22"/>
                <w:szCs w:val="22"/>
              </w:rPr>
            </w:pPr>
            <w:r w:rsidRPr="00C3452A">
              <w:rPr>
                <w:rFonts w:ascii="Times New Roman" w:hAnsi="Times New Roman"/>
                <w:b/>
                <w:sz w:val="22"/>
                <w:szCs w:val="22"/>
              </w:rPr>
              <w:t>Pozitívne</w:t>
            </w:r>
          </w:p>
        </w:tc>
        <w:tc>
          <w:tcPr>
            <w:tcW w:w="569" w:type="dxa"/>
            <w:tcBorders>
              <w:top w:val="nil"/>
              <w:left w:val="nil"/>
              <w:bottom w:val="single" w:sz="4" w:space="0" w:color="auto"/>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133" w:type="dxa"/>
            <w:tcBorders>
              <w:top w:val="nil"/>
              <w:left w:val="nil"/>
              <w:bottom w:val="single" w:sz="4" w:space="0" w:color="auto"/>
              <w:right w:val="nil"/>
            </w:tcBorders>
            <w:textDirection w:val="lrTb"/>
            <w:vAlign w:val="top"/>
          </w:tcPr>
          <w:p w:rsidR="00581CC3" w:rsidRPr="00C3452A" w:rsidP="00020905">
            <w:pPr>
              <w:bidi w:val="0"/>
              <w:spacing w:after="0" w:line="240" w:lineRule="auto"/>
              <w:rPr>
                <w:rFonts w:ascii="Times New Roman" w:hAnsi="Times New Roman"/>
                <w:b/>
                <w:sz w:val="22"/>
                <w:szCs w:val="22"/>
              </w:rPr>
            </w:pPr>
            <w:r w:rsidRPr="00C3452A">
              <w:rPr>
                <w:rFonts w:ascii="Times New Roman" w:hAnsi="Times New Roman"/>
                <w:b/>
                <w:sz w:val="22"/>
                <w:szCs w:val="22"/>
              </w:rPr>
              <w:t>Žiadne</w:t>
            </w:r>
          </w:p>
        </w:tc>
        <w:tc>
          <w:tcPr>
            <w:tcW w:w="547" w:type="dxa"/>
            <w:tcBorders>
              <w:top w:val="nil"/>
              <w:left w:val="nil"/>
              <w:bottom w:val="single" w:sz="4" w:space="0" w:color="auto"/>
              <w:right w:val="nil"/>
            </w:tcBorders>
            <w:textDirection w:val="lrTb"/>
            <w:vAlign w:val="top"/>
          </w:tcPr>
          <w:p w:rsidR="00581CC3" w:rsidRPr="00C3452A" w:rsidP="00020905">
            <w:pPr>
              <w:bidi w:val="0"/>
              <w:spacing w:after="0" w:line="240" w:lineRule="auto"/>
              <w:jc w:val="center"/>
              <w:rPr>
                <w:rFonts w:ascii="Times New Roman" w:hAnsi="Times New Roman"/>
                <w:b/>
                <w:sz w:val="22"/>
                <w:szCs w:val="22"/>
              </w:rPr>
            </w:pPr>
            <w:r w:rsidRPr="00C3452A">
              <w:rPr>
                <w:rFonts w:ascii="MS Mincho" w:eastAsia="MS Mincho" w:hAnsi="MS Mincho" w:cs="MS Mincho" w:hint="eastAsia"/>
                <w:b/>
                <w:sz w:val="22"/>
                <w:szCs w:val="22"/>
              </w:rPr>
              <w:t>☐</w:t>
            </w:r>
          </w:p>
        </w:tc>
        <w:tc>
          <w:tcPr>
            <w:tcW w:w="1297" w:type="dxa"/>
            <w:tcBorders>
              <w:top w:val="nil"/>
              <w:left w:val="nil"/>
              <w:bottom w:val="single" w:sz="4" w:space="0" w:color="auto"/>
              <w:right w:val="single" w:sz="4" w:space="0" w:color="auto"/>
            </w:tcBorders>
            <w:textDirection w:val="lrTb"/>
            <w:vAlign w:val="top"/>
          </w:tcPr>
          <w:p w:rsidR="00581CC3" w:rsidRPr="00C3452A" w:rsidP="00020905">
            <w:pPr>
              <w:bidi w:val="0"/>
              <w:spacing w:after="0" w:line="240" w:lineRule="auto"/>
              <w:ind w:left="54"/>
              <w:rPr>
                <w:rFonts w:ascii="Times New Roman" w:hAnsi="Times New Roman"/>
                <w:b/>
                <w:sz w:val="22"/>
                <w:szCs w:val="22"/>
              </w:rPr>
            </w:pPr>
            <w:r w:rsidRPr="00C3452A">
              <w:rPr>
                <w:rFonts w:ascii="Times New Roman" w:hAnsi="Times New Roman"/>
                <w:b/>
                <w:sz w:val="22"/>
                <w:szCs w:val="22"/>
              </w:rPr>
              <w:t>Negatívne</w:t>
            </w:r>
          </w:p>
        </w:tc>
      </w:tr>
    </w:tbl>
    <w:tbl>
      <w:tblPr>
        <w:tblStyle w:val="TableGrid"/>
        <w:tblW w:w="9068" w:type="dxa"/>
        <w:tblInd w:w="108" w:type="dxa"/>
        <w:tblLayout w:type="fixed"/>
        <w:tblLook w:val="04A0"/>
      </w:tblPr>
      <w:tblGrid>
        <w:gridCol w:w="9068"/>
      </w:tblGrid>
      <w:tr>
        <w:tblPrEx>
          <w:tblW w:w="9068" w:type="dxa"/>
          <w:tblInd w:w="108" w:type="dxa"/>
          <w:tblLayout w:type="fixed"/>
          <w:tblLook w:val="04A0"/>
        </w:tblPrEx>
        <w:tc>
          <w:tcPr>
            <w:tcW w:w="9068" w:type="dxa"/>
            <w:tcBorders>
              <w:top w:val="single" w:sz="4" w:space="0" w:color="auto"/>
              <w:left w:val="single" w:sz="4" w:space="0" w:color="auto"/>
              <w:bottom w:val="nil"/>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Poznámky</w:t>
            </w:r>
          </w:p>
        </w:tc>
      </w:tr>
      <w:tr>
        <w:tblPrEx>
          <w:tblW w:w="9068" w:type="dxa"/>
          <w:tblInd w:w="108" w:type="dxa"/>
          <w:tblLayout w:type="fixed"/>
          <w:tblLook w:val="04A0"/>
        </w:tblPrEx>
        <w:trPr>
          <w:trHeight w:val="491"/>
        </w:trPr>
        <w:tc>
          <w:tcPr>
            <w:tcW w:w="9068" w:type="dxa"/>
            <w:tcBorders>
              <w:top w:val="nil"/>
              <w:left w:val="single" w:sz="4" w:space="0" w:color="auto"/>
              <w:bottom w:val="single" w:sz="4" w:space="0" w:color="FFFFFF"/>
              <w:right w:val="single" w:sz="4" w:space="0" w:color="auto"/>
            </w:tcBorders>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V prípade potreby uveďte doplňujúce informácie k návrhu.</w:t>
            </w:r>
          </w:p>
          <w:p w:rsidR="00581CC3" w:rsidRPr="00C3452A" w:rsidP="00020905">
            <w:pPr>
              <w:pStyle w:val="ListParagraph"/>
              <w:bidi w:val="0"/>
              <w:ind w:left="426"/>
              <w:rPr>
                <w:rFonts w:ascii="Times New Roman" w:hAnsi="Times New Roman"/>
                <w:sz w:val="22"/>
                <w:szCs w:val="22"/>
              </w:rPr>
            </w:pPr>
            <w:r w:rsidRPr="00C3452A">
              <w:rPr>
                <w:rFonts w:ascii="Times New Roman" w:hAnsi="Times New Roman"/>
                <w:sz w:val="22"/>
                <w:szCs w:val="22"/>
              </w:rPr>
              <w:t>Konzultácie vykonané v dňoch 07.04.2017- 05.05.2017.</w:t>
            </w:r>
          </w:p>
        </w:tc>
      </w:tr>
      <w:tr>
        <w:tblPrEx>
          <w:tblW w:w="9068" w:type="dxa"/>
          <w:tblInd w:w="108" w:type="dxa"/>
          <w:tblLayout w:type="fixed"/>
          <w:tblLook w:val="04A0"/>
        </w:tblPrEx>
        <w:tc>
          <w:tcPr>
            <w:tcW w:w="9068"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Kontakt na spracovateľa</w:t>
            </w:r>
          </w:p>
        </w:tc>
      </w:tr>
      <w:tr>
        <w:tblPrEx>
          <w:tblW w:w="9068" w:type="dxa"/>
          <w:tblInd w:w="108" w:type="dxa"/>
          <w:tblLayout w:type="fixed"/>
          <w:tblLook w:val="04A0"/>
        </w:tblPrEx>
        <w:trPr>
          <w:trHeight w:val="586"/>
        </w:trPr>
        <w:tc>
          <w:tcPr>
            <w:tcW w:w="9068"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údaje na kontaktnú osobu, ktorú je možné kontaktovať v súvislosti s posúdením vybraných vplyvov</w:t>
            </w:r>
          </w:p>
          <w:p w:rsidR="00581CC3" w:rsidRPr="00C3452A" w:rsidP="00020905">
            <w:pPr>
              <w:bidi w:val="0"/>
              <w:rPr>
                <w:rFonts w:ascii="Times New Roman" w:hAnsi="Times New Roman"/>
                <w:i/>
                <w:sz w:val="22"/>
                <w:szCs w:val="22"/>
              </w:rPr>
            </w:pPr>
            <w:r w:rsidRPr="00C3452A">
              <w:rPr>
                <w:rFonts w:ascii="Times New Roman" w:hAnsi="Times New Roman"/>
                <w:i/>
                <w:sz w:val="22"/>
                <w:szCs w:val="22"/>
              </w:rPr>
              <w:t>lenka.hrnciarova@land.gov.sk , miroslava.simkova@land.gov.sk</w:t>
            </w:r>
          </w:p>
        </w:tc>
      </w:tr>
      <w:tr>
        <w:tblPrEx>
          <w:tblW w:w="9068" w:type="dxa"/>
          <w:tblInd w:w="108" w:type="dxa"/>
          <w:tblLayout w:type="fixed"/>
          <w:tblLook w:val="04A0"/>
        </w:tblPrEx>
        <w:tc>
          <w:tcPr>
            <w:tcW w:w="9068"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Zdroje</w:t>
            </w:r>
          </w:p>
        </w:tc>
      </w:tr>
      <w:tr>
        <w:tblPrEx>
          <w:tblW w:w="9068" w:type="dxa"/>
          <w:tblInd w:w="108" w:type="dxa"/>
          <w:tblLayout w:type="fixed"/>
          <w:tblLook w:val="04A0"/>
        </w:tblPrEx>
        <w:trPr>
          <w:trHeight w:val="382"/>
        </w:trPr>
        <w:tc>
          <w:tcPr>
            <w:tcW w:w="9068"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zdroje(štatistiky, prieskumy, spoluprácu s odborníkmi a iné), z ktorých ste pri vypracovávaní doložky, príp. analýz vplyvov vychádzali.</w:t>
            </w:r>
          </w:p>
        </w:tc>
      </w:tr>
      <w:tr>
        <w:tblPrEx>
          <w:tblW w:w="9068" w:type="dxa"/>
          <w:tblInd w:w="108" w:type="dxa"/>
          <w:tblLayout w:type="fixed"/>
          <w:tblLook w:val="04A0"/>
        </w:tblPrEx>
        <w:tc>
          <w:tcPr>
            <w:tcW w:w="9068"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581CC3" w:rsidRPr="00113379" w:rsidP="00020905">
            <w:pPr>
              <w:pStyle w:val="ListParagraph"/>
              <w:widowControl/>
              <w:numPr>
                <w:numId w:val="11"/>
              </w:numPr>
              <w:autoSpaceDE/>
              <w:autoSpaceDN/>
              <w:bidi w:val="0"/>
              <w:adjustRightInd/>
              <w:ind w:left="426"/>
              <w:rPr>
                <w:rFonts w:ascii="Times New Roman" w:hAnsi="Times New Roman"/>
                <w:b/>
                <w:sz w:val="22"/>
                <w:szCs w:val="22"/>
              </w:rPr>
            </w:pPr>
            <w:r w:rsidRPr="00113379">
              <w:rPr>
                <w:rFonts w:ascii="Times New Roman" w:hAnsi="Times New Roman"/>
                <w:b/>
                <w:sz w:val="22"/>
                <w:szCs w:val="22"/>
              </w:rPr>
              <w:t>Stanovisko Komisie pre posudzovanie vybraných vplyvov z PPK</w:t>
            </w:r>
          </w:p>
        </w:tc>
      </w:tr>
      <w:tr>
        <w:tblPrEx>
          <w:tblW w:w="9068" w:type="dxa"/>
          <w:tblInd w:w="108" w:type="dxa"/>
          <w:tblLayout w:type="fixed"/>
          <w:tblLook w:val="04A0"/>
        </w:tblPrEx>
        <w:tc>
          <w:tcPr>
            <w:tcW w:w="9068"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581CC3" w:rsidRPr="00C3452A" w:rsidP="00020905">
            <w:pPr>
              <w:bidi w:val="0"/>
              <w:rPr>
                <w:rFonts w:ascii="Times New Roman" w:hAnsi="Times New Roman"/>
                <w:i/>
                <w:sz w:val="22"/>
                <w:szCs w:val="22"/>
              </w:rPr>
            </w:pPr>
            <w:r w:rsidRPr="00C3452A">
              <w:rPr>
                <w:rFonts w:ascii="Times New Roman" w:hAnsi="Times New Roman"/>
                <w:i/>
                <w:sz w:val="22"/>
                <w:szCs w:val="22"/>
              </w:rPr>
              <w:t>Uveďte stanovisko Komisie pre posudzovanie vybraných vplyvov, ktoré Vám bolo zaslané v rámci predbežného pripomienkového konania</w:t>
            </w:r>
          </w:p>
          <w:p w:rsidR="00581CC3" w:rsidRPr="00C3452A" w:rsidP="00020905">
            <w:pPr>
              <w:tabs>
                <w:tab w:val="center" w:pos="6379"/>
              </w:tabs>
              <w:bidi w:val="0"/>
              <w:ind w:right="-2"/>
              <w:rPr>
                <w:rFonts w:ascii="Times New Roman" w:hAnsi="Times New Roman"/>
                <w:bCs/>
                <w:sz w:val="22"/>
                <w:szCs w:val="22"/>
              </w:rPr>
            </w:pPr>
            <w:r w:rsidRPr="00C3452A">
              <w:rPr>
                <w:rFonts w:ascii="Times New Roman" w:hAnsi="Times New Roman"/>
                <w:b/>
                <w:bCs/>
                <w:sz w:val="22"/>
                <w:szCs w:val="22"/>
              </w:rPr>
              <w:t>II. P</w:t>
            </w:r>
            <w:r w:rsidRPr="00C3452A">
              <w:rPr>
                <w:rFonts w:ascii="Times New Roman" w:hAnsi="Times New Roman"/>
                <w:b/>
                <w:sz w:val="22"/>
                <w:szCs w:val="22"/>
              </w:rPr>
              <w:t>r</w:t>
            </w:r>
            <w:r w:rsidRPr="00C3452A">
              <w:rPr>
                <w:rFonts w:ascii="Times New Roman" w:hAnsi="Times New Roman"/>
                <w:b/>
                <w:bCs/>
                <w:sz w:val="22"/>
                <w:szCs w:val="22"/>
              </w:rPr>
              <w:t>ipomienky a návrhy zm</w:t>
            </w:r>
            <w:r w:rsidRPr="00C3452A">
              <w:rPr>
                <w:rFonts w:ascii="Times New Roman" w:hAnsi="Times New Roman"/>
                <w:b/>
                <w:sz w:val="22"/>
                <w:szCs w:val="22"/>
              </w:rPr>
              <w:t>ie</w:t>
            </w:r>
            <w:r w:rsidRPr="00C3452A">
              <w:rPr>
                <w:rFonts w:ascii="Times New Roman" w:hAnsi="Times New Roman"/>
                <w:b/>
                <w:bCs/>
                <w:sz w:val="22"/>
                <w:szCs w:val="22"/>
              </w:rPr>
              <w:t xml:space="preserve">n: </w:t>
            </w:r>
            <w:r w:rsidRPr="00C3452A">
              <w:rPr>
                <w:rFonts w:ascii="Times New Roman" w:hAnsi="Times New Roman"/>
                <w:bCs/>
                <w:sz w:val="22"/>
                <w:szCs w:val="22"/>
              </w:rPr>
              <w:t>Komisia uplatňuje k materiálu nasledovné pripomienky a odporúčania:</w:t>
            </w:r>
          </w:p>
          <w:p w:rsidR="00581CC3" w:rsidRPr="00C3452A" w:rsidP="00020905">
            <w:pPr>
              <w:tabs>
                <w:tab w:val="center" w:pos="6379"/>
              </w:tabs>
              <w:bidi w:val="0"/>
              <w:ind w:right="-2"/>
              <w:rPr>
                <w:rFonts w:ascii="Times New Roman" w:hAnsi="Times New Roman"/>
                <w:b/>
                <w:bCs/>
                <w:sz w:val="22"/>
                <w:szCs w:val="22"/>
              </w:rPr>
            </w:pPr>
            <w:r w:rsidRPr="00C3452A">
              <w:rPr>
                <w:rFonts w:ascii="Times New Roman" w:hAnsi="Times New Roman"/>
                <w:b/>
                <w:bCs/>
                <w:sz w:val="22"/>
                <w:szCs w:val="22"/>
              </w:rPr>
              <w:t>K analýze vplyvov na informatizáciu spoločnosti</w:t>
            </w:r>
          </w:p>
          <w:p w:rsidR="00581CC3" w:rsidRPr="00C3452A" w:rsidP="00020905">
            <w:pPr>
              <w:tabs>
                <w:tab w:val="center" w:pos="6379"/>
              </w:tabs>
              <w:bidi w:val="0"/>
              <w:ind w:right="-2"/>
              <w:rPr>
                <w:rFonts w:ascii="Times New Roman" w:hAnsi="Times New Roman"/>
                <w:bCs/>
                <w:sz w:val="22"/>
                <w:szCs w:val="22"/>
              </w:rPr>
            </w:pPr>
            <w:r w:rsidRPr="00C3452A">
              <w:rPr>
                <w:rFonts w:ascii="Times New Roman" w:hAnsi="Times New Roman"/>
                <w:bCs/>
                <w:sz w:val="22"/>
                <w:szCs w:val="22"/>
              </w:rPr>
              <w:t>Predkladateľ v materiáli uvádza pozitívne vplyvy na informatizáciu, no nevykonal posúdenie vplyvov na informatizáciu v dostatočnom rozsahu, a to tým, že v analýze vplyvov na informatizáciu spoločnosti neuviedol jednotlivé kódy a ďalšie špecifikácie v MetaIS a taktiež nešpecifikoval financovanie.</w:t>
            </w:r>
          </w:p>
          <w:p w:rsidR="00581CC3" w:rsidRPr="00C3452A" w:rsidP="00020905">
            <w:pPr>
              <w:bidi w:val="0"/>
              <w:ind w:right="-2"/>
              <w:rPr>
                <w:rFonts w:ascii="Times New Roman" w:hAnsi="Times New Roman"/>
                <w:b/>
                <w:bCs/>
                <w:sz w:val="22"/>
                <w:szCs w:val="22"/>
              </w:rPr>
            </w:pPr>
            <w:r w:rsidRPr="00C3452A">
              <w:rPr>
                <w:rFonts w:ascii="Times New Roman" w:hAnsi="Times New Roman"/>
                <w:b/>
                <w:bCs/>
                <w:sz w:val="22"/>
                <w:szCs w:val="22"/>
              </w:rPr>
              <w:t>K analýze vplyvov na podnikateľské prostredie</w:t>
            </w:r>
          </w:p>
          <w:p w:rsidR="00581CC3" w:rsidRPr="00C3452A" w:rsidP="00020905">
            <w:pPr>
              <w:bidi w:val="0"/>
              <w:ind w:right="-2"/>
              <w:rPr>
                <w:rFonts w:ascii="Times New Roman" w:hAnsi="Times New Roman"/>
                <w:bCs/>
                <w:sz w:val="22"/>
                <w:szCs w:val="22"/>
              </w:rPr>
            </w:pPr>
            <w:r w:rsidRPr="00C3452A">
              <w:rPr>
                <w:rFonts w:ascii="Times New Roman" w:hAnsi="Times New Roman"/>
                <w:bCs/>
                <w:sz w:val="22"/>
                <w:szCs w:val="22"/>
              </w:rPr>
              <w:t>Analýza vplyvov na PP je veľmi stručná a z dôvodu zachovania proporcionality, vzhľadom na počet možných dotknutých subjektov je potrebné ju dopracovať, vrátane popisu konzultácií s dotknutými subjektmi.</w:t>
            </w:r>
          </w:p>
          <w:p w:rsidR="00581CC3" w:rsidRPr="00C3452A" w:rsidP="00020905">
            <w:pPr>
              <w:bidi w:val="0"/>
              <w:ind w:right="-2"/>
              <w:rPr>
                <w:rFonts w:ascii="Times New Roman" w:hAnsi="Times New Roman"/>
                <w:bCs/>
                <w:sz w:val="22"/>
                <w:szCs w:val="22"/>
              </w:rPr>
            </w:pPr>
            <w:r w:rsidRPr="00C3452A">
              <w:rPr>
                <w:rFonts w:ascii="Times New Roman" w:hAnsi="Times New Roman"/>
                <w:bCs/>
                <w:sz w:val="22"/>
                <w:szCs w:val="22"/>
              </w:rPr>
              <w:t>Komisia preto žiada dopracovať analýzu o popis kladných a záporných vplyvov na PP:</w:t>
            </w:r>
          </w:p>
          <w:p w:rsidR="00581CC3" w:rsidRPr="00C3452A" w:rsidP="00020905">
            <w:pPr>
              <w:keepNext w:val="0"/>
              <w:numPr>
                <w:numId w:val="13"/>
              </w:numPr>
              <w:suppressAutoHyphens/>
              <w:bidi w:val="0"/>
              <w:spacing w:line="100" w:lineRule="atLeast"/>
              <w:ind w:left="709" w:right="-2" w:hanging="283"/>
              <w:rPr>
                <w:rFonts w:ascii="Times New Roman" w:hAnsi="Times New Roman"/>
                <w:bCs/>
                <w:sz w:val="22"/>
                <w:szCs w:val="22"/>
              </w:rPr>
            </w:pPr>
            <w:r w:rsidRPr="00C3452A">
              <w:rPr>
                <w:rFonts w:ascii="Times New Roman" w:hAnsi="Times New Roman"/>
                <w:bCs/>
                <w:sz w:val="22"/>
                <w:szCs w:val="22"/>
              </w:rPr>
              <w:t xml:space="preserve">vo vzťahu k tomu, že sa zavádza zákonná povinnosť pre nájomcov predkladať nájomné zmluvy na zápis do katastra nehnuteľností. </w:t>
            </w:r>
          </w:p>
          <w:p w:rsidR="00581CC3" w:rsidRPr="00C3452A" w:rsidP="00020905">
            <w:pPr>
              <w:keepNext w:val="0"/>
              <w:numPr>
                <w:numId w:val="13"/>
              </w:numPr>
              <w:suppressAutoHyphens/>
              <w:bidi w:val="0"/>
              <w:spacing w:line="100" w:lineRule="atLeast"/>
              <w:ind w:right="-2" w:hanging="639"/>
              <w:rPr>
                <w:rFonts w:ascii="Times New Roman" w:hAnsi="Times New Roman"/>
                <w:bCs/>
                <w:sz w:val="22"/>
                <w:szCs w:val="22"/>
              </w:rPr>
            </w:pPr>
            <w:r w:rsidRPr="00C3452A">
              <w:rPr>
                <w:rFonts w:ascii="Times New Roman" w:hAnsi="Times New Roman"/>
                <w:bCs/>
                <w:sz w:val="22"/>
                <w:szCs w:val="22"/>
              </w:rPr>
              <w:t>vzhľadom k tomu, že spresňuje určovanie výšky minimálneho nájomného</w:t>
            </w:r>
          </w:p>
          <w:p w:rsidR="00581CC3" w:rsidRPr="00C3452A" w:rsidP="00020905">
            <w:pPr>
              <w:keepNext w:val="0"/>
              <w:numPr>
                <w:numId w:val="13"/>
              </w:numPr>
              <w:suppressAutoHyphens/>
              <w:bidi w:val="0"/>
              <w:spacing w:line="100" w:lineRule="atLeast"/>
              <w:ind w:left="709" w:right="-2" w:hanging="283"/>
              <w:rPr>
                <w:rFonts w:ascii="Times New Roman" w:hAnsi="Times New Roman"/>
                <w:bCs/>
                <w:sz w:val="22"/>
                <w:szCs w:val="22"/>
              </w:rPr>
            </w:pPr>
            <w:r w:rsidRPr="00C3452A">
              <w:rPr>
                <w:rFonts w:ascii="Times New Roman" w:hAnsi="Times New Roman"/>
                <w:bCs/>
                <w:sz w:val="22"/>
                <w:szCs w:val="22"/>
              </w:rPr>
              <w:t>v súvislosti s vypustením doterajšej úpravy automatickej obnovy nájomného vzťahu (napr. v zmysle predkladacej správy, popísať dôvody zavedenia vypustenia inštitútu automatickej obnov</w:t>
            </w:r>
          </w:p>
          <w:p w:rsidR="00581CC3" w:rsidRPr="00C3452A" w:rsidP="00020905">
            <w:pPr>
              <w:keepNext w:val="0"/>
              <w:numPr>
                <w:numId w:val="13"/>
              </w:numPr>
              <w:suppressAutoHyphens/>
              <w:bidi w:val="0"/>
              <w:spacing w:line="100" w:lineRule="atLeast"/>
              <w:ind w:left="709" w:right="-2" w:hanging="283"/>
              <w:rPr>
                <w:rFonts w:ascii="Times New Roman" w:hAnsi="Times New Roman"/>
                <w:bCs/>
                <w:sz w:val="22"/>
                <w:szCs w:val="22"/>
              </w:rPr>
            </w:pPr>
            <w:r w:rsidRPr="00C3452A">
              <w:rPr>
                <w:rFonts w:ascii="Times New Roman" w:hAnsi="Times New Roman"/>
                <w:bCs/>
                <w:sz w:val="22"/>
                <w:szCs w:val="22"/>
              </w:rPr>
              <w:t>ohľadne zavedenia zákonných lehôt spojených s užívaním pozemkov bez nájomnej zmluvy</w:t>
            </w:r>
          </w:p>
          <w:p w:rsidR="00581CC3" w:rsidRPr="00C3452A" w:rsidP="00020905">
            <w:pPr>
              <w:keepNext w:val="0"/>
              <w:numPr>
                <w:numId w:val="13"/>
              </w:numPr>
              <w:suppressAutoHyphens/>
              <w:bidi w:val="0"/>
              <w:spacing w:line="100" w:lineRule="atLeast"/>
              <w:ind w:left="709" w:right="-2" w:hanging="283"/>
              <w:rPr>
                <w:rFonts w:ascii="Times New Roman" w:hAnsi="Times New Roman"/>
                <w:bCs/>
                <w:sz w:val="22"/>
                <w:szCs w:val="22"/>
              </w:rPr>
            </w:pPr>
            <w:r w:rsidRPr="00C3452A">
              <w:rPr>
                <w:rFonts w:ascii="Times New Roman" w:hAnsi="Times New Roman"/>
                <w:bCs/>
                <w:sz w:val="22"/>
                <w:szCs w:val="22"/>
              </w:rPr>
              <w:t>uvedené konzultácie s dotknutými subjektmi popísať a uviesť k akým záverom sa dospelo.</w:t>
            </w:r>
          </w:p>
          <w:p w:rsidR="00581CC3" w:rsidRPr="00C3452A" w:rsidP="00020905">
            <w:pPr>
              <w:bidi w:val="0"/>
              <w:ind w:right="-2"/>
              <w:rPr>
                <w:rFonts w:ascii="Times New Roman" w:hAnsi="Times New Roman"/>
                <w:b/>
                <w:bCs/>
                <w:sz w:val="22"/>
                <w:szCs w:val="22"/>
              </w:rPr>
            </w:pPr>
          </w:p>
          <w:p w:rsidR="00581CC3" w:rsidRPr="00C3452A" w:rsidP="00020905">
            <w:pPr>
              <w:bidi w:val="0"/>
              <w:ind w:right="-2"/>
              <w:rPr>
                <w:rFonts w:ascii="Times New Roman" w:hAnsi="Times New Roman"/>
                <w:b/>
                <w:bCs/>
                <w:sz w:val="22"/>
                <w:szCs w:val="22"/>
              </w:rPr>
            </w:pPr>
            <w:r w:rsidRPr="00C3452A">
              <w:rPr>
                <w:rFonts w:ascii="Times New Roman" w:hAnsi="Times New Roman"/>
                <w:b/>
                <w:bCs/>
                <w:sz w:val="22"/>
                <w:szCs w:val="22"/>
              </w:rPr>
              <w:t>K analýze vplyvov na služby verejnej správy pre občana</w:t>
            </w:r>
          </w:p>
          <w:p w:rsidR="00581CC3" w:rsidRPr="00C3452A" w:rsidP="00020905">
            <w:pPr>
              <w:bidi w:val="0"/>
              <w:ind w:right="-2"/>
              <w:rPr>
                <w:rFonts w:ascii="Times New Roman" w:hAnsi="Times New Roman"/>
                <w:bCs/>
                <w:sz w:val="22"/>
                <w:szCs w:val="22"/>
              </w:rPr>
            </w:pPr>
            <w:r w:rsidRPr="00C3452A">
              <w:rPr>
                <w:rFonts w:ascii="Times New Roman" w:hAnsi="Times New Roman"/>
                <w:bCs/>
                <w:sz w:val="22"/>
                <w:szCs w:val="22"/>
              </w:rPr>
              <w:t>Komisia po preskúmaní predmetného materiálu dospela k záveru, že materiál bude mať negatívny vplyv na služby verejnej správy pre občana a na procesy služieb vo verejnej správy, nakoľko príde k vzniku väčšieho administratívneho zaťaženia. Boli identifikované nasledovné povinnosti nájomcu, prenajímateľa a taktiež povinnosti okresných úradov :</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na základe § 1 ods. 1 je nájomca povinný doručiť nájomnú zmluvu na zápis do katastra nehnuteľností do 30 dní odo dňa jej uzatvorenia</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 12a ods.3 ukladá povinnosť doručiť nájomnú zmluvu doterajším prenajímateľom za   účelom jej evidencie okresnému úradu v lehote 10 dní od nadobudnutia účinnosti zmluvy</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§12a ods.8 – v prípade nesplnenia si povinnosti nájomcu uzatvoriť s doterajším prenajímateľom nájomnú zmluvu musí prenajímateľ požiadať okresný úrad o vydanie rozhodnutia, že vzniká podnájomný vzťah k určeným pozemkom aj s priložením potrebných dokumentov podľa § 12a ods.9</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 24d -podnájomné zmluvy podľa § 12a ods. 1, platné a účinné k 31. decembru 2017, za   účelom ich zápisu do evidencie podnájomných zmlúv doručia doterajší prenajímatelia okresnému úradu v lehote do 30. júna 2018</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podľa § 12a ods.10 okresný úrad vyzýva nájomcu na predloženie nájomných zmlúv</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povinnosti pre občana aj okresný úrad vyplývajú z § 12a ods.11, na základe ktorého okresný úrad prerokuje s doterajším prenajímateľom a nájomcom návrh na umiestnenie pozemku, následne z prerokovania návrhu vyhotovuje zápis a vyzýva doterajšieho prenajímateľa, aby zabezpečil vyčlenenie podnájomného pozemku v teréne a vyhotovil rozdeľovací plán a  predložil ho okresnému úradu spolu s dokladom o úhrade</w:t>
            </w:r>
          </w:p>
          <w:p w:rsidR="00581CC3" w:rsidRPr="00C3452A" w:rsidP="00020905">
            <w:pPr>
              <w:keepNext w:val="0"/>
              <w:numPr>
                <w:numId w:val="13"/>
              </w:numPr>
              <w:suppressAutoHyphens/>
              <w:bidi w:val="0"/>
              <w:spacing w:line="100" w:lineRule="atLeast"/>
              <w:ind w:left="709" w:right="-2" w:hanging="349"/>
              <w:rPr>
                <w:rFonts w:ascii="Times New Roman" w:hAnsi="Times New Roman"/>
                <w:bCs/>
                <w:sz w:val="22"/>
                <w:szCs w:val="22"/>
              </w:rPr>
            </w:pPr>
            <w:r w:rsidRPr="00C3452A">
              <w:rPr>
                <w:rFonts w:ascii="Times New Roman" w:hAnsi="Times New Roman"/>
                <w:bCs/>
                <w:sz w:val="22"/>
                <w:szCs w:val="22"/>
              </w:rPr>
              <w:t>§ 12a ods.13 ukladá povinnosť okresnému úradu viesť evidenciu rozhodnutí s rozdeľovacími plánmi a §14 ods.1 ustanovuje povinnosť pre okresné úrady viesť evidenciu podnájomných a iných užívacích vzťahov k pozemkom</w:t>
            </w:r>
          </w:p>
          <w:p w:rsidR="00581CC3" w:rsidRPr="00C3452A" w:rsidP="00020905">
            <w:pPr>
              <w:bidi w:val="0"/>
              <w:ind w:right="-2"/>
              <w:rPr>
                <w:rFonts w:ascii="Times New Roman" w:hAnsi="Times New Roman"/>
                <w:bCs/>
                <w:sz w:val="22"/>
                <w:szCs w:val="22"/>
              </w:rPr>
            </w:pPr>
            <w:r w:rsidRPr="00C3452A">
              <w:rPr>
                <w:rFonts w:ascii="Times New Roman" w:hAnsi="Times New Roman"/>
                <w:bCs/>
                <w:sz w:val="22"/>
                <w:szCs w:val="22"/>
              </w:rPr>
              <w:t>Na základe uvedených zmien preto Komisia odporúča vyznačiť vplyvy aj v doložke vybraných vplyvov a upraviť a doplniť analýzu vplyvov na služby verejnej správy pre občana, a to v bode 7.1.2. o subjekty, ktoré sú na základe platnej právnej úpravy oprávnené službu poskytovať ( okresné úrady, pozemkové a lesné odbory), v bode 7.1.3 popísať priamy vplyv na služby verejnej správy, v bode 7.2.4 identifikovať a doplniť povinnosti, ktoré vyplývajú pre občana pri vybavení svojej požiadavky, a to vznik povinností doručovania nájomnej zmluvy katastru nehnuteľností, okresnému úradu, doručenie podnájomných zmlúv podľa §12a ods.1 platných a účinných k 31.decembru 2017 okresnému úradu do 30. Júna 2018, následne v bode 7.3.2. doplniť nové povinnosti, ktoré vznikli pre okresné úrady, a ktoré budú spočívať nie len v evidencii podnájomných zmlúv a iných užívacích vzťahov, ale aj vo väčšej administratívnej záťaži, ako aj v povinnosti prerokovania návrhu na  umiestnenie pozemku s doterajším prenajímateľom a nájomcom.</w:t>
            </w:r>
          </w:p>
          <w:p w:rsidR="00581CC3" w:rsidRPr="00C3452A" w:rsidP="00020905">
            <w:pPr>
              <w:bidi w:val="0"/>
              <w:ind w:right="-2"/>
              <w:rPr>
                <w:rFonts w:ascii="Times New Roman" w:hAnsi="Times New Roman"/>
                <w:bCs/>
                <w:sz w:val="22"/>
                <w:szCs w:val="22"/>
              </w:rPr>
            </w:pPr>
            <w:r w:rsidRPr="00C3452A">
              <w:rPr>
                <w:rFonts w:ascii="Times New Roman" w:hAnsi="Times New Roman"/>
                <w:b/>
                <w:bCs/>
                <w:sz w:val="22"/>
                <w:szCs w:val="22"/>
              </w:rPr>
              <w:t xml:space="preserve">III. Záver: </w:t>
            </w:r>
            <w:r w:rsidRPr="00C3452A">
              <w:rPr>
                <w:rFonts w:ascii="Times New Roman" w:hAnsi="Times New Roman"/>
                <w:bCs/>
                <w:sz w:val="22"/>
                <w:szCs w:val="22"/>
              </w:rPr>
              <w:t xml:space="preserve">Stála pracovná komisia na posudzovanie vybraných vplyvov vyjadruje </w:t>
            </w:r>
          </w:p>
          <w:p w:rsidR="00581CC3" w:rsidRPr="00C3452A" w:rsidP="00020905">
            <w:pPr>
              <w:tabs>
                <w:tab w:val="center" w:pos="6379"/>
              </w:tabs>
              <w:bidi w:val="0"/>
              <w:ind w:right="-2"/>
              <w:rPr>
                <w:rFonts w:ascii="Times New Roman" w:hAnsi="Times New Roman"/>
                <w:bCs/>
                <w:sz w:val="22"/>
                <w:szCs w:val="22"/>
              </w:rPr>
            </w:pPr>
          </w:p>
          <w:p w:rsidR="00581CC3" w:rsidRPr="00C3452A" w:rsidP="00020905">
            <w:pPr>
              <w:tabs>
                <w:tab w:val="center" w:pos="6379"/>
              </w:tabs>
              <w:bidi w:val="0"/>
              <w:ind w:right="-2"/>
              <w:jc w:val="center"/>
              <w:rPr>
                <w:rFonts w:ascii="Times New Roman" w:hAnsi="Times New Roman"/>
                <w:b/>
                <w:bCs/>
                <w:sz w:val="22"/>
                <w:szCs w:val="22"/>
                <w:lang w:eastAsia="en-US"/>
              </w:rPr>
            </w:pPr>
          </w:p>
          <w:p w:rsidR="00581CC3" w:rsidRPr="00C3452A" w:rsidP="00020905">
            <w:pPr>
              <w:tabs>
                <w:tab w:val="center" w:pos="6379"/>
              </w:tabs>
              <w:bidi w:val="0"/>
              <w:ind w:right="-2"/>
              <w:jc w:val="center"/>
              <w:rPr>
                <w:rFonts w:ascii="Times New Roman" w:hAnsi="Times New Roman"/>
                <w:b/>
                <w:bCs/>
                <w:sz w:val="22"/>
                <w:szCs w:val="22"/>
                <w:lang w:eastAsia="en-US"/>
              </w:rPr>
            </w:pPr>
            <w:r w:rsidRPr="00C3452A">
              <w:rPr>
                <w:rFonts w:ascii="Times New Roman" w:hAnsi="Times New Roman"/>
                <w:b/>
                <w:bCs/>
                <w:sz w:val="22"/>
                <w:szCs w:val="22"/>
                <w:lang w:eastAsia="en-US"/>
              </w:rPr>
              <w:t xml:space="preserve">nesúhlasné stanovisko. </w:t>
            </w:r>
          </w:p>
          <w:p w:rsidR="00581CC3" w:rsidRPr="00C3452A" w:rsidP="00020905">
            <w:pPr>
              <w:tabs>
                <w:tab w:val="center" w:pos="6379"/>
              </w:tabs>
              <w:bidi w:val="0"/>
              <w:ind w:right="-2"/>
              <w:rPr>
                <w:rFonts w:ascii="Times New Roman" w:hAnsi="Times New Roman"/>
                <w:bCs/>
                <w:sz w:val="22"/>
                <w:szCs w:val="22"/>
                <w:lang w:eastAsia="en-US"/>
              </w:rPr>
            </w:pPr>
            <w:r w:rsidRPr="00C3452A">
              <w:rPr>
                <w:rFonts w:ascii="Times New Roman" w:hAnsi="Times New Roman"/>
                <w:bCs/>
                <w:sz w:val="22"/>
                <w:szCs w:val="22"/>
                <w:lang w:eastAsia="en-US"/>
              </w:rPr>
              <w:t xml:space="preserve">Zároveň uvádzam, že analýza vplyvov na služby verejnej správy pre občana, ako aj analýza vplyvov na podnikateľské prostredie boli doplnené v zmysle vznesených pripomienok. Analýza vplyvov  na   informatizáciu spoločnosti bude ešte upravená a nedostatky budú odstránené  v MPK. </w:t>
            </w:r>
          </w:p>
          <w:p w:rsidR="00581CC3" w:rsidRPr="00C3452A" w:rsidP="00020905">
            <w:pPr>
              <w:bidi w:val="0"/>
              <w:rPr>
                <w:rFonts w:ascii="Times New Roman" w:hAnsi="Times New Roman"/>
                <w:b/>
                <w:sz w:val="22"/>
                <w:szCs w:val="22"/>
              </w:rPr>
            </w:pPr>
          </w:p>
        </w:tc>
      </w:tr>
    </w:tbl>
    <w:p w:rsidR="00581CC3" w:rsidRPr="00C3452A" w:rsidP="00581CC3">
      <w:pPr>
        <w:bidi w:val="0"/>
        <w:rPr>
          <w:rFonts w:ascii="Times New Roman" w:hAnsi="Times New Roman"/>
          <w:sz w:val="22"/>
          <w:szCs w:val="22"/>
        </w:rPr>
      </w:pPr>
    </w:p>
    <w:p w:rsidR="00581CC3" w:rsidRPr="00C3452A" w:rsidP="00581CC3">
      <w:pPr>
        <w:bidi w:val="0"/>
        <w:rPr>
          <w:rFonts w:ascii="Times New Roman" w:hAnsi="Times New Roman"/>
        </w:rPr>
      </w:pPr>
    </w:p>
    <w:p w:rsidR="00581CC3" w:rsidRPr="00C3452A" w:rsidP="00581CC3">
      <w:pPr>
        <w:keepNext w:val="0"/>
        <w:bidi w:val="0"/>
        <w:jc w:val="center"/>
        <w:rPr>
          <w:rFonts w:ascii="Times New Roman" w:hAnsi="Times New Roman"/>
          <w:b/>
          <w:bCs/>
          <w:sz w:val="28"/>
          <w:szCs w:val="28"/>
        </w:rPr>
      </w:pPr>
      <w:r w:rsidRPr="00C3452A">
        <w:rPr>
          <w:rFonts w:ascii="Times New Roman" w:hAnsi="Times New Roman"/>
          <w:b/>
          <w:bCs/>
          <w:sz w:val="28"/>
          <w:szCs w:val="28"/>
        </w:rPr>
        <w:t>Analýza vplyvov na rozpočet verejnej správy,</w:t>
      </w:r>
    </w:p>
    <w:p w:rsidR="00581CC3" w:rsidRPr="00C3452A" w:rsidP="00581CC3">
      <w:pPr>
        <w:keepNext w:val="0"/>
        <w:bidi w:val="0"/>
        <w:jc w:val="center"/>
        <w:rPr>
          <w:rFonts w:ascii="Times New Roman" w:hAnsi="Times New Roman"/>
          <w:b/>
          <w:bCs/>
          <w:sz w:val="28"/>
          <w:szCs w:val="28"/>
        </w:rPr>
      </w:pPr>
      <w:r w:rsidRPr="00C3452A">
        <w:rPr>
          <w:rFonts w:ascii="Times New Roman" w:hAnsi="Times New Roman"/>
          <w:b/>
          <w:bCs/>
          <w:sz w:val="28"/>
          <w:szCs w:val="28"/>
        </w:rPr>
        <w:t>na zamestnanosť vo verejnej správe a financovanie návrhu</w:t>
      </w:r>
    </w:p>
    <w:p w:rsidR="00581CC3" w:rsidRPr="00C3452A" w:rsidP="00581CC3">
      <w:pPr>
        <w:keepNext w:val="0"/>
        <w:bidi w:val="0"/>
        <w:jc w:val="left"/>
        <w:rPr>
          <w:rFonts w:ascii="Times New Roman" w:hAnsi="Times New Roman"/>
          <w:b/>
          <w:bCs/>
        </w:rPr>
      </w:pPr>
    </w:p>
    <w:p w:rsidR="00581CC3" w:rsidRPr="00C3452A" w:rsidP="00581CC3">
      <w:pPr>
        <w:keepNext w:val="0"/>
        <w:bidi w:val="0"/>
        <w:jc w:val="left"/>
        <w:rPr>
          <w:rFonts w:ascii="Times New Roman" w:hAnsi="Times New Roman"/>
          <w:b/>
          <w:bCs/>
        </w:rPr>
      </w:pPr>
      <w:r w:rsidRPr="00C3452A">
        <w:rPr>
          <w:rFonts w:ascii="Times New Roman" w:hAnsi="Times New Roman"/>
          <w:b/>
          <w:bCs/>
        </w:rPr>
        <w:t>2.1 Zhrnutie vplyvov na rozpočet verejnej správy v návrhu</w:t>
      </w:r>
    </w:p>
    <w:p w:rsidR="00581CC3" w:rsidRPr="00C3452A" w:rsidP="00581CC3">
      <w:pPr>
        <w:keepNext w:val="0"/>
        <w:bidi w:val="0"/>
        <w:jc w:val="right"/>
        <w:rPr>
          <w:rFonts w:ascii="Times New Roman" w:hAnsi="Times New Roman"/>
          <w:sz w:val="20"/>
          <w:szCs w:val="20"/>
        </w:rPr>
      </w:pPr>
    </w:p>
    <w:p w:rsidR="00581CC3" w:rsidRPr="00C3452A" w:rsidP="00581CC3">
      <w:pPr>
        <w:keepNext w:val="0"/>
        <w:bidi w:val="0"/>
        <w:jc w:val="right"/>
        <w:rPr>
          <w:rFonts w:ascii="Times New Roman" w:hAnsi="Times New Roman"/>
        </w:rPr>
      </w:pPr>
      <w:r w:rsidRPr="00C3452A">
        <w:rPr>
          <w:rFonts w:ascii="Times New Roman" w:hAnsi="Times New Roman"/>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bookmarkStart w:id="0" w:name="OLE_LINK1"/>
            <w:r w:rsidRPr="00C3452A">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2019</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2020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v tom: za MPRV SR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ind w:left="259"/>
              <w:jc w:val="left"/>
              <w:rPr>
                <w:rFonts w:ascii="Times New Roman" w:hAnsi="Times New Roman"/>
                <w:b/>
                <w:bCs/>
                <w:i/>
                <w:iCs/>
              </w:rPr>
            </w:pPr>
            <w:r w:rsidRPr="00C3452A">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ind w:left="259"/>
              <w:jc w:val="left"/>
              <w:rPr>
                <w:rFonts w:ascii="Times New Roman" w:hAnsi="Times New Roman"/>
                <w:bCs/>
                <w:i/>
                <w:iCs/>
              </w:rPr>
            </w:pPr>
            <w:r w:rsidRPr="00C3452A">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350 000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v tom: za MPRV SR/zdroj 111/0900601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350 000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ind w:left="259"/>
              <w:jc w:val="left"/>
              <w:rPr>
                <w:rFonts w:ascii="Times New Roman" w:hAnsi="Times New Roman"/>
                <w:b/>
                <w:bCs/>
                <w:i/>
                <w:iCs/>
              </w:rPr>
            </w:pPr>
            <w:r w:rsidRPr="00C3452A">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Cs/>
                <w:i/>
                <w:iCs/>
              </w:rPr>
            </w:pPr>
            <w:r w:rsidRPr="00C3452A">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rPr>
            </w:pPr>
            <w:r w:rsidRPr="00C3452A">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Cs/>
                <w:i/>
                <w:iCs/>
              </w:rPr>
            </w:pPr>
            <w:r w:rsidRPr="00C3452A">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left"/>
              <w:rPr>
                <w:rFonts w:ascii="Times New Roman" w:hAnsi="Times New Roman"/>
                <w:b/>
              </w:rPr>
            </w:pPr>
            <w:r w:rsidRPr="00C3452A">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i/>
                <w:iCs/>
              </w:rPr>
            </w:pPr>
            <w:r w:rsidRPr="00C3452A">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bCs/>
                <w:iCs/>
              </w:rPr>
            </w:pPr>
            <w:r w:rsidRPr="00C3452A">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350 000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v tom: za MPRV SR/zdroj 111/ 0900601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350 000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581CC3" w:rsidRPr="00C3452A" w:rsidP="00020905">
            <w:pPr>
              <w:keepNext w:val="0"/>
              <w:bidi w:val="0"/>
              <w:spacing w:after="0" w:line="240" w:lineRule="auto"/>
              <w:jc w:val="right"/>
              <w:rPr>
                <w:rFonts w:ascii="Times New Roman" w:hAnsi="Times New Roman"/>
                <w:b/>
              </w:rPr>
            </w:pPr>
            <w:r w:rsidRPr="00C3452A">
              <w:rPr>
                <w:rFonts w:ascii="Times New Roman" w:hAnsi="Times New Roman"/>
                <w:b/>
              </w:rPr>
              <w:t>150 000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left"/>
              <w:rPr>
                <w:rFonts w:ascii="Times New Roman" w:hAnsi="Times New Roman"/>
                <w:b/>
              </w:rPr>
            </w:pPr>
            <w:r w:rsidRPr="00C3452A">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581CC3" w:rsidRPr="00C3452A" w:rsidP="00020905">
            <w:pPr>
              <w:keepNext w:val="0"/>
              <w:bidi w:val="0"/>
              <w:spacing w:after="0" w:line="240" w:lineRule="auto"/>
              <w:jc w:val="right"/>
              <w:rPr>
                <w:rFonts w:ascii="Times New Roman" w:hAnsi="Times New Roman"/>
                <w:b/>
                <w:bCs/>
              </w:rPr>
            </w:pPr>
            <w:r w:rsidRPr="00C3452A">
              <w:rPr>
                <w:rFonts w:ascii="Times New Roman" w:hAnsi="Times New Roman"/>
                <w:b/>
                <w:bCs/>
              </w:rPr>
              <w:t>0</w:t>
            </w:r>
          </w:p>
        </w:tc>
      </w:tr>
    </w:tbl>
    <w:p w:rsidR="00581CC3" w:rsidRPr="00C3452A" w:rsidP="00581CC3">
      <w:pPr>
        <w:keepNext w:val="0"/>
        <w:bidi w:val="0"/>
        <w:rPr>
          <w:rFonts w:ascii="Times New Roman" w:hAnsi="Times New Roman"/>
          <w:b/>
          <w:bCs/>
        </w:rPr>
      </w:pPr>
      <w:bookmarkEnd w:id="0"/>
    </w:p>
    <w:p w:rsidR="00581CC3" w:rsidRPr="00C3452A" w:rsidP="00581CC3">
      <w:pPr>
        <w:keepNext w:val="0"/>
        <w:bidi w:val="0"/>
        <w:rPr>
          <w:rFonts w:ascii="Times New Roman" w:hAnsi="Times New Roman"/>
          <w:b/>
          <w:bCs/>
        </w:rPr>
      </w:pPr>
      <w:r w:rsidRPr="00C3452A">
        <w:rPr>
          <w:rFonts w:ascii="Times New Roman" w:hAnsi="Times New Roman"/>
          <w:b/>
          <w:bCs/>
        </w:rPr>
        <w:t>2.1.1. Financovanie návrhu - Návrh na riešenie úbytku príjmov alebo zvýšených výdavkov podľa § 33 ods. 1 zákona č. 523/2004 Z. z. o rozpočtových pravidlách verejnej správy:</w:t>
      </w:r>
    </w:p>
    <w:p w:rsidR="00581CC3" w:rsidRPr="00C3452A" w:rsidP="00581CC3">
      <w:pPr>
        <w:keepNext w:val="0"/>
        <w:pBdr>
          <w:top w:val="single" w:sz="4" w:space="1" w:color="auto"/>
          <w:left w:val="single" w:sz="4" w:space="4" w:color="auto"/>
          <w:bottom w:val="single" w:sz="4" w:space="1" w:color="auto"/>
          <w:right w:val="single" w:sz="4" w:space="4" w:color="auto"/>
        </w:pBdr>
        <w:bidi w:val="0"/>
        <w:spacing w:after="200"/>
        <w:rPr>
          <w:rFonts w:ascii="Times New Roman" w:hAnsi="Times New Roman" w:eastAsiaTheme="minorEastAsia" w:hint="default"/>
        </w:rPr>
      </w:pPr>
      <w:r w:rsidRPr="00C3452A">
        <w:rPr>
          <w:rFonts w:ascii="Times New Roman" w:hAnsi="Times New Roman" w:eastAsiaTheme="minorEastAsia"/>
        </w:rPr>
        <w:t>V </w:t>
      </w:r>
      <w:r w:rsidRPr="00C3452A">
        <w:rPr>
          <w:rFonts w:ascii="Times New Roman" w:hAnsi="Times New Roman" w:eastAsiaTheme="minorEastAsia" w:hint="default"/>
        </w:rPr>
        <w:t>sú</w:t>
      </w:r>
      <w:r w:rsidRPr="00C3452A">
        <w:rPr>
          <w:rFonts w:ascii="Times New Roman" w:hAnsi="Times New Roman" w:eastAsiaTheme="minorEastAsia" w:hint="default"/>
        </w:rPr>
        <w:t xml:space="preserve">vislosti s problematikou </w:t>
      </w:r>
      <w:r w:rsidRPr="00C3452A">
        <w:rPr>
          <w:rFonts w:ascii="Times New Roman" w:hAnsi="Times New Roman" w:eastAsiaTheme="minorEastAsia" w:hint="default"/>
        </w:rPr>
        <w:t>zavedenia „</w:t>
      </w:r>
      <w:r w:rsidRPr="00C3452A">
        <w:rPr>
          <w:rFonts w:ascii="Times New Roman" w:hAnsi="Times New Roman" w:eastAsiaTheme="minorEastAsia" w:hint="default"/>
        </w:rPr>
        <w:t>Evidencie podná</w:t>
      </w:r>
      <w:r w:rsidRPr="00C3452A">
        <w:rPr>
          <w:rFonts w:ascii="Times New Roman" w:hAnsi="Times New Roman" w:eastAsiaTheme="minorEastAsia" w:hint="default"/>
        </w:rPr>
        <w:t>jomný</w:t>
      </w:r>
      <w:r w:rsidRPr="00C3452A">
        <w:rPr>
          <w:rFonts w:ascii="Times New Roman" w:hAnsi="Times New Roman" w:eastAsiaTheme="minorEastAsia" w:hint="default"/>
        </w:rPr>
        <w:t>ch a </w:t>
      </w:r>
      <w:r w:rsidRPr="00C3452A">
        <w:rPr>
          <w:rFonts w:ascii="Times New Roman" w:hAnsi="Times New Roman" w:eastAsiaTheme="minorEastAsia" w:hint="default"/>
        </w:rPr>
        <w:t>uží</w:t>
      </w:r>
      <w:r w:rsidRPr="00C3452A">
        <w:rPr>
          <w:rFonts w:ascii="Times New Roman" w:hAnsi="Times New Roman" w:eastAsiaTheme="minorEastAsia" w:hint="default"/>
        </w:rPr>
        <w:t>vací</w:t>
      </w:r>
      <w:r w:rsidRPr="00C3452A">
        <w:rPr>
          <w:rFonts w:ascii="Times New Roman" w:hAnsi="Times New Roman" w:eastAsiaTheme="minorEastAsia" w:hint="default"/>
        </w:rPr>
        <w:t>ch vzť</w:t>
      </w:r>
      <w:r w:rsidRPr="00C3452A">
        <w:rPr>
          <w:rFonts w:ascii="Times New Roman" w:hAnsi="Times New Roman" w:eastAsiaTheme="minorEastAsia" w:hint="default"/>
        </w:rPr>
        <w:t>ahov“</w:t>
      </w:r>
      <w:r w:rsidRPr="00C3452A">
        <w:rPr>
          <w:rFonts w:ascii="Times New Roman" w:hAnsi="Times New Roman" w:eastAsiaTheme="minorEastAsia" w:hint="default"/>
        </w:rPr>
        <w:t xml:space="preserve"> sa predpokladajú</w:t>
      </w:r>
      <w:r w:rsidRPr="00C3452A">
        <w:rPr>
          <w:rFonts w:ascii="Times New Roman" w:hAnsi="Times New Roman" w:eastAsiaTheme="minorEastAsia" w:hint="default"/>
        </w:rPr>
        <w:t xml:space="preserve"> vý</w:t>
      </w:r>
      <w:r w:rsidRPr="00C3452A">
        <w:rPr>
          <w:rFonts w:ascii="Times New Roman" w:hAnsi="Times New Roman" w:eastAsiaTheme="minorEastAsia" w:hint="default"/>
        </w:rPr>
        <w:t>davky na rok 2018 v objeme 350 </w:t>
      </w:r>
      <w:r w:rsidRPr="00C3452A">
        <w:rPr>
          <w:rFonts w:ascii="Times New Roman" w:hAnsi="Times New Roman" w:eastAsiaTheme="minorEastAsia" w:hint="default"/>
        </w:rPr>
        <w:t>000 eur. Pozostá</w:t>
      </w:r>
      <w:r w:rsidRPr="00C3452A">
        <w:rPr>
          <w:rFonts w:ascii="Times New Roman" w:hAnsi="Times New Roman" w:eastAsiaTheme="minorEastAsia" w:hint="default"/>
        </w:rPr>
        <w:t>vajú</w:t>
      </w:r>
      <w:r w:rsidRPr="00C3452A">
        <w:rPr>
          <w:rFonts w:ascii="Times New Roman" w:hAnsi="Times New Roman" w:eastAsiaTheme="minorEastAsia" w:hint="default"/>
        </w:rPr>
        <w:t xml:space="preserve"> z </w:t>
      </w:r>
      <w:r w:rsidRPr="00C3452A">
        <w:rPr>
          <w:rFonts w:ascii="Times New Roman" w:hAnsi="Times New Roman" w:eastAsiaTheme="minorEastAsia" w:hint="default"/>
        </w:rPr>
        <w:t>obstarania softvé</w:t>
      </w:r>
      <w:r w:rsidRPr="00C3452A">
        <w:rPr>
          <w:rFonts w:ascii="Times New Roman" w:hAnsi="Times New Roman" w:eastAsiaTheme="minorEastAsia" w:hint="default"/>
        </w:rPr>
        <w:t>ru (200 </w:t>
      </w:r>
      <w:r w:rsidRPr="00C3452A">
        <w:rPr>
          <w:rFonts w:ascii="Times New Roman" w:hAnsi="Times New Roman" w:eastAsiaTheme="minorEastAsia" w:hint="default"/>
        </w:rPr>
        <w:t>000 eur) pre okresné</w:t>
      </w:r>
      <w:r w:rsidRPr="00C3452A">
        <w:rPr>
          <w:rFonts w:ascii="Times New Roman" w:hAnsi="Times New Roman" w:eastAsiaTheme="minorEastAsia" w:hint="default"/>
        </w:rPr>
        <w:t xml:space="preserve"> ú</w:t>
      </w:r>
      <w:r w:rsidRPr="00C3452A">
        <w:rPr>
          <w:rFonts w:ascii="Times New Roman" w:hAnsi="Times New Roman" w:eastAsiaTheme="minorEastAsia" w:hint="default"/>
        </w:rPr>
        <w:t>rady, ktorý</w:t>
      </w:r>
      <w:r w:rsidRPr="00C3452A">
        <w:rPr>
          <w:rFonts w:ascii="Times New Roman" w:hAnsi="Times New Roman" w:eastAsiaTheme="minorEastAsia" w:hint="default"/>
        </w:rPr>
        <w:t>ch ú</w:t>
      </w:r>
      <w:r w:rsidRPr="00C3452A">
        <w:rPr>
          <w:rFonts w:ascii="Times New Roman" w:hAnsi="Times New Roman" w:eastAsiaTheme="minorEastAsia" w:hint="default"/>
        </w:rPr>
        <w:t>lohou bude evidovať</w:t>
      </w:r>
      <w:r w:rsidRPr="00C3452A">
        <w:rPr>
          <w:rFonts w:ascii="Times New Roman" w:hAnsi="Times New Roman" w:eastAsiaTheme="minorEastAsia" w:hint="default"/>
        </w:rPr>
        <w:t xml:space="preserve"> podná</w:t>
      </w:r>
      <w:r w:rsidRPr="00C3452A">
        <w:rPr>
          <w:rFonts w:ascii="Times New Roman" w:hAnsi="Times New Roman" w:eastAsiaTheme="minorEastAsia" w:hint="default"/>
        </w:rPr>
        <w:t>jomné</w:t>
      </w:r>
      <w:r w:rsidRPr="00C3452A">
        <w:rPr>
          <w:rFonts w:ascii="Times New Roman" w:hAnsi="Times New Roman" w:eastAsiaTheme="minorEastAsia" w:hint="default"/>
        </w:rPr>
        <w:t xml:space="preserve"> a </w:t>
      </w:r>
      <w:r w:rsidRPr="00C3452A">
        <w:rPr>
          <w:rFonts w:ascii="Times New Roman" w:hAnsi="Times New Roman" w:eastAsiaTheme="minorEastAsia" w:hint="default"/>
        </w:rPr>
        <w:t>uží</w:t>
      </w:r>
      <w:r w:rsidRPr="00C3452A">
        <w:rPr>
          <w:rFonts w:ascii="Times New Roman" w:hAnsi="Times New Roman" w:eastAsiaTheme="minorEastAsia" w:hint="default"/>
        </w:rPr>
        <w:t>vacie vzť</w:t>
      </w:r>
      <w:r w:rsidRPr="00C3452A">
        <w:rPr>
          <w:rFonts w:ascii="Times New Roman" w:hAnsi="Times New Roman" w:eastAsiaTheme="minorEastAsia" w:hint="default"/>
        </w:rPr>
        <w:t>ahy, </w:t>
      </w:r>
      <w:r w:rsidRPr="00C3452A">
        <w:rPr>
          <w:rFonts w:ascii="Times New Roman" w:hAnsi="Times New Roman" w:eastAsiaTheme="minorEastAsia" w:hint="default"/>
        </w:rPr>
        <w:t>zvyš</w:t>
      </w:r>
      <w:r w:rsidRPr="00C3452A">
        <w:rPr>
          <w:rFonts w:ascii="Times New Roman" w:hAnsi="Times New Roman" w:eastAsiaTheme="minorEastAsia" w:hint="default"/>
        </w:rPr>
        <w:t>né</w:t>
      </w:r>
      <w:r w:rsidRPr="00C3452A">
        <w:rPr>
          <w:rFonts w:ascii="Times New Roman" w:hAnsi="Times New Roman" w:eastAsiaTheme="minorEastAsia" w:hint="default"/>
        </w:rPr>
        <w:t xml:space="preserve"> prostrie</w:t>
      </w:r>
      <w:r w:rsidRPr="00C3452A">
        <w:rPr>
          <w:rFonts w:ascii="Times New Roman" w:hAnsi="Times New Roman" w:eastAsiaTheme="minorEastAsia" w:hint="default"/>
        </w:rPr>
        <w:t>d</w:t>
      </w:r>
      <w:r w:rsidRPr="00C3452A">
        <w:rPr>
          <w:rFonts w:ascii="Times New Roman" w:hAnsi="Times New Roman" w:eastAsiaTheme="minorEastAsia" w:hint="default"/>
        </w:rPr>
        <w:t>ky predstavujú</w:t>
      </w:r>
      <w:r w:rsidRPr="00C3452A">
        <w:rPr>
          <w:rFonts w:ascii="Times New Roman" w:hAnsi="Times New Roman" w:eastAsiaTheme="minorEastAsia" w:hint="default"/>
        </w:rPr>
        <w:t xml:space="preserve"> administratí</w:t>
      </w:r>
      <w:r w:rsidRPr="00C3452A">
        <w:rPr>
          <w:rFonts w:ascii="Times New Roman" w:hAnsi="Times New Roman" w:eastAsiaTheme="minorEastAsia" w:hint="default"/>
        </w:rPr>
        <w:t>vnu záť</w:t>
      </w:r>
      <w:r w:rsidRPr="00C3452A">
        <w:rPr>
          <w:rFonts w:ascii="Times New Roman" w:hAnsi="Times New Roman" w:eastAsiaTheme="minorEastAsia" w:hint="default"/>
        </w:rPr>
        <w:t>až</w:t>
      </w:r>
      <w:r w:rsidRPr="00C3452A">
        <w:rPr>
          <w:rFonts w:ascii="Times New Roman" w:hAnsi="Times New Roman" w:eastAsiaTheme="minorEastAsia" w:hint="default"/>
        </w:rPr>
        <w:t xml:space="preserve"> v objeme 150 000 eur. V </w:t>
      </w:r>
      <w:r w:rsidRPr="00C3452A">
        <w:rPr>
          <w:rFonts w:ascii="Times New Roman" w:hAnsi="Times New Roman" w:eastAsiaTheme="minorEastAsia" w:hint="default"/>
        </w:rPr>
        <w:t>nasledujú</w:t>
      </w:r>
      <w:r w:rsidRPr="00C3452A">
        <w:rPr>
          <w:rFonts w:ascii="Times New Roman" w:hAnsi="Times New Roman" w:eastAsiaTheme="minorEastAsia" w:hint="default"/>
        </w:rPr>
        <w:t>cich rokoch sa počí</w:t>
      </w:r>
      <w:r w:rsidRPr="00C3452A">
        <w:rPr>
          <w:rFonts w:ascii="Times New Roman" w:hAnsi="Times New Roman" w:eastAsiaTheme="minorEastAsia" w:hint="default"/>
        </w:rPr>
        <w:t>ta s </w:t>
      </w:r>
      <w:r w:rsidRPr="00C3452A">
        <w:rPr>
          <w:rFonts w:ascii="Times New Roman" w:hAnsi="Times New Roman" w:eastAsiaTheme="minorEastAsia" w:hint="default"/>
        </w:rPr>
        <w:t>administratí</w:t>
      </w:r>
      <w:r w:rsidRPr="00C3452A">
        <w:rPr>
          <w:rFonts w:ascii="Times New Roman" w:hAnsi="Times New Roman" w:eastAsiaTheme="minorEastAsia" w:hint="default"/>
        </w:rPr>
        <w:t>vnou záť</w:t>
      </w:r>
      <w:r w:rsidRPr="00C3452A">
        <w:rPr>
          <w:rFonts w:ascii="Times New Roman" w:hAnsi="Times New Roman" w:eastAsiaTheme="minorEastAsia" w:hint="default"/>
        </w:rPr>
        <w:t>až</w:t>
      </w:r>
      <w:r w:rsidRPr="00C3452A">
        <w:rPr>
          <w:rFonts w:ascii="Times New Roman" w:hAnsi="Times New Roman" w:eastAsiaTheme="minorEastAsia" w:hint="default"/>
        </w:rPr>
        <w:t>ou v objeme 150 000 eur.</w:t>
      </w:r>
    </w:p>
    <w:p w:rsidR="00581CC3" w:rsidRPr="00C3452A" w:rsidP="00581CC3">
      <w:pPr>
        <w:keepNext w:val="0"/>
        <w:pBdr>
          <w:top w:val="single" w:sz="4" w:space="1" w:color="auto"/>
          <w:left w:val="single" w:sz="4" w:space="4" w:color="auto"/>
          <w:bottom w:val="single" w:sz="4" w:space="1" w:color="auto"/>
          <w:right w:val="single" w:sz="4" w:space="4" w:color="auto"/>
        </w:pBdr>
        <w:bidi w:val="0"/>
        <w:spacing w:after="200"/>
        <w:rPr>
          <w:rFonts w:ascii="Times New Roman" w:hAnsi="Times New Roman" w:eastAsiaTheme="minorEastAsia"/>
        </w:rPr>
      </w:pPr>
      <w:r w:rsidRPr="00C3452A">
        <w:rPr>
          <w:rFonts w:ascii="Times New Roman" w:hAnsi="Times New Roman" w:eastAsiaTheme="minorEastAsia" w:hint="default"/>
        </w:rPr>
        <w:t>Finanč</w:t>
      </w:r>
      <w:r w:rsidRPr="00C3452A">
        <w:rPr>
          <w:rFonts w:ascii="Times New Roman" w:hAnsi="Times New Roman" w:eastAsiaTheme="minorEastAsia" w:hint="default"/>
        </w:rPr>
        <w:t>né</w:t>
      </w:r>
      <w:r w:rsidRPr="00C3452A">
        <w:rPr>
          <w:rFonts w:ascii="Times New Roman" w:hAnsi="Times New Roman" w:eastAsiaTheme="minorEastAsia" w:hint="default"/>
        </w:rPr>
        <w:t xml:space="preserve"> prostriedky budú</w:t>
      </w:r>
      <w:r w:rsidRPr="00C3452A">
        <w:rPr>
          <w:rFonts w:ascii="Times New Roman" w:hAnsi="Times New Roman" w:eastAsiaTheme="minorEastAsia" w:hint="default"/>
        </w:rPr>
        <w:t xml:space="preserve"> zabezpeč</w:t>
      </w:r>
      <w:r w:rsidRPr="00C3452A">
        <w:rPr>
          <w:rFonts w:ascii="Times New Roman" w:hAnsi="Times New Roman" w:eastAsiaTheme="minorEastAsia" w:hint="default"/>
        </w:rPr>
        <w:t>ené</w:t>
      </w:r>
      <w:r w:rsidRPr="00C3452A">
        <w:rPr>
          <w:rFonts w:ascii="Times New Roman" w:hAnsi="Times New Roman" w:eastAsiaTheme="minorEastAsia" w:hint="default"/>
        </w:rPr>
        <w:t xml:space="preserve"> v </w:t>
      </w:r>
      <w:r w:rsidRPr="00C3452A">
        <w:rPr>
          <w:rFonts w:ascii="Times New Roman" w:hAnsi="Times New Roman" w:eastAsiaTheme="minorEastAsia" w:hint="default"/>
        </w:rPr>
        <w:t>rokoch 2018-2020 v rá</w:t>
      </w:r>
      <w:r w:rsidRPr="00C3452A">
        <w:rPr>
          <w:rFonts w:ascii="Times New Roman" w:hAnsi="Times New Roman" w:eastAsiaTheme="minorEastAsia" w:hint="default"/>
        </w:rPr>
        <w:t>mci vý</w:t>
      </w:r>
      <w:r w:rsidRPr="00C3452A">
        <w:rPr>
          <w:rFonts w:ascii="Times New Roman" w:hAnsi="Times New Roman" w:eastAsiaTheme="minorEastAsia" w:hint="default"/>
        </w:rPr>
        <w:t>davkov kapitoly MPRV SR zo zdroja 111 programu 0</w:t>
      </w:r>
      <w:r w:rsidRPr="00C3452A">
        <w:rPr>
          <w:rFonts w:ascii="Times New Roman" w:hAnsi="Times New Roman" w:eastAsiaTheme="minorEastAsia" w:hint="default"/>
        </w:rPr>
        <w:t>900601, ktoré</w:t>
      </w:r>
      <w:r w:rsidRPr="00C3452A">
        <w:rPr>
          <w:rFonts w:ascii="Times New Roman" w:hAnsi="Times New Roman" w:eastAsiaTheme="minorEastAsia" w:hint="default"/>
        </w:rPr>
        <w:t xml:space="preserve"> sa rozpoč</w:t>
      </w:r>
      <w:r w:rsidRPr="00C3452A">
        <w:rPr>
          <w:rFonts w:ascii="Times New Roman" w:hAnsi="Times New Roman" w:eastAsiaTheme="minorEastAsia" w:hint="default"/>
        </w:rPr>
        <w:t>tový</w:t>
      </w:r>
      <w:r w:rsidRPr="00C3452A">
        <w:rPr>
          <w:rFonts w:ascii="Times New Roman" w:hAnsi="Times New Roman" w:eastAsiaTheme="minorEastAsia" w:hint="default"/>
        </w:rPr>
        <w:t>m opatrení</w:t>
      </w:r>
      <w:r w:rsidRPr="00C3452A">
        <w:rPr>
          <w:rFonts w:ascii="Times New Roman" w:hAnsi="Times New Roman" w:eastAsiaTheme="minorEastAsia" w:hint="default"/>
        </w:rPr>
        <w:t>m preklasifikujú</w:t>
      </w:r>
      <w:r w:rsidRPr="00C3452A">
        <w:rPr>
          <w:rFonts w:ascii="Times New Roman" w:hAnsi="Times New Roman" w:eastAsiaTheme="minorEastAsia" w:hint="default"/>
        </w:rPr>
        <w:t xml:space="preserve"> na zdroj 0EK0K.</w:t>
      </w:r>
      <w:r w:rsidRPr="00C3452A">
        <w:rPr>
          <w:rFonts w:ascii="Times New Roman" w:hAnsi="Times New Roman"/>
          <w:bCs/>
        </w:rPr>
        <w:t>Zároveň nebudú predstavovať zvýšené požiadavky na prostriedky štátneho rozpočtu.</w:t>
      </w:r>
    </w:p>
    <w:p w:rsidR="00581CC3" w:rsidRPr="00C3452A" w:rsidP="00581CC3">
      <w:pPr>
        <w:keepNext w:val="0"/>
        <w:bidi w:val="0"/>
        <w:jc w:val="left"/>
        <w:rPr>
          <w:rFonts w:ascii="Times New Roman" w:hAnsi="Times New Roman"/>
          <w:b/>
          <w:bCs/>
        </w:rPr>
      </w:pPr>
      <w:r w:rsidRPr="00C3452A">
        <w:rPr>
          <w:rFonts w:ascii="Times New Roman" w:hAnsi="Times New Roman"/>
          <w:b/>
          <w:bCs/>
        </w:rPr>
        <w:t>2.2. Popis a charakteristika návrhu</w:t>
      </w:r>
    </w:p>
    <w:p w:rsidR="00581CC3" w:rsidRPr="00C3452A" w:rsidP="00581CC3">
      <w:pPr>
        <w:keepNext w:val="0"/>
        <w:bidi w:val="0"/>
        <w:rPr>
          <w:rFonts w:ascii="Times New Roman" w:hAnsi="Times New Roman"/>
          <w:b/>
          <w:bCs/>
        </w:rPr>
      </w:pPr>
      <w:r w:rsidRPr="00C3452A">
        <w:rPr>
          <w:rFonts w:ascii="Times New Roman" w:hAnsi="Times New Roman"/>
          <w:b/>
          <w:bCs/>
        </w:rPr>
        <w:t>2.2.1. Popis návrhu:</w:t>
      </w:r>
    </w:p>
    <w:p w:rsidR="00581CC3" w:rsidRPr="00C3452A" w:rsidP="00581CC3">
      <w:pPr>
        <w:keepNext w:val="0"/>
        <w:bidi w:val="0"/>
        <w:rPr>
          <w:rFonts w:ascii="Times New Roman" w:hAnsi="Times New Roman"/>
          <w:b/>
          <w:bCs/>
        </w:rPr>
      </w:pPr>
    </w:p>
    <w:p w:rsidR="00581CC3" w:rsidRPr="00C3452A" w:rsidP="00581CC3">
      <w:pPr>
        <w:keepNext w:val="0"/>
        <w:bidi w:val="0"/>
        <w:ind w:firstLine="708"/>
        <w:rPr>
          <w:rFonts w:ascii="Times New Roman" w:hAnsi="Times New Roman"/>
        </w:rPr>
      </w:pPr>
      <w:r w:rsidRPr="00C3452A">
        <w:rPr>
          <w:rFonts w:ascii="Times New Roman" w:hAnsi="Times New Roman"/>
        </w:rPr>
        <w:t>Akú problematiku návrh rieši? Kto bude návrh implementovať? Kde sa budú služby poskytovať?</w:t>
      </w:r>
    </w:p>
    <w:p w:rsidR="00581CC3" w:rsidRPr="00C3452A" w:rsidP="00581CC3">
      <w:pPr>
        <w:keepNext w:val="0"/>
        <w:bidi w:val="0"/>
        <w:jc w:val="left"/>
        <w:rPr>
          <w:rFonts w:ascii="Times New Roman" w:hAnsi="Times New Roman"/>
        </w:rPr>
      </w:pPr>
      <w:r w:rsidRPr="00C3452A">
        <w:rPr>
          <w:rFonts w:ascii="Times New Roman" w:hAnsi="Times New Roman"/>
        </w:rPr>
        <w:t>.......................................................................................................................................................</w:t>
      </w:r>
    </w:p>
    <w:p w:rsidR="00581CC3" w:rsidRPr="00C3452A" w:rsidP="00581CC3">
      <w:pPr>
        <w:keepNext w:val="0"/>
        <w:bidi w:val="0"/>
        <w:jc w:val="left"/>
        <w:rPr>
          <w:rFonts w:ascii="Times New Roman" w:hAnsi="Times New Roman"/>
        </w:rPr>
      </w:pPr>
    </w:p>
    <w:p w:rsidR="00581CC3" w:rsidRPr="00C3452A" w:rsidP="00581CC3">
      <w:pPr>
        <w:keepNext w:val="0"/>
        <w:bidi w:val="0"/>
        <w:jc w:val="left"/>
        <w:rPr>
          <w:rFonts w:ascii="Times New Roman" w:hAnsi="Times New Roman"/>
          <w:b/>
          <w:bCs/>
        </w:rPr>
      </w:pPr>
      <w:r w:rsidRPr="00C3452A">
        <w:rPr>
          <w:rFonts w:ascii="Times New Roman" w:hAnsi="Times New Roman"/>
          <w:b/>
          <w:bCs/>
        </w:rPr>
        <w:t>2.2.2. Charakteristika návrhu:</w:t>
      </w:r>
    </w:p>
    <w:p w:rsidR="00581CC3" w:rsidRPr="00C3452A" w:rsidP="00581CC3">
      <w:pPr>
        <w:keepNext w:val="0"/>
        <w:bidi w:val="0"/>
        <w:jc w:val="left"/>
        <w:rPr>
          <w:rFonts w:ascii="Times New Roman" w:hAnsi="Times New Roman"/>
        </w:rPr>
      </w:pPr>
    </w:p>
    <w:p w:rsidR="00581CC3" w:rsidRPr="00C3452A" w:rsidP="00581CC3">
      <w:pPr>
        <w:keepNext w:val="0"/>
        <w:bidi w:val="0"/>
        <w:jc w:val="left"/>
        <w:rPr>
          <w:rFonts w:ascii="Times New Roman" w:hAnsi="Times New Roman"/>
        </w:rPr>
      </w:pPr>
      <w:r w:rsidRPr="00C3452A">
        <w:rPr>
          <w:rFonts w:ascii="Times New Roman" w:hAnsi="Times New Roman"/>
        </w:rPr>
        <w:t>zmena sadzby</w:t>
      </w:r>
    </w:p>
    <w:p w:rsidR="00581CC3" w:rsidRPr="00C3452A" w:rsidP="00581CC3">
      <w:pPr>
        <w:keepNext w:val="0"/>
        <w:bidi w:val="0"/>
        <w:jc w:val="left"/>
        <w:rPr>
          <w:rFonts w:ascii="Times New Roman" w:hAnsi="Times New Roman"/>
        </w:rPr>
      </w:pPr>
      <w:r w:rsidRPr="00C3452A">
        <w:rPr>
          <w:rFonts w:ascii="Times New Roman" w:hAnsi="Times New Roman"/>
        </w:rPr>
        <w:t xml:space="preserve">  zmena v nároku</w:t>
      </w:r>
    </w:p>
    <w:p w:rsidR="00581CC3" w:rsidRPr="00C3452A" w:rsidP="00581CC3">
      <w:pPr>
        <w:keepNext w:val="0"/>
        <w:bidi w:val="0"/>
        <w:jc w:val="left"/>
        <w:rPr>
          <w:rFonts w:ascii="Times New Roman" w:hAnsi="Times New Roman"/>
        </w:rPr>
      </w:pPr>
      <w:r w:rsidRPr="00C3452A">
        <w:rPr>
          <w:rFonts w:ascii="Times New Roman" w:hAnsi="Times New Roman"/>
        </w:rPr>
        <w:t xml:space="preserve">  nová služba alebo nariadenie (alebo ich zrušenie)</w:t>
      </w:r>
    </w:p>
    <w:p w:rsidR="00581CC3" w:rsidRPr="00C3452A" w:rsidP="00581CC3">
      <w:pPr>
        <w:keepNext w:val="0"/>
        <w:bidi w:val="0"/>
        <w:jc w:val="left"/>
        <w:rPr>
          <w:rFonts w:ascii="Times New Roman" w:hAnsi="Times New Roman"/>
        </w:rPr>
      </w:pPr>
      <w:r w:rsidRPr="00C3452A">
        <w:rPr>
          <w:rFonts w:ascii="Times New Roman" w:hAnsi="Times New Roman"/>
        </w:rPr>
        <w:t xml:space="preserve">  kombinovaný návrh</w:t>
      </w:r>
    </w:p>
    <w:p w:rsidR="00581CC3" w:rsidRPr="00C3452A" w:rsidP="00581CC3">
      <w:pPr>
        <w:keepNext w:val="0"/>
        <w:bidi w:val="0"/>
        <w:jc w:val="left"/>
        <w:rPr>
          <w:rFonts w:ascii="Times New Roman" w:hAnsi="Times New Roman"/>
        </w:rPr>
      </w:pPr>
      <w:r w:rsidRPr="00C3452A">
        <w:rPr>
          <w:rFonts w:ascii="Times New Roman" w:hAnsi="Times New Roman"/>
          <w:bdr w:val="single" w:sz="4" w:space="0" w:color="auto"/>
        </w:rPr>
        <w:t xml:space="preserve">  x </w:t>
      </w:r>
      <w:r w:rsidRPr="00C3452A">
        <w:rPr>
          <w:rFonts w:ascii="Times New Roman" w:hAnsi="Times New Roman"/>
        </w:rPr>
        <w:t xml:space="preserve">iné </w:t>
      </w:r>
    </w:p>
    <w:p w:rsidR="00581CC3" w:rsidRPr="00C3452A" w:rsidP="00581CC3">
      <w:pPr>
        <w:keepNext w:val="0"/>
        <w:bidi w:val="0"/>
        <w:jc w:val="left"/>
        <w:rPr>
          <w:rFonts w:ascii="Times New Roman" w:hAnsi="Times New Roman"/>
        </w:rPr>
      </w:pPr>
    </w:p>
    <w:p w:rsidR="00581CC3" w:rsidRPr="00C3452A" w:rsidP="00581CC3">
      <w:pPr>
        <w:keepNext w:val="0"/>
        <w:bidi w:val="0"/>
        <w:jc w:val="left"/>
        <w:rPr>
          <w:rFonts w:ascii="Times New Roman" w:hAnsi="Times New Roman"/>
        </w:rPr>
      </w:pPr>
      <w:r w:rsidRPr="00C3452A">
        <w:rPr>
          <w:rFonts w:ascii="Times New Roman" w:hAnsi="Times New Roman"/>
          <w:b/>
          <w:bCs/>
        </w:rPr>
        <w:t>2.2.3. Predpoklady vývoja objemu aktivít:</w:t>
      </w:r>
    </w:p>
    <w:p w:rsidR="00581CC3" w:rsidRPr="00C3452A" w:rsidP="00581CC3">
      <w:pPr>
        <w:keepNext w:val="0"/>
        <w:bidi w:val="0"/>
        <w:jc w:val="left"/>
        <w:rPr>
          <w:rFonts w:ascii="Times New Roman" w:hAnsi="Times New Roman"/>
        </w:rPr>
      </w:pPr>
    </w:p>
    <w:p w:rsidR="00581CC3" w:rsidRPr="00C3452A" w:rsidP="00581CC3">
      <w:pPr>
        <w:keepNext w:val="0"/>
        <w:bidi w:val="0"/>
        <w:ind w:firstLine="708"/>
        <w:rPr>
          <w:rFonts w:ascii="Times New Roman" w:hAnsi="Times New Roman"/>
        </w:rPr>
      </w:pPr>
      <w:r w:rsidRPr="00C3452A">
        <w:rPr>
          <w:rFonts w:ascii="Times New Roman" w:hAnsi="Times New Roman"/>
        </w:rPr>
        <w:t>Jasne popíšte, v prípade potreby použite nižšie uvedenú tabuľku. Uveďte aj odhady základov daní a/alebo poplatkov, ak sa ich táto zmena týka.</w:t>
      </w:r>
    </w:p>
    <w:p w:rsidR="00C209C0" w:rsidP="00581CC3">
      <w:pPr>
        <w:keepNext w:val="0"/>
        <w:bidi w:val="0"/>
        <w:jc w:val="right"/>
        <w:rPr>
          <w:rFonts w:ascii="Times New Roman" w:hAnsi="Times New Roman"/>
        </w:rPr>
      </w:pPr>
    </w:p>
    <w:p w:rsidR="00581CC3" w:rsidRPr="00C3452A" w:rsidP="00581CC3">
      <w:pPr>
        <w:keepNext w:val="0"/>
        <w:bidi w:val="0"/>
        <w:jc w:val="right"/>
        <w:rPr>
          <w:rFonts w:ascii="Times New Roman" w:hAnsi="Times New Roman"/>
        </w:rPr>
      </w:pPr>
      <w:r w:rsidRPr="00C3452A">
        <w:rPr>
          <w:rFonts w:ascii="Times New Roman" w:hAnsi="Times New Roman"/>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autoSpaceDE w:val="0"/>
              <w:autoSpaceDN w:val="0"/>
              <w:bidi w:val="0"/>
              <w:adjustRightInd w:val="0"/>
              <w:spacing w:after="0" w:line="240" w:lineRule="auto"/>
              <w:jc w:val="center"/>
              <w:rPr>
                <w:rFonts w:ascii="Times New Roman" w:hAnsi="Times New Roman"/>
                <w:b/>
                <w:bCs/>
              </w:rPr>
            </w:pPr>
            <w:r w:rsidRPr="00C3452A">
              <w:rPr>
                <w:rFonts w:ascii="Times New Roman" w:hAnsi="Times New Roman"/>
                <w:b/>
                <w:bCs/>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left"/>
              <w:rPr>
                <w:rFonts w:ascii="Times New Roman" w:hAnsi="Times New Roman"/>
                <w:color w:val="000000"/>
              </w:rPr>
            </w:pPr>
            <w:r w:rsidRPr="00C3452A">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left"/>
              <w:rPr>
                <w:rFonts w:ascii="Times New Roman" w:hAnsi="Times New Roman"/>
                <w:color w:val="000000"/>
              </w:rPr>
            </w:pPr>
            <w:r w:rsidRPr="00C3452A">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left"/>
              <w:rPr>
                <w:rFonts w:ascii="Times New Roman" w:hAnsi="Times New Roman"/>
                <w:color w:val="000000"/>
              </w:rPr>
            </w:pPr>
            <w:r w:rsidRPr="00C3452A">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autoSpaceDE w:val="0"/>
              <w:autoSpaceDN w:val="0"/>
              <w:bidi w:val="0"/>
              <w:adjustRightInd w:val="0"/>
              <w:spacing w:after="0" w:line="240" w:lineRule="auto"/>
              <w:jc w:val="right"/>
              <w:rPr>
                <w:rFonts w:ascii="Times New Roman" w:hAnsi="Times New Roman"/>
                <w:color w:val="000000"/>
              </w:rPr>
            </w:pPr>
          </w:p>
        </w:tc>
      </w:tr>
    </w:tbl>
    <w:p w:rsidR="00581CC3" w:rsidRPr="00C3452A" w:rsidP="00581CC3">
      <w:pPr>
        <w:keepNext w:val="0"/>
        <w:bidi w:val="0"/>
        <w:jc w:val="left"/>
        <w:rPr>
          <w:rFonts w:ascii="Times New Roman" w:hAnsi="Times New Roman"/>
        </w:rPr>
      </w:pPr>
    </w:p>
    <w:p w:rsidR="00581CC3" w:rsidRPr="00C3452A" w:rsidP="00581CC3">
      <w:pPr>
        <w:keepNext w:val="0"/>
        <w:bidi w:val="0"/>
        <w:jc w:val="left"/>
        <w:rPr>
          <w:rFonts w:ascii="Times New Roman" w:hAnsi="Times New Roman"/>
          <w:b/>
          <w:bCs/>
        </w:rPr>
      </w:pPr>
      <w:r w:rsidRPr="00C3452A">
        <w:rPr>
          <w:rFonts w:ascii="Times New Roman" w:hAnsi="Times New Roman"/>
          <w:b/>
          <w:bCs/>
        </w:rPr>
        <w:t>2.2.4. Výpočty vplyvov na verejné financie</w:t>
      </w:r>
    </w:p>
    <w:p w:rsidR="00581CC3" w:rsidRPr="00C3452A" w:rsidP="00581CC3">
      <w:pPr>
        <w:keepNext w:val="0"/>
        <w:bidi w:val="0"/>
        <w:ind w:firstLine="708"/>
        <w:rPr>
          <w:rFonts w:ascii="Times New Roman" w:hAnsi="Times New Roman"/>
        </w:rPr>
      </w:pPr>
    </w:p>
    <w:p w:rsidR="00581CC3" w:rsidRPr="00C3452A" w:rsidP="00581CC3">
      <w:pPr>
        <w:keepNext w:val="0"/>
        <w:bidi w:val="0"/>
        <w:ind w:firstLine="708"/>
        <w:rPr>
          <w:rFonts w:ascii="Times New Roman" w:hAnsi="Times New Roman"/>
        </w:rPr>
      </w:pPr>
      <w:r w:rsidRPr="00C3452A">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581CC3" w:rsidRPr="00C3452A" w:rsidP="00581CC3">
      <w:pPr>
        <w:keepNext w:val="0"/>
        <w:tabs>
          <w:tab w:val="num" w:pos="1080"/>
        </w:tabs>
        <w:bidi w:val="0"/>
        <w:rPr>
          <w:rFonts w:ascii="Times New Roman" w:hAnsi="Times New Roman"/>
          <w:bCs/>
        </w:rPr>
        <w:sectPr w:rsidSect="001D59E9">
          <w:headerReference w:type="even" r:id="rId6"/>
          <w:footerReference w:type="even" r:id="rId7"/>
          <w:footerReference w:type="default" r:id="rId8"/>
          <w:headerReference w:type="first" r:id="rId9"/>
          <w:footerReference w:type="first" r:id="rId10"/>
          <w:pgSz w:w="11906" w:h="16838"/>
          <w:pgMar w:top="1417" w:right="1417" w:bottom="1276" w:left="1417" w:header="708" w:footer="708" w:gutter="0"/>
          <w:lnNumType w:distance="0"/>
          <w:pgNumType w:start="1"/>
          <w:cols w:space="708"/>
          <w:noEndnote w:val="0"/>
          <w:bidi w:val="0"/>
          <w:docGrid w:linePitch="360"/>
        </w:sectPr>
      </w:pPr>
    </w:p>
    <w:p w:rsidR="00581CC3" w:rsidRPr="00C3452A" w:rsidP="00581CC3">
      <w:pPr>
        <w:keepNext w:val="0"/>
        <w:tabs>
          <w:tab w:val="num" w:pos="1080"/>
        </w:tabs>
        <w:bidi w:val="0"/>
        <w:jc w:val="right"/>
        <w:rPr>
          <w:rFonts w:ascii="Times New Roman" w:hAnsi="Times New Roman"/>
          <w:bCs/>
        </w:rPr>
      </w:pPr>
      <w:r w:rsidRPr="00C3452A">
        <w:rPr>
          <w:rFonts w:ascii="Times New Roman" w:hAnsi="Times New Roman"/>
          <w:bCs/>
        </w:rPr>
        <w:t xml:space="preserve">Tabuľka č. 3 </w:t>
      </w:r>
    </w:p>
    <w:p w:rsidR="00581CC3" w:rsidRPr="00C3452A" w:rsidP="00581CC3">
      <w:pPr>
        <w:keepNext w:val="0"/>
        <w:tabs>
          <w:tab w:val="num" w:pos="1080"/>
        </w:tabs>
        <w:bidi w:val="0"/>
        <w:rPr>
          <w:rFonts w:ascii="Times New Roman" w:hAnsi="Times New Roman"/>
          <w:bCs/>
        </w:rPr>
      </w:pPr>
    </w:p>
    <w:tbl>
      <w:tblPr>
        <w:tblStyle w:val="TableNormal"/>
        <w:tblpPr w:leftFromText="141" w:rightFromText="141" w:horzAnchor="margin" w:tblpXSpec="center" w:tblpY="533"/>
        <w:tblW w:w="14166" w:type="dxa"/>
        <w:tblCellMar>
          <w:left w:w="70" w:type="dxa"/>
          <w:right w:w="70" w:type="dxa"/>
        </w:tblCellMar>
      </w:tblPr>
      <w:tblGrid>
        <w:gridCol w:w="5166"/>
        <w:gridCol w:w="1500"/>
        <w:gridCol w:w="1500"/>
        <w:gridCol w:w="1500"/>
        <w:gridCol w:w="1500"/>
        <w:gridCol w:w="3000"/>
      </w:tblGrid>
      <w:tr>
        <w:tblPrEx>
          <w:tblW w:w="14166" w:type="dxa"/>
          <w:tblCellMar>
            <w:left w:w="70" w:type="dxa"/>
            <w:right w:w="70" w:type="dxa"/>
          </w:tblCellMar>
        </w:tblPrEx>
        <w:trPr>
          <w:cantSplit/>
          <w:trHeight w:val="255"/>
        </w:trPr>
        <w:tc>
          <w:tcPr>
            <w:tcW w:w="5166"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poznámka</w:t>
            </w:r>
          </w:p>
        </w:tc>
      </w:tr>
      <w:tr>
        <w:tblPrEx>
          <w:tblW w:w="14166" w:type="dxa"/>
          <w:tblCellMar>
            <w:left w:w="70" w:type="dxa"/>
            <w:right w:w="70" w:type="dxa"/>
          </w:tblCellMar>
        </w:tblPrEx>
        <w:trPr>
          <w:cantSplit/>
          <w:trHeight w:val="255"/>
        </w:trPr>
        <w:tc>
          <w:tcPr>
            <w:tcW w:w="5166" w:type="dxa"/>
            <w:vMerge/>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keepNext w:val="0"/>
              <w:bidi w:val="0"/>
              <w:spacing w:after="0" w:line="240" w:lineRule="auto"/>
              <w:jc w:val="left"/>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2019</w:t>
            </w:r>
          </w:p>
        </w:tc>
        <w:tc>
          <w:tcPr>
            <w:tcW w:w="150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2020</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keepNext w:val="0"/>
              <w:bidi w:val="0"/>
              <w:spacing w:after="0" w:line="240" w:lineRule="auto"/>
              <w:jc w:val="left"/>
              <w:rPr>
                <w:rFonts w:ascii="Times New Roman" w:hAnsi="Times New Roman"/>
                <w:b/>
                <w:bCs/>
                <w:color w:val="FFFFFF"/>
              </w:rPr>
            </w:pP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vertAlign w:val="superscript"/>
              </w:rPr>
            </w:pPr>
            <w:r w:rsidRPr="00C3452A">
              <w:rPr>
                <w:rFonts w:ascii="Times New Roman" w:hAnsi="Times New Roman"/>
                <w:b/>
                <w:bCs/>
              </w:rPr>
              <w:t>Daňové príjmy (100)</w:t>
            </w:r>
            <w:r w:rsidRPr="00C3452A">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Nedaňové príjmy (200)</w:t>
            </w:r>
            <w:r w:rsidRPr="00C3452A">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Granty a transfery (300)</w:t>
            </w:r>
            <w:r w:rsidRPr="00C3452A">
              <w:rPr>
                <w:rFonts w:ascii="Times New Roman" w:hAnsi="Times New Roman"/>
                <w:b/>
                <w:bCs/>
                <w:vertAlign w:val="superscript"/>
              </w:rPr>
              <w:t>1</w:t>
            </w:r>
            <w:r w:rsidRPr="00C3452A">
              <w:rPr>
                <w:rFonts w:ascii="Times New Roman" w:hAnsi="Times New Roman"/>
                <w:b/>
                <w:bCs/>
              </w:rPr>
              <w:t>,</w:t>
            </w:r>
            <w:r w:rsidRPr="00C3452A">
              <w:rPr>
                <w:rFonts w:ascii="Times New Roman" w:hAnsi="Times New Roman" w:eastAsiaTheme="minorEastAsia" w:hint="default"/>
                <w:bCs/>
              </w:rPr>
              <w:t xml:space="preserve"> v tom: 341 prostriedky z rozpoč</w:t>
            </w:r>
            <w:r w:rsidRPr="00C3452A">
              <w:rPr>
                <w:rFonts w:ascii="Times New Roman" w:hAnsi="Times New Roman" w:eastAsiaTheme="minorEastAsia" w:hint="default"/>
                <w:bCs/>
              </w:rPr>
              <w:t>tu EÚ</w:t>
            </w:r>
          </w:p>
        </w:tc>
        <w:tc>
          <w:tcPr>
            <w:tcW w:w="150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300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166" w:type="dxa"/>
          <w:tblCellMar>
            <w:left w:w="70" w:type="dxa"/>
            <w:right w:w="70" w:type="dxa"/>
          </w:tblCellMar>
        </w:tblPrEx>
        <w:trPr>
          <w:trHeight w:val="255"/>
        </w:trPr>
        <w:tc>
          <w:tcPr>
            <w:tcW w:w="5166" w:type="dxa"/>
            <w:tcBorders>
              <w:top w:val="nil"/>
              <w:left w:val="single" w:sz="4" w:space="0" w:color="auto"/>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00" w:type="dxa"/>
            <w:tcBorders>
              <w:top w:val="nil"/>
              <w:left w:val="nil"/>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bl>
    <w:p w:rsidR="00581CC3" w:rsidRPr="00C3452A" w:rsidP="00581CC3">
      <w:pPr>
        <w:keepNext w:val="0"/>
        <w:tabs>
          <w:tab w:val="num" w:pos="1080"/>
        </w:tabs>
        <w:bidi w:val="0"/>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578"/>
        <w:jc w:val="right"/>
        <w:rPr>
          <w:rFonts w:ascii="Times New Roman" w:hAnsi="Times New Roman"/>
          <w:bCs/>
        </w:rPr>
      </w:pPr>
    </w:p>
    <w:p w:rsidR="00581CC3" w:rsidRPr="00C3452A" w:rsidP="00581CC3">
      <w:pPr>
        <w:keepNext w:val="0"/>
        <w:tabs>
          <w:tab w:val="num" w:pos="1080"/>
        </w:tabs>
        <w:bidi w:val="0"/>
        <w:ind w:right="-32"/>
        <w:jc w:val="right"/>
        <w:rPr>
          <w:rFonts w:ascii="Times New Roman" w:hAnsi="Times New Roman"/>
          <w:bCs/>
        </w:rPr>
      </w:pPr>
      <w:r w:rsidRPr="00C3452A">
        <w:rPr>
          <w:rFonts w:ascii="Times New Roman" w:hAnsi="Times New Roman"/>
          <w:bCs/>
        </w:rPr>
        <w:t xml:space="preserve">Tabuľka č. 4 </w:t>
      </w:r>
    </w:p>
    <w:p w:rsidR="00581CC3" w:rsidRPr="00C3452A" w:rsidP="00581CC3">
      <w:pPr>
        <w:keepNext w:val="0"/>
        <w:tabs>
          <w:tab w:val="num" w:pos="1080"/>
        </w:tabs>
        <w:bidi w:val="0"/>
        <w:rPr>
          <w:rFonts w:ascii="Times New Roman" w:hAnsi="Times New Roman"/>
          <w:bCs/>
        </w:rPr>
      </w:pPr>
    </w:p>
    <w:tbl>
      <w:tblPr>
        <w:tblStyle w:val="TableNormal"/>
        <w:tblpPr w:leftFromText="141" w:rightFromText="141" w:vertAnchor="text" w:horzAnchor="page" w:tblpX="1337" w:tblpY="2"/>
        <w:tblW w:w="14742" w:type="dxa"/>
        <w:tblCellMar>
          <w:left w:w="70" w:type="dxa"/>
          <w:right w:w="70" w:type="dxa"/>
        </w:tblCellMar>
      </w:tblPr>
      <w:tblGrid>
        <w:gridCol w:w="6362"/>
        <w:gridCol w:w="1540"/>
        <w:gridCol w:w="1540"/>
        <w:gridCol w:w="1540"/>
        <w:gridCol w:w="1540"/>
        <w:gridCol w:w="2220"/>
      </w:tblGrid>
      <w:tr>
        <w:tblPrEx>
          <w:tblW w:w="14742" w:type="dxa"/>
          <w:tblCellMar>
            <w:left w:w="70" w:type="dxa"/>
            <w:right w:w="70" w:type="dxa"/>
          </w:tblCellMar>
        </w:tblPrEx>
        <w:trPr>
          <w:cantSplit/>
          <w:trHeight w:val="255"/>
        </w:trPr>
        <w:tc>
          <w:tcPr>
            <w:tcW w:w="6362"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poznámka</w:t>
            </w:r>
          </w:p>
        </w:tc>
      </w:tr>
      <w:tr>
        <w:tblPrEx>
          <w:tblW w:w="14742" w:type="dxa"/>
          <w:tblCellMar>
            <w:left w:w="70" w:type="dxa"/>
            <w:right w:w="70" w:type="dxa"/>
          </w:tblCellMar>
        </w:tblPrEx>
        <w:trPr>
          <w:cantSplit/>
          <w:trHeight w:val="255"/>
        </w:trPr>
        <w:tc>
          <w:tcPr>
            <w:tcW w:w="6362" w:type="dxa"/>
            <w:vMerge/>
            <w:tcBorders>
              <w:top w:val="single" w:sz="4" w:space="0" w:color="auto"/>
              <w:left w:val="single" w:sz="4" w:space="0" w:color="auto"/>
              <w:bottom w:val="single" w:sz="4" w:space="0" w:color="000000"/>
              <w:right w:val="single" w:sz="4" w:space="0" w:color="auto"/>
            </w:tcBorders>
            <w:textDirection w:val="lrTb"/>
            <w:vAlign w:val="center"/>
          </w:tcPr>
          <w:p w:rsidR="00581CC3" w:rsidRPr="00C3452A" w:rsidP="00020905">
            <w:pPr>
              <w:keepNext w:val="0"/>
              <w:bidi w:val="0"/>
              <w:spacing w:after="0" w:line="240" w:lineRule="auto"/>
              <w:jc w:val="left"/>
              <w:rPr>
                <w:rFonts w:ascii="Times New Roman" w:hAnsi="Times New Roman"/>
                <w:b/>
                <w:bCs/>
                <w:color w:val="FFFFFF"/>
              </w:rPr>
            </w:pPr>
          </w:p>
        </w:tc>
        <w:tc>
          <w:tcPr>
            <w:tcW w:w="154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2019</w:t>
            </w:r>
          </w:p>
        </w:tc>
        <w:tc>
          <w:tcPr>
            <w:tcW w:w="1540"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2020</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keepNext w:val="0"/>
              <w:bidi w:val="0"/>
              <w:spacing w:after="0" w:line="240" w:lineRule="auto"/>
              <w:jc w:val="left"/>
              <w:rPr>
                <w:rFonts w:ascii="Times New Roman" w:hAnsi="Times New Roman"/>
                <w:b/>
                <w:bCs/>
                <w:color w:val="FFFFFF"/>
              </w:rPr>
            </w:pP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Bežné výdavky (600)</w:t>
            </w: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vertAlign w:val="superscript"/>
              </w:rPr>
            </w:pPr>
            <w:r w:rsidRPr="00C3452A">
              <w:rPr>
                <w:rFonts w:ascii="Times New Roman" w:hAnsi="Times New Roman"/>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Tovary a služby (630)</w:t>
            </w:r>
            <w:r w:rsidRPr="00C3452A">
              <w:rPr>
                <w:rFonts w:ascii="Times New Roman" w:hAnsi="Times New Roman"/>
                <w:vertAlign w:val="superscript"/>
              </w:rPr>
              <w:t>2</w:t>
            </w:r>
            <w:r w:rsidRPr="00C3452A">
              <w:rPr>
                <w:rFonts w:ascii="Times New Roman" w:hAnsi="Times New Roman"/>
              </w:rPr>
              <w:t>, v tom: Rutinná a štand.údržba softvéru (635009)</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150 000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150 000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150 000</w:t>
            </w: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Bežné transfery (640)</w:t>
            </w:r>
            <w:r w:rsidRPr="00C3452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1540" w:type="dxa"/>
            <w:tcBorders>
              <w:top w:val="nil"/>
              <w:left w:val="nil"/>
              <w:bottom w:val="single" w:sz="4" w:space="0" w:color="auto"/>
              <w:right w:val="single" w:sz="4" w:space="0" w:color="auto"/>
            </w:tcBorders>
            <w:textDirection w:val="lrTb"/>
            <w:vAlign w:val="center"/>
          </w:tcPr>
          <w:p w:rsidR="00581CC3" w:rsidRPr="00C3452A" w:rsidP="00020905">
            <w:pPr>
              <w:keepNext w:val="0"/>
              <w:bidi w:val="0"/>
              <w:spacing w:after="0" w:line="240" w:lineRule="auto"/>
              <w:jc w:val="center"/>
              <w:rPr>
                <w:rFonts w:ascii="Times New Roman" w:hAnsi="Times New Roman"/>
                <w:b/>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center"/>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Splácanie úrokov a ostatné platby súvisiace s úverom, pôžičkou, návratnou finančnou výpomocou a finančným prenájmom (650)</w:t>
            </w:r>
            <w:r w:rsidRPr="00C3452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Kapitálové výdavky (700)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Obstarávanie kapitálových aktív (710)</w:t>
            </w:r>
            <w:r w:rsidRPr="00C3452A">
              <w:rPr>
                <w:rFonts w:ascii="Times New Roman" w:hAnsi="Times New Roman"/>
                <w:vertAlign w:val="superscript"/>
              </w:rPr>
              <w:t>2</w:t>
            </w:r>
            <w:r w:rsidRPr="00C3452A">
              <w:rPr>
                <w:rFonts w:ascii="Times New Roman" w:hAnsi="Times New Roman"/>
              </w:rPr>
              <w:t>v tom: Nákup softvéru (711003)</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200 000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0</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0</w:t>
            </w: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xml:space="preserve">  Kapitálové transfery (720)</w:t>
            </w:r>
            <w:r w:rsidRPr="00C3452A">
              <w:rPr>
                <w:rFonts w:ascii="Times New Roman" w:hAnsi="Times New Roman"/>
                <w:vertAlign w:val="superscript"/>
              </w:rPr>
              <w:t>2</w:t>
            </w: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540"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742" w:type="dxa"/>
          <w:tblCellMar>
            <w:left w:w="70" w:type="dxa"/>
            <w:right w:w="70" w:type="dxa"/>
          </w:tblCellMar>
        </w:tblPrEx>
        <w:trPr>
          <w:trHeight w:val="255"/>
        </w:trPr>
        <w:tc>
          <w:tcPr>
            <w:tcW w:w="6362"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rPr>
            </w:pPr>
            <w:r w:rsidRPr="00C3452A">
              <w:rPr>
                <w:rFonts w:ascii="Times New Roman" w:hAnsi="Times New Roman"/>
                <w:b/>
              </w:rPr>
              <w:t>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rPr>
            </w:pPr>
            <w:r w:rsidRPr="00C3452A">
              <w:rPr>
                <w:rFonts w:ascii="Times New Roman" w:hAnsi="Times New Roman"/>
                <w:b/>
              </w:rPr>
              <w:t>350 000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rPr>
            </w:pPr>
            <w:r w:rsidRPr="00C3452A">
              <w:rPr>
                <w:rFonts w:ascii="Times New Roman" w:hAnsi="Times New Roman"/>
                <w:b/>
              </w:rPr>
              <w:t>150 000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rPr>
            </w:pPr>
            <w:r w:rsidRPr="00C3452A">
              <w:rPr>
                <w:rFonts w:ascii="Times New Roman" w:hAnsi="Times New Roman"/>
                <w:b/>
              </w:rPr>
              <w:t>150 000</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bl>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ind w:left="-900"/>
        <w:rPr>
          <w:rFonts w:ascii="Times New Roman" w:hAnsi="Times New Roman"/>
          <w:bCs/>
        </w:rPr>
      </w:pPr>
    </w:p>
    <w:p w:rsidR="00581CC3" w:rsidRPr="00C3452A" w:rsidP="00581CC3">
      <w:pPr>
        <w:keepNext w:val="0"/>
        <w:tabs>
          <w:tab w:val="num" w:pos="1080"/>
        </w:tabs>
        <w:bidi w:val="0"/>
        <w:jc w:val="right"/>
        <w:rPr>
          <w:rFonts w:ascii="Times New Roman" w:hAnsi="Times New Roman"/>
          <w:bCs/>
        </w:rPr>
      </w:pPr>
      <w:r w:rsidRPr="00C3452A">
        <w:rPr>
          <w:rFonts w:ascii="Times New Roman" w:hAnsi="Times New Roman"/>
          <w:bCs/>
        </w:rPr>
        <w:t xml:space="preserve">                 Tabuľka č. 5 </w:t>
      </w:r>
    </w:p>
    <w:p w:rsidR="00581CC3" w:rsidRPr="00C3452A" w:rsidP="00581CC3">
      <w:pPr>
        <w:keepNext w:val="0"/>
        <w:tabs>
          <w:tab w:val="num" w:pos="1080"/>
        </w:tabs>
        <w:bidi w:val="0"/>
        <w:rPr>
          <w:rFonts w:ascii="Times New Roman" w:hAnsi="Times New Roman"/>
          <w:bCs/>
        </w:rPr>
      </w:pPr>
    </w:p>
    <w:tbl>
      <w:tblPr>
        <w:tblStyle w:val="TableNormal"/>
        <w:tblW w:w="14580" w:type="dxa"/>
        <w:tblInd w:w="70" w:type="dxa"/>
        <w:tblCellMar>
          <w:left w:w="70" w:type="dxa"/>
          <w:right w:w="70" w:type="dxa"/>
        </w:tblCellMar>
      </w:tblPr>
      <w:tblGrid>
        <w:gridCol w:w="5334"/>
        <w:gridCol w:w="1698"/>
        <w:gridCol w:w="1788"/>
        <w:gridCol w:w="2418"/>
        <w:gridCol w:w="1722"/>
        <w:gridCol w:w="1620"/>
      </w:tblGrid>
      <w:tr>
        <w:tblPrEx>
          <w:tblW w:w="14580" w:type="dxa"/>
          <w:tblInd w:w="70" w:type="dxa"/>
          <w:tblCellMar>
            <w:left w:w="70" w:type="dxa"/>
            <w:right w:w="70" w:type="dxa"/>
          </w:tblCellMar>
        </w:tblPrEx>
        <w:trPr>
          <w:cantSplit/>
          <w:trHeight w:val="255"/>
        </w:trPr>
        <w:tc>
          <w:tcPr>
            <w:tcW w:w="5334"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Zamestnanosť</w:t>
            </w:r>
          </w:p>
        </w:tc>
        <w:tc>
          <w:tcPr>
            <w:tcW w:w="7626"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Vplyv na rozpočet verejnej správy</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poznámka</w:t>
            </w:r>
          </w:p>
        </w:tc>
      </w:tr>
      <w:tr>
        <w:tblPrEx>
          <w:tblW w:w="14580" w:type="dxa"/>
          <w:tblInd w:w="70" w:type="dxa"/>
          <w:tblCellMar>
            <w:left w:w="70" w:type="dxa"/>
            <w:right w:w="70" w:type="dxa"/>
          </w:tblCellMar>
        </w:tblPrEx>
        <w:trPr>
          <w:cantSplit/>
          <w:trHeight w:val="255"/>
        </w:trPr>
        <w:tc>
          <w:tcPr>
            <w:tcW w:w="5334"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left"/>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2017</w:t>
            </w:r>
          </w:p>
        </w:tc>
        <w:tc>
          <w:tcPr>
            <w:tcW w:w="178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2018</w:t>
            </w:r>
          </w:p>
        </w:tc>
        <w:tc>
          <w:tcPr>
            <w:tcW w:w="241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2019</w:t>
            </w:r>
          </w:p>
        </w:tc>
        <w:tc>
          <w:tcPr>
            <w:tcW w:w="1722"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2020</w:t>
            </w:r>
          </w:p>
        </w:tc>
        <w:tc>
          <w:tcPr>
            <w:tcW w:w="162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bidi w:val="0"/>
              <w:spacing w:after="0" w:line="240" w:lineRule="auto"/>
              <w:jc w:val="left"/>
              <w:rPr>
                <w:rFonts w:ascii="Times New Roman" w:hAnsi="Times New Roman"/>
                <w:b/>
                <w:bCs/>
                <w:color w:val="FFFFFF"/>
              </w:rPr>
            </w:pP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41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8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41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22"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 </w:t>
            </w:r>
          </w:p>
        </w:tc>
        <w:tc>
          <w:tcPr>
            <w:tcW w:w="178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 </w:t>
            </w:r>
          </w:p>
        </w:tc>
        <w:tc>
          <w:tcPr>
            <w:tcW w:w="2418"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 </w:t>
            </w:r>
          </w:p>
        </w:tc>
        <w:tc>
          <w:tcPr>
            <w:tcW w:w="1722" w:type="dxa"/>
            <w:tcBorders>
              <w:top w:val="single" w:sz="4" w:space="0" w:color="auto"/>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r w:rsidRPr="00C3452A">
              <w:rPr>
                <w:rFonts w:ascii="Times New Roman" w:hAnsi="Times New Roman"/>
              </w:rPr>
              <w:t> </w:t>
            </w: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0</w:t>
            </w:r>
          </w:p>
        </w:tc>
        <w:tc>
          <w:tcPr>
            <w:tcW w:w="2418"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0</w:t>
            </w:r>
          </w:p>
        </w:tc>
        <w:tc>
          <w:tcPr>
            <w:tcW w:w="1722" w:type="dxa"/>
            <w:tcBorders>
              <w:top w:val="nil"/>
              <w:left w:val="nil"/>
              <w:bottom w:val="single" w:sz="4" w:space="0" w:color="auto"/>
              <w:right w:val="single" w:sz="4" w:space="0" w:color="auto"/>
            </w:tcBorders>
            <w:shd w:val="clear" w:color="auto" w:fill="BFBFBF"/>
            <w:textDirection w:val="lrTb"/>
            <w:vAlign w:val="top"/>
          </w:tcPr>
          <w:p w:rsidR="00581CC3" w:rsidRPr="00C3452A" w:rsidP="00020905">
            <w:pPr>
              <w:keepNext w:val="0"/>
              <w:bidi w:val="0"/>
              <w:spacing w:after="0" w:line="240" w:lineRule="auto"/>
              <w:jc w:val="center"/>
              <w:rPr>
                <w:rFonts w:ascii="Times New Roman" w:hAnsi="Times New Roman"/>
                <w:b/>
                <w:bCs/>
              </w:rPr>
            </w:pPr>
            <w:r w:rsidRPr="00C3452A">
              <w:rPr>
                <w:rFonts w:ascii="Times New Roman" w:hAnsi="Times New Roman"/>
                <w:b/>
                <w:bCs/>
              </w:rPr>
              <w:t>0</w:t>
            </w:r>
          </w:p>
        </w:tc>
        <w:tc>
          <w:tcPr>
            <w:tcW w:w="1620" w:type="dxa"/>
            <w:tcBorders>
              <w:top w:val="nil"/>
              <w:left w:val="nil"/>
              <w:bottom w:val="single" w:sz="4" w:space="0" w:color="auto"/>
              <w:right w:val="single" w:sz="4" w:space="0" w:color="auto"/>
            </w:tcBorders>
            <w:shd w:val="clear" w:color="auto" w:fill="BFBFBF"/>
            <w:noWrap/>
            <w:textDirection w:val="lrTb"/>
            <w:vAlign w:val="bottom"/>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8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241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722"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b/>
                <w:bCs/>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 </w:t>
            </w:r>
          </w:p>
        </w:tc>
      </w:tr>
      <w:tr>
        <w:tblPrEx>
          <w:tblW w:w="14580" w:type="dxa"/>
          <w:tblInd w:w="70" w:type="dxa"/>
          <w:tblCellMar>
            <w:left w:w="70" w:type="dxa"/>
            <w:right w:w="70" w:type="dxa"/>
          </w:tblCellMar>
        </w:tblPrEx>
        <w:trPr>
          <w:trHeight w:val="255"/>
        </w:trPr>
        <w:tc>
          <w:tcPr>
            <w:tcW w:w="5334" w:type="dxa"/>
            <w:tcBorders>
              <w:top w:val="nil"/>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78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2418"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722" w:type="dxa"/>
            <w:tcBorders>
              <w:top w:val="nil"/>
              <w:left w:val="nil"/>
              <w:bottom w:val="single" w:sz="4" w:space="0" w:color="auto"/>
              <w:right w:val="single" w:sz="4" w:space="0" w:color="auto"/>
            </w:tcBorders>
            <w:textDirection w:val="lrTb"/>
            <w:vAlign w:val="top"/>
          </w:tcPr>
          <w:p w:rsidR="00581CC3" w:rsidRPr="00C3452A" w:rsidP="00020905">
            <w:pPr>
              <w:keepNext w:val="0"/>
              <w:bidi w:val="0"/>
              <w:spacing w:after="0" w:line="240" w:lineRule="auto"/>
              <w:jc w:val="center"/>
              <w:rPr>
                <w:rFonts w:ascii="Times New Roman" w:hAnsi="Times New Roman"/>
              </w:rPr>
            </w:pPr>
          </w:p>
        </w:tc>
        <w:tc>
          <w:tcPr>
            <w:tcW w:w="1620" w:type="dxa"/>
            <w:tcBorders>
              <w:top w:val="nil"/>
              <w:left w:val="nil"/>
              <w:bottom w:val="single" w:sz="4" w:space="0" w:color="auto"/>
              <w:right w:val="single" w:sz="4" w:space="0" w:color="auto"/>
            </w:tcBorders>
            <w:noWrap/>
            <w:textDirection w:val="lrTb"/>
            <w:vAlign w:val="bottom"/>
          </w:tcPr>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 </w:t>
            </w:r>
          </w:p>
        </w:tc>
      </w:tr>
      <w:tr>
        <w:tblPrEx>
          <w:tblW w:w="14580" w:type="dxa"/>
          <w:tblInd w:w="70" w:type="dxa"/>
          <w:tblCellMar>
            <w:left w:w="70" w:type="dxa"/>
            <w:right w:w="70" w:type="dxa"/>
          </w:tblCellMar>
        </w:tblPrEx>
        <w:trPr>
          <w:trHeight w:val="255"/>
        </w:trPr>
        <w:tc>
          <w:tcPr>
            <w:tcW w:w="5334"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69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78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241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722"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620"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r>
        <w:tblPrEx>
          <w:tblW w:w="14580" w:type="dxa"/>
          <w:tblInd w:w="70" w:type="dxa"/>
          <w:tblCellMar>
            <w:left w:w="70" w:type="dxa"/>
            <w:right w:w="70" w:type="dxa"/>
          </w:tblCellMar>
        </w:tblPrEx>
        <w:trPr>
          <w:trHeight w:val="255"/>
        </w:trPr>
        <w:tc>
          <w:tcPr>
            <w:tcW w:w="5334" w:type="dxa"/>
            <w:tcBorders>
              <w:top w:val="nil"/>
              <w:left w:val="nil"/>
              <w:bottom w:val="nil"/>
              <w:right w:val="nil"/>
            </w:tcBorders>
            <w:textDirection w:val="lrTb"/>
            <w:vAlign w:val="top"/>
          </w:tcPr>
          <w:p w:rsidR="00581CC3" w:rsidRPr="00C3452A" w:rsidP="00020905">
            <w:pPr>
              <w:keepNext w:val="0"/>
              <w:bidi w:val="0"/>
              <w:spacing w:after="0" w:line="240" w:lineRule="auto"/>
              <w:jc w:val="left"/>
              <w:rPr>
                <w:rFonts w:ascii="Times New Roman" w:hAnsi="Times New Roman"/>
                <w:b/>
                <w:bCs/>
              </w:rPr>
            </w:pPr>
            <w:r w:rsidRPr="00C3452A">
              <w:rPr>
                <w:rFonts w:ascii="Times New Roman" w:hAnsi="Times New Roman"/>
                <w:b/>
                <w:bCs/>
              </w:rPr>
              <w:t>Poznámky:</w:t>
            </w:r>
          </w:p>
        </w:tc>
        <w:tc>
          <w:tcPr>
            <w:tcW w:w="169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78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241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722"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1620"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r>
        <w:tblPrEx>
          <w:tblW w:w="14580" w:type="dxa"/>
          <w:tblInd w:w="70" w:type="dxa"/>
          <w:tblCellMar>
            <w:left w:w="70" w:type="dxa"/>
            <w:right w:w="70" w:type="dxa"/>
          </w:tblCellMar>
        </w:tblPrEx>
        <w:trPr>
          <w:trHeight w:val="255"/>
        </w:trPr>
        <w:tc>
          <w:tcPr>
            <w:tcW w:w="12960" w:type="dxa"/>
            <w:gridSpan w:val="5"/>
            <w:tcBorders>
              <w:top w:val="nil"/>
              <w:left w:val="nil"/>
              <w:bottom w:val="nil"/>
              <w:right w:val="nil"/>
            </w:tcBorders>
            <w:noWrap/>
            <w:textDirection w:val="lrTb"/>
            <w:vAlign w:val="top"/>
          </w:tcPr>
          <w:p w:rsidR="00581CC3" w:rsidRPr="00C3452A" w:rsidP="00020905">
            <w:pPr>
              <w:keepNext w:val="0"/>
              <w:tabs>
                <w:tab w:val="num" w:pos="1080"/>
              </w:tabs>
              <w:bidi w:val="0"/>
              <w:spacing w:after="0" w:line="240" w:lineRule="auto"/>
              <w:rPr>
                <w:rFonts w:ascii="Times New Roman" w:hAnsi="Times New Roman"/>
                <w:bCs/>
              </w:rPr>
            </w:pPr>
            <w:r w:rsidRPr="00C3452A">
              <w:rPr>
                <w:rFonts w:ascii="Times New Roman" w:hAnsi="Times New Roman"/>
                <w:bCs/>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581CC3" w:rsidRPr="00C3452A" w:rsidP="00020905">
            <w:pPr>
              <w:keepNext w:val="0"/>
              <w:bidi w:val="0"/>
              <w:spacing w:after="0" w:line="240" w:lineRule="auto"/>
              <w:jc w:val="left"/>
              <w:rPr>
                <w:rFonts w:ascii="Times New Roman" w:hAnsi="Times New Roman"/>
              </w:rPr>
            </w:pPr>
            <w:r w:rsidRPr="00C3452A">
              <w:rPr>
                <w:rFonts w:ascii="Times New Roman" w:hAnsi="Times New Roman"/>
              </w:rPr>
              <w:t>Priemerný mzdový výdavok je tvorený podielom mzdových výdavkov na jedného zamestnanca na jeden kalendárny mesiac bežného roka.</w:t>
            </w:r>
          </w:p>
        </w:tc>
        <w:tc>
          <w:tcPr>
            <w:tcW w:w="1620"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bl>
    <w:p w:rsidR="00581CC3" w:rsidRPr="00C3452A" w:rsidP="00581CC3">
      <w:pPr>
        <w:keepNext w:val="0"/>
        <w:bidi w:val="0"/>
        <w:jc w:val="left"/>
        <w:rPr>
          <w:rFonts w:ascii="Times New Roman" w:hAnsi="Times New Roman"/>
        </w:rPr>
        <w:sectPr w:rsidSect="001D59E9">
          <w:footerReference w:type="default" r:id="rId11"/>
          <w:pgSz w:w="16838" w:h="11906" w:orient="landscape" w:code="9"/>
          <w:pgMar w:top="992" w:right="1418" w:bottom="1418" w:left="1276" w:header="709" w:footer="709" w:gutter="0"/>
          <w:lnNumType w:distance="0"/>
          <w:pgNumType w:start="13"/>
          <w:cols w:space="708"/>
          <w:noEndnote w:val="0"/>
          <w:bidi w:val="0"/>
          <w:docGrid w:linePitch="360"/>
        </w:sectPr>
      </w:pPr>
    </w:p>
    <w:tbl>
      <w:tblPr>
        <w:tblStyle w:val="TableNormal"/>
        <w:tblW w:w="15434" w:type="dxa"/>
        <w:tblInd w:w="-784" w:type="dxa"/>
        <w:tblCellMar>
          <w:left w:w="70" w:type="dxa"/>
          <w:right w:w="70" w:type="dxa"/>
        </w:tblCellMar>
      </w:tblPr>
      <w:tblGrid>
        <w:gridCol w:w="10394"/>
        <w:gridCol w:w="1698"/>
        <w:gridCol w:w="2352"/>
        <w:gridCol w:w="990"/>
      </w:tblGrid>
      <w:tr>
        <w:tblPrEx>
          <w:tblW w:w="15434" w:type="dxa"/>
          <w:tblInd w:w="-784" w:type="dxa"/>
          <w:tblCellMar>
            <w:left w:w="70" w:type="dxa"/>
            <w:right w:w="70" w:type="dxa"/>
          </w:tblCellMar>
        </w:tblPrEx>
        <w:trPr>
          <w:trHeight w:val="255"/>
        </w:trPr>
        <w:tc>
          <w:tcPr>
            <w:tcW w:w="10394" w:type="dxa"/>
            <w:tcBorders>
              <w:top w:val="nil"/>
              <w:left w:val="nil"/>
              <w:bottom w:val="nil"/>
              <w:right w:val="nil"/>
            </w:tcBorders>
            <w:noWrap/>
            <w:textDirection w:val="lrTb"/>
            <w:vAlign w:val="bottom"/>
          </w:tcPr>
          <w:p w:rsidR="00581CC3" w:rsidRPr="00C3452A" w:rsidP="00020905">
            <w:pPr>
              <w:keepNext w:val="0"/>
              <w:tabs>
                <w:tab w:val="left" w:pos="2406"/>
              </w:tabs>
              <w:bidi w:val="0"/>
              <w:spacing w:after="0" w:line="240" w:lineRule="auto"/>
              <w:ind w:left="358"/>
              <w:jc w:val="left"/>
              <w:rPr>
                <w:rFonts w:ascii="Times New Roman" w:hAnsi="Times New Roman"/>
              </w:rPr>
            </w:pPr>
            <w:r w:rsidRPr="00C3452A">
              <w:rPr>
                <w:rFonts w:ascii="Times New Roman" w:hAnsi="Times New Roman"/>
              </w:rPr>
              <w:t xml:space="preserve">      Kategórie 610 a 620 sú z tejto prílohy prenášané do príslušných kategórií prílohy „výdavky“.</w:t>
            </w:r>
          </w:p>
          <w:p w:rsidR="00581CC3" w:rsidRPr="00C3452A" w:rsidP="00020905">
            <w:pPr>
              <w:keepNext w:val="0"/>
              <w:bidi w:val="0"/>
              <w:spacing w:after="0" w:line="240" w:lineRule="auto"/>
              <w:jc w:val="left"/>
              <w:rPr>
                <w:rFonts w:ascii="Times New Roman" w:hAnsi="Times New Roman"/>
              </w:rPr>
            </w:pPr>
          </w:p>
          <w:p w:rsidR="00581CC3" w:rsidRPr="00C3452A" w:rsidP="00020905">
            <w:pPr>
              <w:keepNext w:val="0"/>
              <w:bidi w:val="0"/>
              <w:spacing w:after="0" w:line="240" w:lineRule="auto"/>
              <w:jc w:val="left"/>
              <w:rPr>
                <w:rFonts w:ascii="Times New Roman" w:hAnsi="Times New Roman"/>
              </w:rPr>
            </w:pPr>
          </w:p>
          <w:p w:rsidR="00581CC3" w:rsidRPr="00C3452A" w:rsidP="00020905">
            <w:pPr>
              <w:keepNext w:val="0"/>
              <w:bidi w:val="0"/>
              <w:spacing w:after="0" w:line="240" w:lineRule="auto"/>
              <w:jc w:val="left"/>
              <w:rPr>
                <w:rFonts w:ascii="Times New Roman" w:hAnsi="Times New Roman"/>
              </w:rPr>
            </w:pPr>
          </w:p>
          <w:p w:rsidR="00581CC3" w:rsidRPr="00C3452A" w:rsidP="00020905">
            <w:pPr>
              <w:keepNext w:val="0"/>
              <w:bidi w:val="0"/>
              <w:spacing w:after="0" w:line="240" w:lineRule="auto"/>
              <w:jc w:val="left"/>
              <w:rPr>
                <w:rFonts w:ascii="Times New Roman" w:hAnsi="Times New Roman"/>
              </w:rPr>
            </w:pPr>
          </w:p>
        </w:tc>
        <w:tc>
          <w:tcPr>
            <w:tcW w:w="1698"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2352"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c>
          <w:tcPr>
            <w:tcW w:w="990" w:type="dxa"/>
            <w:tcBorders>
              <w:top w:val="nil"/>
              <w:left w:val="nil"/>
              <w:bottom w:val="nil"/>
              <w:right w:val="nil"/>
            </w:tcBorders>
            <w:noWrap/>
            <w:textDirection w:val="lrTb"/>
            <w:vAlign w:val="bottom"/>
          </w:tcPr>
          <w:p w:rsidR="00581CC3" w:rsidRPr="00C3452A" w:rsidP="00020905">
            <w:pPr>
              <w:keepNext w:val="0"/>
              <w:bidi w:val="0"/>
              <w:spacing w:after="0" w:line="240" w:lineRule="auto"/>
              <w:jc w:val="left"/>
              <w:rPr>
                <w:rFonts w:ascii="Times New Roman" w:hAnsi="Times New Roman"/>
              </w:rPr>
            </w:pPr>
          </w:p>
        </w:tc>
      </w:tr>
    </w:tbl>
    <w:p w:rsidR="00581CC3" w:rsidRPr="00C3452A" w:rsidP="00581CC3">
      <w:pPr>
        <w:keepNext w:val="0"/>
        <w:bidi w:val="0"/>
        <w:jc w:val="center"/>
        <w:rPr>
          <w:rFonts w:ascii="Times New Roman" w:hAnsi="Times New Roman"/>
          <w:b/>
        </w:rPr>
        <w:sectPr w:rsidSect="00E376D4">
          <w:type w:val="continuous"/>
          <w:pgSz w:w="16838" w:h="11906" w:orient="landscape" w:code="9"/>
          <w:pgMar w:top="992" w:right="1418" w:bottom="1418" w:left="1276" w:header="709" w:footer="709" w:gutter="0"/>
          <w:lnNumType w:distance="0"/>
          <w:pgNumType w:start="1"/>
          <w:cols w:space="708"/>
          <w:noEndnote w:val="0"/>
          <w:bidi w:val="0"/>
          <w:docGrid w:linePitch="360"/>
        </w:sectPr>
      </w:pPr>
    </w:p>
    <w:tbl>
      <w:tblPr>
        <w:tblStyle w:val="Mriekatabuky1"/>
        <w:tblW w:w="9214" w:type="dxa"/>
        <w:tblInd w:w="392" w:type="dxa"/>
        <w:tblLook w:val="04A0"/>
      </w:tblPr>
      <w:tblGrid>
        <w:gridCol w:w="9214"/>
      </w:tblGrid>
      <w:tr>
        <w:tblPrEx>
          <w:tblW w:w="9214" w:type="dxa"/>
          <w:tblInd w:w="392" w:type="dxa"/>
          <w:tblLook w:val="04A0"/>
        </w:tblPrEx>
        <w:trPr>
          <w:trHeight w:val="567"/>
        </w:trPr>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center"/>
              <w:rPr>
                <w:rFonts w:ascii="Times New Roman" w:hAnsi="Times New Roman"/>
                <w:b/>
                <w:sz w:val="28"/>
                <w:szCs w:val="28"/>
              </w:rPr>
            </w:pPr>
            <w:r w:rsidRPr="00C3452A">
              <w:rPr>
                <w:rFonts w:ascii="Times New Roman" w:hAnsi="Times New Roman"/>
                <w:b/>
                <w:sz w:val="28"/>
                <w:szCs w:val="28"/>
              </w:rPr>
              <w:t xml:space="preserve">Analýza vplyvov na podnikateľské prostredie </w:t>
            </w:r>
          </w:p>
          <w:p w:rsidR="00581CC3" w:rsidRPr="00C3452A" w:rsidP="00020905">
            <w:pPr>
              <w:keepNext w:val="0"/>
              <w:bidi w:val="0"/>
              <w:jc w:val="center"/>
              <w:rPr>
                <w:rFonts w:ascii="Times New Roman" w:hAnsi="Times New Roman"/>
                <w:b/>
                <w:sz w:val="22"/>
                <w:szCs w:val="22"/>
              </w:rPr>
            </w:pPr>
            <w:r w:rsidRPr="00C3452A">
              <w:rPr>
                <w:rFonts w:ascii="Times New Roman" w:hAnsi="Times New Roman"/>
                <w:b/>
                <w:sz w:val="22"/>
                <w:szCs w:val="22"/>
              </w:rPr>
              <w:t>(vrátane testu MSP)</w:t>
            </w:r>
          </w:p>
        </w:tc>
      </w:tr>
      <w:tr>
        <w:tblPrEx>
          <w:tblW w:w="9214" w:type="dxa"/>
          <w:tblInd w:w="392" w:type="dxa"/>
          <w:tblLook w:val="04A0"/>
        </w:tblPrEx>
        <w:trPr>
          <w:trHeight w:val="567"/>
        </w:trPr>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Materiál bude mať vplyv s ohľadom na veľkostnú kategóriu podnikov:</w:t>
            </w:r>
          </w:p>
        </w:tc>
      </w:tr>
      <w:tr>
        <w:tblPrEx>
          <w:tblW w:w="9214" w:type="dxa"/>
          <w:tblInd w:w="392" w:type="dxa"/>
          <w:tblLook w:val="04A0"/>
        </w:tblPrEx>
        <w:trPr>
          <w:trHeight w:val="567"/>
        </w:trPr>
        <w:tc>
          <w:tcPr>
            <w:tcW w:w="9214" w:type="dxa"/>
            <w:tcBorders>
              <w:top w:val="single" w:sz="4" w:space="0" w:color="auto"/>
              <w:left w:val="single" w:sz="4" w:space="0" w:color="auto"/>
              <w:bottom w:val="single" w:sz="4" w:space="0" w:color="auto"/>
              <w:right w:val="single" w:sz="4" w:space="0" w:color="auto"/>
            </w:tcBorders>
            <w:textDirection w:val="lrTb"/>
            <w:vAlign w:val="top"/>
          </w:tcPr>
          <w:tbl>
            <w:tblPr>
              <w:tblStyle w:val="Mriekatabu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
              <w:gridCol w:w="8542"/>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spacing w:after="0" w:line="240" w:lineRule="auto"/>
                    <w:jc w:val="center"/>
                    <w:rPr>
                      <w:rFonts w:ascii="Times New Roman" w:hAnsi="Times New Roman"/>
                      <w:sz w:val="22"/>
                      <w:szCs w:val="22"/>
                    </w:rPr>
                  </w:pPr>
                  <w:r w:rsidRPr="00C3452A">
                    <w:rPr>
                      <w:rFonts w:ascii="MS Mincho" w:eastAsia="MS Mincho" w:hAnsi="MS Mincho" w:cs="MS Mincho"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 xml:space="preserve">iba na MSP (0 - 249 zamestnancov) </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iba na veľké podniky (250 a viac zamestnancov)</w:t>
                  </w:r>
                </w:p>
              </w:tc>
            </w:tr>
            <w:tr>
              <w:tblPrEx>
                <w:tblW w:w="0" w:type="auto"/>
                <w:tblLook w:val="04A0"/>
              </w:tblPrEx>
              <w:tc>
                <w:tcPr>
                  <w:tcW w:w="436"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jc w:val="center"/>
                    <w:rPr>
                      <w:rFonts w:ascii="Times New Roman" w:hAnsi="Times New Roman"/>
                      <w:sz w:val="22"/>
                      <w:szCs w:val="22"/>
                    </w:rPr>
                  </w:pPr>
                  <w:r w:rsidRPr="00C3452A">
                    <w:rPr>
                      <w:rFonts w:ascii="MS Mincho" w:eastAsia="MS Mincho" w:hAnsi="MS Mincho" w:cs="MS Mincho" w:hint="eastAsia"/>
                      <w:sz w:val="22"/>
                      <w:szCs w:val="22"/>
                    </w:rPr>
                    <w:t>☒</w:t>
                  </w:r>
                </w:p>
              </w:tc>
              <w:tc>
                <w:tcPr>
                  <w:tcW w:w="8545" w:type="dxa"/>
                  <w:tcBorders>
                    <w:top w:val="none" w:sz="0" w:space="0" w:color="auto"/>
                    <w:left w:val="none" w:sz="0" w:space="0" w:color="auto"/>
                    <w:bottom w:val="none" w:sz="0" w:space="0" w:color="auto"/>
                    <w:right w:val="none" w:sz="0"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b/>
                      <w:sz w:val="22"/>
                      <w:szCs w:val="22"/>
                    </w:rPr>
                    <w:t>na všetky kategórie podnikov</w:t>
                  </w:r>
                </w:p>
              </w:tc>
            </w:tr>
          </w:tbl>
          <w:p w:rsidR="00581CC3" w:rsidRPr="00C3452A" w:rsidP="00020905">
            <w:pPr>
              <w:keepNext w:val="0"/>
              <w:bidi w:val="0"/>
              <w:jc w:val="left"/>
              <w:rPr>
                <w:rFonts w:ascii="Times New Roman" w:hAnsi="Times New Roman"/>
                <w:b/>
                <w:sz w:val="22"/>
                <w:szCs w:val="22"/>
              </w:rPr>
            </w:pP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3.1 Dotknuté podnikateľské subjekty</w:t>
            </w:r>
          </w:p>
          <w:p w:rsidR="00581CC3" w:rsidRPr="00C3452A" w:rsidP="00020905">
            <w:pPr>
              <w:keepNext w:val="0"/>
              <w:bidi w:val="0"/>
              <w:jc w:val="left"/>
              <w:rPr>
                <w:rFonts w:ascii="Times New Roman" w:hAnsi="Times New Roman"/>
                <w:b/>
                <w:sz w:val="22"/>
                <w:szCs w:val="22"/>
              </w:rPr>
            </w:pPr>
            <w:r w:rsidRPr="00C3452A">
              <w:rPr>
                <w:rFonts w:ascii="Times New Roman" w:hAnsi="Times New Roman"/>
                <w:sz w:val="22"/>
                <w:szCs w:val="22"/>
              </w:rPr>
              <w:t xml:space="preserve"> - </w:t>
            </w:r>
            <w:r w:rsidRPr="00C3452A">
              <w:rPr>
                <w:rFonts w:ascii="Times New Roman" w:hAnsi="Times New Roman"/>
                <w:b/>
                <w:sz w:val="22"/>
                <w:szCs w:val="22"/>
              </w:rPr>
              <w:t>z toho MSP</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Uveďte, aké podnikateľské subjekty budú predkladaným návrhom ovplyvnené.</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Aký je ich počet?</w:t>
            </w:r>
          </w:p>
        </w:tc>
      </w:tr>
      <w:tr>
        <w:tblPrEx>
          <w:tblW w:w="9214" w:type="dxa"/>
          <w:tblInd w:w="392" w:type="dxa"/>
          <w:tblLook w:val="04A0"/>
        </w:tblPrEx>
        <w:trPr>
          <w:trHeight w:val="382"/>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Nájomcovia, t.j. družstvá, s.r.o., a.s., poľnohospodárske subjekty</w:t>
            </w:r>
          </w:p>
        </w:tc>
      </w:tr>
      <w:tr>
        <w:tblPrEx>
          <w:tblW w:w="9214" w:type="dxa"/>
          <w:tblInd w:w="392" w:type="dxa"/>
          <w:tblLook w:val="04A0"/>
        </w:tblPrEx>
        <w:trPr>
          <w:trHeight w:val="339"/>
        </w:trPr>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3.2 Vyhodnotenie konzultácií</w:t>
            </w:r>
          </w:p>
          <w:p w:rsidR="00581CC3" w:rsidRPr="00C3452A" w:rsidP="00020905">
            <w:pPr>
              <w:keepNext w:val="0"/>
              <w:bidi w:val="0"/>
              <w:jc w:val="left"/>
              <w:rPr>
                <w:rFonts w:ascii="Times New Roman" w:hAnsi="Times New Roman"/>
                <w:b/>
                <w:sz w:val="22"/>
                <w:szCs w:val="22"/>
              </w:rPr>
            </w:pPr>
            <w:r w:rsidRPr="00C3452A">
              <w:rPr>
                <w:rFonts w:ascii="Times New Roman" w:hAnsi="Times New Roman"/>
                <w:sz w:val="22"/>
                <w:szCs w:val="22"/>
              </w:rPr>
              <w:t xml:space="preserve">       - </w:t>
            </w:r>
            <w:r w:rsidRPr="00C3452A">
              <w:rPr>
                <w:rFonts w:ascii="Times New Roman" w:hAnsi="Times New Roman"/>
                <w:b/>
                <w:sz w:val="22"/>
                <w:szCs w:val="22"/>
              </w:rPr>
              <w:t>z toho MSP</w:t>
            </w:r>
          </w:p>
        </w:tc>
      </w:tr>
      <w:tr>
        <w:tblPrEx>
          <w:tblW w:w="9214" w:type="dxa"/>
          <w:tblInd w:w="392" w:type="dxa"/>
          <w:tblLook w:val="04A0"/>
        </w:tblPrEx>
        <w:trPr>
          <w:trHeight w:val="557"/>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Uveďte, akou formou (verejné alebo cielené konzultácie a prečo) a s kým bol návrh konzultovaný.</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Ako dlho trvali konzultácie?</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 xml:space="preserve">Uveďte hlavné body konzultácií a výsledky konzultácií. </w:t>
            </w:r>
          </w:p>
          <w:p w:rsidR="00581CC3" w:rsidRPr="00C3452A" w:rsidP="00020905">
            <w:pPr>
              <w:keepNext w:val="0"/>
              <w:bidi w:val="0"/>
              <w:jc w:val="left"/>
              <w:rPr>
                <w:rFonts w:ascii="Times New Roman" w:hAnsi="Times New Roman"/>
                <w:i/>
                <w:sz w:val="22"/>
                <w:szCs w:val="22"/>
              </w:rPr>
            </w:pPr>
          </w:p>
          <w:p w:rsidR="00581CC3" w:rsidRPr="00C3452A" w:rsidP="00020905">
            <w:pPr>
              <w:bidi w:val="0"/>
              <w:rPr>
                <w:rFonts w:ascii="Times New Roman" w:hAnsi="Times New Roman"/>
                <w:sz w:val="22"/>
                <w:szCs w:val="22"/>
              </w:rPr>
            </w:pPr>
            <w:r w:rsidRPr="00C3452A">
              <w:rPr>
                <w:rFonts w:ascii="Times New Roman" w:hAnsi="Times New Roman"/>
                <w:sz w:val="22"/>
                <w:szCs w:val="22"/>
              </w:rPr>
              <w:t xml:space="preserve">Konzultácie prebehli v termíne od 07.04. 2017 do 05. 05. 2017. Konzultácii sa zúčastnili podnikateľské subjekty pôsobiace  v poľnohospodárstve a to; zástupcovia veľkopodnikateľov SPPK, Agrárnej komory Slovenska, zástupcovia malých a stredných podnikateľov a to;  Vidiecka platforma, Združenie mladých farmárov. Na pracovnom stretnutí boli prezentované diametrálne odlišné názory. SPPK a Agrárna komora Slovenska presadzovali názor ponechať ustanovenia automatickej obnovy nájomného vzťahu. Zástupcovia malých a stredných podnikateľov navrhovali zrušiť právo prednostného nájmu. </w:t>
            </w:r>
          </w:p>
          <w:p w:rsidR="00581CC3" w:rsidRPr="00C3452A" w:rsidP="00020905">
            <w:pPr>
              <w:bidi w:val="0"/>
              <w:rPr>
                <w:rFonts w:ascii="Times New Roman" w:hAnsi="Times New Roman"/>
                <w:sz w:val="22"/>
                <w:szCs w:val="22"/>
              </w:rPr>
            </w:pPr>
            <w:r w:rsidRPr="00C3452A">
              <w:rPr>
                <w:rFonts w:ascii="Times New Roman" w:hAnsi="Times New Roman"/>
                <w:sz w:val="22"/>
                <w:szCs w:val="22"/>
              </w:rPr>
              <w:t>V záujme posilnenia  stability podnikateľského prostredia,  reflektovania na  podnety malých a stredných podnikateľov /už v minulosti/, ktorí majú záujem podnikať v poľnohospodárstve došlo k príprave takéhoto návrhu zákona, ktorý výraznou mierou umožní ľahšie podmienky prístupu k prenájmu poľnohospodárskej pôdy.</w:t>
            </w:r>
          </w:p>
          <w:p w:rsidR="00581CC3" w:rsidRPr="00C3452A" w:rsidP="00020905">
            <w:pPr>
              <w:bidi w:val="0"/>
              <w:rPr>
                <w:rFonts w:ascii="Times New Roman" w:hAnsi="Times New Roman"/>
                <w:sz w:val="22"/>
                <w:szCs w:val="22"/>
              </w:rPr>
            </w:pPr>
            <w:r w:rsidRPr="00C3452A">
              <w:rPr>
                <w:rFonts w:ascii="Times New Roman" w:hAnsi="Times New Roman"/>
                <w:sz w:val="22"/>
                <w:szCs w:val="22"/>
              </w:rPr>
              <w:t xml:space="preserve">Uvádzame, že napriek rozličným názorom došlo k rámci rozporových konaní k úprave navrhovaných ustanovení  najmä v súvislosti s vypustením evidovania nájomných zmlúv prostredníctvom katastra nehnuteľností, predajom podniku, pri definovaní a stanovení obvyklej výšky nájomného, neplatnosť právneho úkonu v prípadoch nerešpektovania prednostného práva nájmu, úprava vyhlášky č. 249/2008 Z. z. </w:t>
            </w:r>
            <w:r w:rsidRPr="00C3452A">
              <w:rPr>
                <w:rFonts w:ascii="Times New Roman" w:hAnsi="Times New Roman"/>
                <w:bCs/>
                <w:sz w:val="22"/>
                <w:szCs w:val="22"/>
                <w:shd w:val="clear" w:color="auto" w:fill="FFFFFF"/>
              </w:rPr>
              <w:t>ktorou sa ustanovujú podrobnosti o spôsobe vedenia evidencie pozemkov.</w:t>
            </w:r>
          </w:p>
          <w:p w:rsidR="00581CC3" w:rsidRPr="00C3452A" w:rsidP="00020905">
            <w:pPr>
              <w:keepNext w:val="0"/>
              <w:bidi w:val="0"/>
              <w:rPr>
                <w:rFonts w:ascii="Times New Roman" w:hAnsi="Times New Roman"/>
                <w:sz w:val="22"/>
                <w:szCs w:val="22"/>
              </w:rPr>
            </w:pPr>
          </w:p>
          <w:p w:rsidR="00581CC3" w:rsidRPr="00C3452A" w:rsidP="00020905">
            <w:pPr>
              <w:keepNext w:val="0"/>
              <w:bidi w:val="0"/>
              <w:rPr>
                <w:rFonts w:ascii="Times New Roman" w:hAnsi="Times New Roman"/>
                <w:sz w:val="22"/>
                <w:szCs w:val="22"/>
              </w:rPr>
            </w:pPr>
            <w:r w:rsidRPr="00C3452A">
              <w:rPr>
                <w:rFonts w:ascii="Times New Roman" w:hAnsi="Times New Roman"/>
                <w:sz w:val="22"/>
                <w:szCs w:val="22"/>
              </w:rPr>
              <w:t>Po uskutočnených rozporových konaniach a vzájomnej diskusii, ako aj úprave jednotlivých ustanovení možno jednoznačne klasifikovať predložený návrh zákona ako zákon, ktorý bude mať kladný vplyv na podnikateľské prostredie. Zároveň uvádzame, čo predkladateľ považuje za najväčšie pozitíva predloženého návrhu zákona:</w:t>
            </w:r>
          </w:p>
          <w:p w:rsidR="00581CC3" w:rsidRPr="00C3452A" w:rsidP="00020905">
            <w:pPr>
              <w:bidi w:val="0"/>
              <w:rPr>
                <w:rFonts w:ascii="Times New Roman" w:hAnsi="Times New Roman"/>
                <w:sz w:val="22"/>
                <w:szCs w:val="22"/>
                <w:lang w:eastAsia="en-US"/>
              </w:rPr>
            </w:pPr>
          </w:p>
          <w:p w:rsidR="00581CC3" w:rsidRPr="00C3452A" w:rsidP="00020905">
            <w:pPr>
              <w:bidi w:val="0"/>
              <w:rPr>
                <w:rFonts w:ascii="Times New Roman" w:hAnsi="Times New Roman"/>
                <w:sz w:val="22"/>
                <w:szCs w:val="22"/>
              </w:rPr>
            </w:pPr>
            <w:r w:rsidRPr="00C3452A">
              <w:rPr>
                <w:rFonts w:ascii="Times New Roman" w:hAnsi="Times New Roman"/>
                <w:sz w:val="22"/>
                <w:szCs w:val="22"/>
                <w:lang w:eastAsia="en-US"/>
              </w:rPr>
              <w:t xml:space="preserve">1/ </w:t>
            </w:r>
            <w:r w:rsidRPr="00C3452A">
              <w:rPr>
                <w:rFonts w:ascii="Times New Roman" w:hAnsi="Times New Roman"/>
                <w:sz w:val="22"/>
                <w:szCs w:val="22"/>
              </w:rPr>
              <w:t>Spresňuje určenie výšky nájomného pri pozemku, ktorý je evidovaný v katastri nehnuteľností v registri „C“ ako zastavaná plocha a  nádvorie, slúžiaci na poľnohospodárske účely alebo časť tohto pozemku alebo pozemok zastavaný stavbou slúžiacou na poľnohospodárske účely alebo časť tohto pozemku. Touto úpravou sa zákonodarca snaží reagovať na absenciu mechanizmov výpočtu nájomného za pozemky, ktoré nie sú v katastri nehnuteľností evidované ako poľnohospodárska pôda, resp. ostatná plocha, a zároveň odpovedať na časté otázky aplikačnej praxe ohľadom rozdielnosti povahy majetkového substrátu pozemkov definovaných v § 1 ods. 2 písm. a) a c) v porovnaní s pozemkami definovanými v § 1 ods. 2 písm. b).</w:t>
            </w:r>
          </w:p>
          <w:p w:rsidR="00581CC3" w:rsidRPr="00C3452A" w:rsidP="00020905">
            <w:pPr>
              <w:bidi w:val="0"/>
              <w:rPr>
                <w:rFonts w:ascii="Times New Roman" w:hAnsi="Times New Roman"/>
                <w:sz w:val="22"/>
                <w:szCs w:val="22"/>
              </w:rPr>
            </w:pPr>
          </w:p>
          <w:p w:rsidR="00581CC3" w:rsidRPr="00C3452A" w:rsidP="00020905">
            <w:pPr>
              <w:bidi w:val="0"/>
              <w:rPr>
                <w:rFonts w:ascii="Times New Roman" w:hAnsi="Times New Roman"/>
                <w:sz w:val="22"/>
                <w:szCs w:val="22"/>
              </w:rPr>
            </w:pPr>
            <w:r w:rsidRPr="00C3452A">
              <w:rPr>
                <w:rFonts w:ascii="Times New Roman" w:hAnsi="Times New Roman"/>
                <w:sz w:val="22"/>
                <w:szCs w:val="22"/>
                <w:lang w:eastAsia="en-US"/>
              </w:rPr>
              <w:t xml:space="preserve">2/ Vypustenie automatickej obnovy nájmu. Doterajšia právna úprava </w:t>
            </w:r>
            <w:r w:rsidRPr="00C3452A">
              <w:rPr>
                <w:rFonts w:ascii="Times New Roman" w:hAnsi="Times New Roman"/>
                <w:sz w:val="22"/>
                <w:szCs w:val="22"/>
              </w:rPr>
              <w:t>spôsobovala nájomcom, ako aj prenajímateľom v praxi problémy, najmä z hľadiska záťaže sledovania doby trvania nájomných zmlúv, vyzývania jednej alebo druhej zmluvnej strany na vrátenie a prevzatie pozemku resp. dochádzalo aj  k ďalšiemu prenajatiu pozemkov bez toho, aby o zákonom ustanovenej povinnosti mala zmluvná strana vedomosť. Ďalším dôvodom, pre ktorý sa inštitút automatickej obnovy nájmu pozemkov vypúšťa sú aj značné komplikácie, ktoré vznikali v súvislosti s  poskytovaním  priamych platieb na plochu, keď si nárok na túto podporu uplatňuje tak doterajší nájomca titulom automatickej obnovy nájomného vzťahu, ako aj subjekt s ktorým prenajímateľ uzatvoril novú nájomnú zmluvu.</w:t>
            </w:r>
          </w:p>
          <w:p w:rsidR="00581CC3" w:rsidRPr="00C3452A" w:rsidP="00020905">
            <w:pPr>
              <w:bidi w:val="0"/>
              <w:rPr>
                <w:rFonts w:ascii="Times New Roman" w:hAnsi="Times New Roman"/>
                <w:sz w:val="22"/>
                <w:szCs w:val="22"/>
              </w:rPr>
            </w:pPr>
            <w:r w:rsidRPr="00C3452A">
              <w:rPr>
                <w:rFonts w:ascii="Times New Roman" w:hAnsi="Times New Roman"/>
                <w:sz w:val="22"/>
                <w:szCs w:val="22"/>
              </w:rPr>
              <w:t>Vypustením automatickej obnovy vzhľadom na popísané skutočnosti výrazne odbremení podnikateľské subjekty od popísaných povinností a vzhľadom na uvedené môžeme konštatovať, že to bude mať pozitívny vplyv na podnikateľské prostredie a jeho stabilitu.</w:t>
            </w:r>
          </w:p>
          <w:p w:rsidR="00581CC3" w:rsidRPr="00C3452A" w:rsidP="00020905">
            <w:pPr>
              <w:bidi w:val="0"/>
              <w:rPr>
                <w:rFonts w:ascii="Times New Roman" w:hAnsi="Times New Roman"/>
                <w:sz w:val="22"/>
                <w:szCs w:val="22"/>
              </w:rPr>
            </w:pPr>
          </w:p>
          <w:p w:rsidR="00581CC3" w:rsidRPr="00C3452A" w:rsidP="00020905">
            <w:pPr>
              <w:keepNext w:val="0"/>
              <w:bidi w:val="0"/>
              <w:rPr>
                <w:rFonts w:ascii="Times New Roman" w:hAnsi="Times New Roman"/>
                <w:sz w:val="22"/>
                <w:szCs w:val="22"/>
              </w:rPr>
            </w:pPr>
            <w:r w:rsidRPr="00C3452A">
              <w:rPr>
                <w:rFonts w:ascii="Times New Roman" w:hAnsi="Times New Roman"/>
                <w:sz w:val="22"/>
                <w:szCs w:val="22"/>
              </w:rPr>
              <w:t>3/ Zavedenie zákonných lehôt spojených s užívaním pozemkov bez nájomnej zmluvy  bude mať zase pozitívny vplyv na podnikateľské prostredie, nakoľko sa posilní stabilita podnikateľského prostredia a poľnohospodársku pôdu budú využívať tí podnikatelia, ktorí majú záujem podnikať v poľnohospodárstve.</w:t>
            </w:r>
          </w:p>
          <w:p w:rsidR="00581CC3" w:rsidRPr="00C3452A" w:rsidP="00020905">
            <w:pPr>
              <w:keepNext w:val="0"/>
              <w:bidi w:val="0"/>
              <w:rPr>
                <w:rFonts w:ascii="Times New Roman" w:hAnsi="Times New Roman"/>
                <w:sz w:val="22"/>
                <w:szCs w:val="22"/>
              </w:rPr>
            </w:pPr>
          </w:p>
          <w:p w:rsidR="00581CC3" w:rsidRPr="00C3452A" w:rsidP="00020905">
            <w:pPr>
              <w:bidi w:val="0"/>
              <w:rPr>
                <w:rFonts w:ascii="Times New Roman" w:hAnsi="Times New Roman"/>
                <w:sz w:val="22"/>
                <w:szCs w:val="22"/>
                <w:lang w:eastAsia="en-US"/>
              </w:rPr>
            </w:pPr>
            <w:r w:rsidRPr="00C3452A">
              <w:rPr>
                <w:rFonts w:ascii="Times New Roman" w:hAnsi="Times New Roman"/>
                <w:sz w:val="22"/>
                <w:szCs w:val="22"/>
                <w:lang w:eastAsia="en-US"/>
              </w:rPr>
              <w:t>Čo sa týka negatív môžeme konštatovať, že návrh zvýši administratívne náklady podnikateľskému sektoru v súvislosti so vznikom nájomného vzťahu, ako aj s ďalšími úkonmi s ním súvisiacimi. Tu sa predpokladá nárast administratívnych nákladov s evidovaním pozemkov, ktoré má nájomca /teda podnikateľ/ prenajaté, ktoré obhospodaruje alebo vlastní. Ďalšie administratívne náklady budú súvisieť s evidovaním a poskytovaním dohodnutého a zaplateného nájomného. Zároveň však nemožno vylúčiť ďalšie náklady pre podnikateľský sektor napr. v podobe kúpy softvéru atď.</w:t>
            </w:r>
          </w:p>
          <w:p w:rsidR="00581CC3" w:rsidRPr="00C3452A" w:rsidP="00020905">
            <w:pPr>
              <w:keepNext w:val="0"/>
              <w:bidi w:val="0"/>
              <w:jc w:val="left"/>
              <w:rPr>
                <w:rFonts w:ascii="Times New Roman" w:hAnsi="Times New Roman"/>
                <w:i/>
                <w:sz w:val="22"/>
                <w:szCs w:val="22"/>
              </w:rPr>
            </w:pPr>
          </w:p>
          <w:p w:rsidR="00581CC3" w:rsidRPr="00C3452A" w:rsidP="00020905">
            <w:pPr>
              <w:keepNext w:val="0"/>
              <w:bidi w:val="0"/>
              <w:jc w:val="left"/>
              <w:rPr>
                <w:rFonts w:ascii="Times New Roman" w:hAnsi="Times New Roman"/>
                <w:i/>
                <w:sz w:val="22"/>
                <w:szCs w:val="22"/>
              </w:rPr>
            </w:pPr>
          </w:p>
        </w:tc>
      </w:tr>
      <w:tr>
        <w:tblPrEx>
          <w:tblW w:w="9214" w:type="dxa"/>
          <w:tblInd w:w="392" w:type="dxa"/>
          <w:tblLook w:val="04A0"/>
        </w:tblPrEx>
        <w:trPr>
          <w:trHeight w:val="292"/>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rPr>
                <w:rFonts w:ascii="Times New Roman" w:hAnsi="Times New Roman"/>
                <w:sz w:val="22"/>
                <w:szCs w:val="22"/>
              </w:rPr>
            </w:pPr>
          </w:p>
          <w:p w:rsidR="00581CC3" w:rsidRPr="00C3452A" w:rsidP="00020905">
            <w:pPr>
              <w:bidi w:val="0"/>
              <w:rPr>
                <w:rFonts w:ascii="Times New Roman" w:hAnsi="Times New Roman"/>
                <w:sz w:val="22"/>
                <w:szCs w:val="22"/>
              </w:rPr>
            </w:pP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3.3 Náklady regulácie</w:t>
            </w:r>
          </w:p>
          <w:p w:rsidR="00581CC3" w:rsidRPr="00C3452A" w:rsidP="00020905">
            <w:pPr>
              <w:keepNext w:val="0"/>
              <w:bidi w:val="0"/>
              <w:jc w:val="left"/>
              <w:rPr>
                <w:rFonts w:ascii="Times New Roman" w:hAnsi="Times New Roman"/>
                <w:b/>
                <w:sz w:val="22"/>
                <w:szCs w:val="22"/>
              </w:rPr>
            </w:pPr>
            <w:r w:rsidRPr="00C3452A">
              <w:rPr>
                <w:rFonts w:ascii="Times New Roman" w:hAnsi="Times New Roman"/>
                <w:sz w:val="22"/>
                <w:szCs w:val="22"/>
              </w:rPr>
              <w:t xml:space="preserve">      - </w:t>
            </w:r>
            <w:r w:rsidRPr="00C3452A">
              <w:rPr>
                <w:rFonts w:ascii="Times New Roman" w:hAnsi="Times New Roman"/>
                <w:b/>
                <w:sz w:val="22"/>
                <w:szCs w:val="22"/>
              </w:rPr>
              <w:t>z toho MSP</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b/>
                <w:i/>
                <w:sz w:val="22"/>
                <w:szCs w:val="22"/>
              </w:rPr>
            </w:pPr>
            <w:r w:rsidRPr="00C3452A">
              <w:rPr>
                <w:rFonts w:ascii="Times New Roman" w:hAnsi="Times New Roman"/>
                <w:b/>
                <w:i/>
                <w:sz w:val="22"/>
                <w:szCs w:val="22"/>
              </w:rPr>
              <w:t>3.3.1 Priame finančné náklady</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 xml:space="preserve">Dochádza k zvýšeniu/zníženiu priamych finančných nákladov (poplatky, odvody, dane clá...)? Ak áno, popíšte a vyčíslite ich. Uveďte tiež spôsob ich výpočtu. </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 xml:space="preserve">Po vypustení ustanovenia o registrácii nájomných zmlúv nedochádza ani k zvýšeniu ani k zníženiu finančných nákladov. </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b/>
                <w:i/>
                <w:sz w:val="22"/>
                <w:szCs w:val="22"/>
              </w:rPr>
            </w:pPr>
            <w:r w:rsidRPr="00C3452A">
              <w:rPr>
                <w:rFonts w:ascii="Times New Roman" w:hAnsi="Times New Roman"/>
                <w:b/>
                <w:i/>
                <w:sz w:val="22"/>
                <w:szCs w:val="22"/>
              </w:rPr>
              <w:t>3.3.2 Nepriame finančné náklady</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Vyžaduje si predkladaný návrh dodatočné náklady na nákup tovarov alebo služieb? Zvyšuje predkladaný návrh náklady súvisiace so zamestnávaním? Ak áno, popíšte a vyčíslite ich. Uveďte tiež spôsob ich výpočtu.</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Nie</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b/>
                <w:i/>
                <w:sz w:val="22"/>
                <w:szCs w:val="22"/>
              </w:rPr>
            </w:pPr>
            <w:r w:rsidRPr="00C3452A">
              <w:rPr>
                <w:rFonts w:ascii="Times New Roman" w:hAnsi="Times New Roman"/>
                <w:b/>
                <w:i/>
                <w:sz w:val="22"/>
                <w:szCs w:val="22"/>
              </w:rPr>
              <w:t>3.3.3 Administratívne náklady</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V súčasnosti uvádzame, že tieto náklady nie je možné vyčísliť.</w:t>
            </w:r>
          </w:p>
        </w:tc>
      </w:tr>
      <w:tr>
        <w:tblPrEx>
          <w:tblW w:w="9214" w:type="dxa"/>
          <w:tblInd w:w="392" w:type="dxa"/>
          <w:tblLook w:val="04A0"/>
        </w:tblPrEx>
        <w:trPr>
          <w:trHeight w:val="2035"/>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b/>
                <w:i/>
                <w:sz w:val="22"/>
                <w:szCs w:val="22"/>
              </w:rPr>
              <w:t>3.3.4 Súhrnná tabuľka nákladov regulácie</w:t>
            </w:r>
          </w:p>
          <w:p w:rsidR="00581CC3" w:rsidRPr="00C3452A" w:rsidP="00020905">
            <w:pPr>
              <w:keepNext w:val="0"/>
              <w:bidi w:val="0"/>
              <w:jc w:val="left"/>
              <w:rPr>
                <w:rFonts w:ascii="Times New Roman" w:hAnsi="Times New Roman"/>
                <w:i/>
                <w:sz w:val="22"/>
                <w:szCs w:val="22"/>
              </w:rPr>
            </w:pPr>
          </w:p>
          <w:tbl>
            <w:tblPr>
              <w:tblStyle w:val="Mriekatabuky1"/>
              <w:tblW w:w="0" w:type="auto"/>
              <w:tblLook w:val="04A0"/>
            </w:tblPr>
            <w:tblGrid>
              <w:gridCol w:w="2993"/>
              <w:gridCol w:w="2994"/>
              <w:gridCol w:w="2994"/>
            </w:tblGrid>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spacing w:after="0" w:line="240" w:lineRule="auto"/>
                    <w:jc w:val="left"/>
                    <w:rPr>
                      <w:rFonts w:ascii="Times New Roman" w:hAnsi="Times New Roman"/>
                      <w:i/>
                      <w:sz w:val="22"/>
                      <w:szCs w:val="22"/>
                    </w:rPr>
                  </w:pP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Náklady na 1 podnikateľa</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Náklady na celé podnikateľské prostredie</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Nepriame finančné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Administratívne náklady</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i/>
                      <w:sz w:val="22"/>
                      <w:szCs w:val="22"/>
                    </w:rPr>
                  </w:pPr>
                  <w:r w:rsidRPr="00C3452A">
                    <w:rPr>
                      <w:rFonts w:ascii="Times New Roman" w:hAnsi="Times New Roman"/>
                      <w:i/>
                      <w:sz w:val="22"/>
                      <w:szCs w:val="22"/>
                    </w:rPr>
                    <w:t>0</w:t>
                  </w:r>
                </w:p>
              </w:tc>
            </w:tr>
            <w:tr>
              <w:tblPrEx>
                <w:tblW w:w="0" w:type="auto"/>
                <w:tblLook w:val="04A0"/>
              </w:tblPrEx>
              <w:tc>
                <w:tcPr>
                  <w:tcW w:w="2993"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b/>
                      <w:i/>
                      <w:sz w:val="22"/>
                      <w:szCs w:val="22"/>
                    </w:rPr>
                  </w:pPr>
                  <w:r w:rsidRPr="00C3452A">
                    <w:rPr>
                      <w:rFonts w:ascii="Times New Roman" w:hAnsi="Times New Roman"/>
                      <w:b/>
                      <w:i/>
                      <w:sz w:val="22"/>
                      <w:szCs w:val="22"/>
                    </w:rPr>
                    <w:t>Celkové náklady regulácie</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b/>
                      <w:i/>
                      <w:sz w:val="22"/>
                      <w:szCs w:val="22"/>
                    </w:rPr>
                  </w:pPr>
                  <w:r w:rsidRPr="00C3452A">
                    <w:rPr>
                      <w:rFonts w:ascii="Times New Roman" w:hAnsi="Times New Roman"/>
                      <w:b/>
                      <w:i/>
                      <w:sz w:val="22"/>
                      <w:szCs w:val="22"/>
                    </w:rPr>
                    <w:t>0</w:t>
                  </w:r>
                </w:p>
              </w:tc>
              <w:tc>
                <w:tcPr>
                  <w:tcW w:w="299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center"/>
                    <w:rPr>
                      <w:rFonts w:ascii="Times New Roman" w:hAnsi="Times New Roman"/>
                      <w:b/>
                      <w:i/>
                      <w:sz w:val="22"/>
                      <w:szCs w:val="22"/>
                    </w:rPr>
                  </w:pPr>
                  <w:r w:rsidRPr="00C3452A">
                    <w:rPr>
                      <w:rFonts w:ascii="Times New Roman" w:hAnsi="Times New Roman"/>
                      <w:b/>
                      <w:i/>
                      <w:sz w:val="22"/>
                      <w:szCs w:val="22"/>
                    </w:rPr>
                    <w:t>0</w:t>
                  </w:r>
                </w:p>
              </w:tc>
            </w:tr>
          </w:tbl>
          <w:p w:rsidR="00581CC3" w:rsidRPr="00C3452A" w:rsidP="00020905">
            <w:pPr>
              <w:keepNext w:val="0"/>
              <w:bidi w:val="0"/>
              <w:jc w:val="left"/>
              <w:rPr>
                <w:rFonts w:ascii="Times New Roman" w:hAnsi="Times New Roman"/>
                <w:i/>
                <w:sz w:val="22"/>
                <w:szCs w:val="22"/>
              </w:rPr>
            </w:pP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3.4 Konkurencieschopnosť a správanie sa podnikov na trhu</w:t>
            </w:r>
          </w:p>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 xml:space="preserve">- </w:t>
            </w:r>
            <w:r w:rsidRPr="00C3452A">
              <w:rPr>
                <w:rFonts w:ascii="Times New Roman" w:hAnsi="Times New Roman"/>
                <w:b/>
                <w:sz w:val="22"/>
                <w:szCs w:val="22"/>
              </w:rPr>
              <w:t>z toho MSP</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mikro, malé a stredné podniky tzv. MSP)? Ak áno, popíšte.</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Aký vplyv bude mať navrhovaná zmena na obchodné bariéry? Bude mať vplyv na vyvolanie cezhraničných investícií (príliv /odliv zahraničných investícií resp. uplatnenie slovenských podnikov na zahraničných trhoch)? Ak áno, popíšte.</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Ako ovplyvní cenu alebo dostupnosť základných zdrojov (suroviny, mechanizmy, pracovná sila, energie atď.)?</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Ovplyvňuje prístup k financiám? Ak áno, ako?</w:t>
            </w:r>
          </w:p>
        </w:tc>
      </w:tr>
      <w:tr>
        <w:tblPrEx>
          <w:tblW w:w="9214" w:type="dxa"/>
          <w:tblInd w:w="392" w:type="dxa"/>
          <w:tblLook w:val="04A0"/>
        </w:tblPrEx>
        <w:trPr>
          <w:trHeight w:val="220"/>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Nie</w:t>
            </w:r>
          </w:p>
          <w:p w:rsidR="00581CC3" w:rsidRPr="00C3452A" w:rsidP="00020905">
            <w:pPr>
              <w:keepNext w:val="0"/>
              <w:bidi w:val="0"/>
              <w:jc w:val="left"/>
              <w:rPr>
                <w:rFonts w:ascii="Times New Roman" w:hAnsi="Times New Roman"/>
                <w:i/>
                <w:sz w:val="22"/>
                <w:szCs w:val="22"/>
              </w:rPr>
            </w:pP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shd w:val="clear" w:color="auto" w:fill="D9D9D9"/>
            <w:textDirection w:val="lrTb"/>
            <w:vAlign w:val="top"/>
          </w:tcPr>
          <w:p w:rsidR="00581CC3" w:rsidRPr="00C3452A" w:rsidP="00020905">
            <w:pPr>
              <w:keepNext w:val="0"/>
              <w:bidi w:val="0"/>
              <w:jc w:val="left"/>
              <w:rPr>
                <w:rFonts w:ascii="Times New Roman" w:hAnsi="Times New Roman"/>
                <w:b/>
                <w:sz w:val="22"/>
                <w:szCs w:val="22"/>
              </w:rPr>
            </w:pPr>
            <w:r w:rsidRPr="00C3452A">
              <w:rPr>
                <w:rFonts w:ascii="Times New Roman" w:hAnsi="Times New Roman"/>
                <w:b/>
                <w:sz w:val="22"/>
                <w:szCs w:val="22"/>
              </w:rPr>
              <w:t xml:space="preserve">3.5 Inovácie </w:t>
            </w:r>
          </w:p>
          <w:p w:rsidR="00581CC3" w:rsidRPr="00C3452A" w:rsidP="00020905">
            <w:pPr>
              <w:keepNext w:val="0"/>
              <w:bidi w:val="0"/>
              <w:jc w:val="left"/>
              <w:rPr>
                <w:rFonts w:ascii="Times New Roman" w:hAnsi="Times New Roman"/>
                <w:b/>
                <w:sz w:val="22"/>
                <w:szCs w:val="22"/>
              </w:rPr>
            </w:pPr>
            <w:r w:rsidRPr="00C3452A">
              <w:rPr>
                <w:rFonts w:ascii="Times New Roman" w:hAnsi="Times New Roman"/>
                <w:sz w:val="22"/>
                <w:szCs w:val="22"/>
              </w:rPr>
              <w:t xml:space="preserve">       - </w:t>
            </w:r>
            <w:r w:rsidRPr="00C3452A">
              <w:rPr>
                <w:rFonts w:ascii="Times New Roman" w:hAnsi="Times New Roman"/>
                <w:b/>
                <w:sz w:val="22"/>
                <w:szCs w:val="22"/>
              </w:rPr>
              <w:t>z toho MSP</w:t>
            </w:r>
          </w:p>
        </w:tc>
      </w:tr>
      <w:tr>
        <w:tblPrEx>
          <w:tblW w:w="9214" w:type="dxa"/>
          <w:tblInd w:w="392" w:type="dxa"/>
          <w:tblLook w:val="04A0"/>
        </w:tblPrEx>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Uveďte, ako podporuje navrhovaná zmena inovácie.</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Zjednodušuje uvedenie alebo rozšírenie nových výrobných metód, technológií a výrobkov na trh?</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Uveďte, ako vplýva navrhovaná zmena na jednotlivé práva duševného vlastníctva (napr. patenty, ochranné známky, autorské práva, vlastníctvo know-how).</w:t>
            </w:r>
          </w:p>
          <w:p w:rsidR="00581CC3" w:rsidRPr="00C3452A" w:rsidP="00020905">
            <w:pPr>
              <w:keepNext w:val="0"/>
              <w:bidi w:val="0"/>
              <w:jc w:val="left"/>
              <w:rPr>
                <w:rFonts w:ascii="Times New Roman" w:hAnsi="Times New Roman"/>
                <w:i/>
                <w:sz w:val="22"/>
                <w:szCs w:val="22"/>
              </w:rPr>
            </w:pPr>
            <w:r w:rsidRPr="00C3452A">
              <w:rPr>
                <w:rFonts w:ascii="Times New Roman" w:hAnsi="Times New Roman"/>
                <w:i/>
                <w:sz w:val="22"/>
                <w:szCs w:val="22"/>
              </w:rPr>
              <w:t>Podporuje vyššiu efektivitu výroby/využívania zdrojov? Ak áno, ako?</w:t>
            </w:r>
          </w:p>
          <w:p w:rsidR="00581CC3" w:rsidRPr="00C3452A" w:rsidP="00020905">
            <w:pPr>
              <w:keepNext w:val="0"/>
              <w:bidi w:val="0"/>
              <w:jc w:val="left"/>
              <w:rPr>
                <w:rFonts w:ascii="Times New Roman" w:hAnsi="Times New Roman"/>
                <w:sz w:val="22"/>
                <w:szCs w:val="22"/>
              </w:rPr>
            </w:pPr>
            <w:r w:rsidRPr="00C3452A">
              <w:rPr>
                <w:rFonts w:ascii="Times New Roman" w:hAnsi="Times New Roman"/>
                <w:i/>
                <w:sz w:val="22"/>
                <w:szCs w:val="22"/>
              </w:rPr>
              <w:t>Vytvorí zmena nové pracovné miesta pre zamestnancov výskumu a vývoja v SR?</w:t>
            </w:r>
          </w:p>
        </w:tc>
      </w:tr>
      <w:tr>
        <w:tblPrEx>
          <w:tblW w:w="9214" w:type="dxa"/>
          <w:tblInd w:w="392" w:type="dxa"/>
          <w:tblLook w:val="04A0"/>
        </w:tblPrEx>
        <w:trPr>
          <w:trHeight w:val="295"/>
        </w:trPr>
        <w:tc>
          <w:tcPr>
            <w:tcW w:w="9214"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bidi w:val="0"/>
              <w:jc w:val="left"/>
              <w:rPr>
                <w:rFonts w:ascii="Times New Roman" w:hAnsi="Times New Roman"/>
                <w:sz w:val="22"/>
                <w:szCs w:val="22"/>
              </w:rPr>
            </w:pPr>
            <w:r w:rsidRPr="00C3452A">
              <w:rPr>
                <w:rFonts w:ascii="Times New Roman" w:hAnsi="Times New Roman"/>
                <w:sz w:val="22"/>
                <w:szCs w:val="22"/>
              </w:rPr>
              <w:t>nie</w:t>
            </w:r>
          </w:p>
        </w:tc>
      </w:tr>
    </w:tbl>
    <w:p w:rsidR="00581CC3" w:rsidRPr="00C3452A" w:rsidP="00581CC3">
      <w:pPr>
        <w:bidi w:val="0"/>
        <w:ind w:right="-993"/>
        <w:jc w:val="center"/>
        <w:rPr>
          <w:rFonts w:ascii="Times New Roman" w:hAnsi="Times New Roman"/>
          <w:lang w:eastAsia="en-US"/>
        </w:rPr>
      </w:pPr>
    </w:p>
    <w:p w:rsidR="00581CC3" w:rsidRPr="00C3452A" w:rsidP="00581CC3">
      <w:pPr>
        <w:keepNext w:val="0"/>
        <w:widowControl w:val="0"/>
        <w:bidi w:val="0"/>
        <w:adjustRightInd w:val="0"/>
        <w:jc w:val="right"/>
        <w:textAlignment w:val="baseline"/>
        <w:rPr>
          <w:rFonts w:ascii="Times New Roman" w:hAnsi="Times New Roman"/>
          <w:lang w:eastAsia="en-US"/>
        </w:rPr>
      </w:pPr>
    </w:p>
    <w:tbl>
      <w:tblPr>
        <w:tblStyle w:val="TableNormal"/>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
      <w:tblGrid>
        <w:gridCol w:w="3657"/>
        <w:gridCol w:w="1162"/>
        <w:gridCol w:w="1560"/>
        <w:gridCol w:w="708"/>
        <w:gridCol w:w="993"/>
        <w:gridCol w:w="1134"/>
      </w:tblGrid>
      <w:tr>
        <w:tblPrEx>
          <w:tblW w:w="9214"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PrEx>
        <w:trPr>
          <w:trHeight w:val="822"/>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widowControl w:val="0"/>
              <w:bidi w:val="0"/>
              <w:adjustRightInd w:val="0"/>
              <w:spacing w:after="0" w:line="240" w:lineRule="auto"/>
              <w:jc w:val="center"/>
              <w:textAlignment w:val="baseline"/>
              <w:rPr>
                <w:rFonts w:ascii="Times New Roman" w:hAnsi="Times New Roman"/>
                <w:b/>
                <w:bCs/>
                <w:sz w:val="28"/>
                <w:szCs w:val="28"/>
              </w:rPr>
            </w:pPr>
            <w:r w:rsidRPr="00C3452A">
              <w:rPr>
                <w:rFonts w:ascii="Times New Roman" w:hAnsi="Times New Roman"/>
                <w:b/>
                <w:bCs/>
                <w:sz w:val="28"/>
                <w:szCs w:val="28"/>
              </w:rPr>
              <w:t>Analýza vplyvov na služby verejnej správy pre občana</w:t>
            </w:r>
          </w:p>
          <w:p w:rsidR="00581CC3" w:rsidRPr="00C3452A" w:rsidP="00020905">
            <w:pPr>
              <w:keepNext w:val="0"/>
              <w:widowControl w:val="0"/>
              <w:bidi w:val="0"/>
              <w:adjustRightInd w:val="0"/>
              <w:spacing w:after="0" w:line="240" w:lineRule="auto"/>
              <w:textAlignment w:val="baseline"/>
              <w:rPr>
                <w:rFonts w:ascii="Times New Roman" w:hAnsi="Times New Roman"/>
                <w:b/>
                <w:i/>
                <w:iCs/>
                <w:sz w:val="28"/>
                <w:szCs w:val="28"/>
              </w:rPr>
            </w:pPr>
          </w:p>
        </w:tc>
      </w:tr>
      <w:tr>
        <w:tblPrEx>
          <w:tblW w:w="9214" w:type="dxa"/>
          <w:tblInd w:w="354" w:type="dxa"/>
          <w:tblLayout w:type="fixed"/>
          <w:tblCellMar>
            <w:top w:w="28" w:type="dxa"/>
            <w:left w:w="70" w:type="dxa"/>
            <w:bottom w:w="28" w:type="dxa"/>
            <w:right w:w="70" w:type="dxa"/>
          </w:tblCellMar>
        </w:tblPrEx>
        <w:trPr>
          <w:trHeight w:val="367"/>
        </w:trPr>
        <w:tc>
          <w:tcPr>
            <w:tcW w:w="9214" w:type="dxa"/>
            <w:gridSpan w:val="6"/>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widowControl w:val="0"/>
              <w:bidi w:val="0"/>
              <w:adjustRightInd w:val="0"/>
              <w:spacing w:after="0" w:line="240" w:lineRule="auto"/>
              <w:jc w:val="center"/>
              <w:textAlignment w:val="baseline"/>
              <w:rPr>
                <w:rFonts w:ascii="Times New Roman" w:hAnsi="Times New Roman"/>
                <w:b/>
              </w:rPr>
            </w:pPr>
            <w:r w:rsidRPr="00C3452A">
              <w:rPr>
                <w:rFonts w:ascii="Times New Roman" w:hAnsi="Times New Roman"/>
                <w:b/>
              </w:rPr>
              <w:t xml:space="preserve">7.1 Identifikácia služby verejnej správy, ktorá je dotknutá návrhom </w:t>
            </w:r>
          </w:p>
        </w:tc>
      </w:tr>
      <w:tr>
        <w:tblPrEx>
          <w:tblW w:w="9214" w:type="dxa"/>
          <w:tblInd w:w="354" w:type="dxa"/>
          <w:tblLayout w:type="fixed"/>
          <w:tblCellMar>
            <w:top w:w="28" w:type="dxa"/>
            <w:left w:w="70" w:type="dxa"/>
            <w:bottom w:w="28" w:type="dxa"/>
            <w:right w:w="70" w:type="dxa"/>
          </w:tblCellMar>
        </w:tblPrEx>
        <w:trPr>
          <w:trHeight w:val="31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rPr>
            </w:pPr>
            <w:r w:rsidRPr="00C3452A">
              <w:rPr>
                <w:rFonts w:ascii="Times New Roman" w:hAnsi="Times New Roman"/>
                <w:b/>
              </w:rPr>
              <w:t>7.1.1 Predpokladá predložený návrh zmenu existujúcej služby verejnej správy alebo vytvorenie novej služby?</w:t>
            </w:r>
          </w:p>
        </w:tc>
      </w:tr>
      <w:tr>
        <w:tblPrEx>
          <w:tblW w:w="9214" w:type="dxa"/>
          <w:tblInd w:w="354" w:type="dxa"/>
          <w:tblLayout w:type="fixed"/>
          <w:tblCellMar>
            <w:top w:w="28" w:type="dxa"/>
            <w:left w:w="70" w:type="dxa"/>
            <w:bottom w:w="28" w:type="dxa"/>
            <w:right w:w="70" w:type="dxa"/>
          </w:tblCellMar>
        </w:tblPrEx>
        <w:trPr>
          <w:trHeight w:val="29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i/>
                <w:sz w:val="22"/>
                <w:szCs w:val="22"/>
              </w:rPr>
              <w:t>Zmena existujúcej služby (konkretizujte a popíšte)</w:t>
            </w:r>
          </w:p>
        </w:tc>
      </w:tr>
      <w:tr>
        <w:tblPrEx>
          <w:tblW w:w="9214" w:type="dxa"/>
          <w:tblInd w:w="354" w:type="dxa"/>
          <w:tblLayout w:type="fixed"/>
          <w:tblCellMar>
            <w:top w:w="28" w:type="dxa"/>
            <w:left w:w="70" w:type="dxa"/>
            <w:bottom w:w="28" w:type="dxa"/>
            <w:right w:w="70" w:type="dxa"/>
          </w:tblCellMar>
        </w:tblPrEx>
        <w:trPr>
          <w:trHeight w:val="655"/>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r w:rsidRPr="00C3452A">
              <w:rPr>
                <w:rFonts w:ascii="Times New Roman" w:hAnsi="Times New Roman"/>
                <w:i/>
                <w:sz w:val="22"/>
                <w:szCs w:val="22"/>
              </w:rPr>
              <w:t>-</w:t>
            </w:r>
          </w:p>
        </w:tc>
      </w:tr>
      <w:tr>
        <w:tblPrEx>
          <w:tblW w:w="9214" w:type="dxa"/>
          <w:tblInd w:w="354" w:type="dxa"/>
          <w:tblLayout w:type="fixed"/>
          <w:tblCellMar>
            <w:top w:w="28" w:type="dxa"/>
            <w:left w:w="70" w:type="dxa"/>
            <w:bottom w:w="28" w:type="dxa"/>
            <w:right w:w="70" w:type="dxa"/>
          </w:tblCellMar>
        </w:tblPrEx>
        <w:trPr>
          <w:trHeight w:val="212"/>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r w:rsidRPr="00C3452A">
              <w:rPr>
                <w:rFonts w:ascii="Times New Roman" w:hAnsi="Times New Roman"/>
                <w:i/>
                <w:sz w:val="22"/>
                <w:szCs w:val="22"/>
              </w:rPr>
              <w:t>Nová služba (konkretizujte a popíšte)</w:t>
            </w:r>
          </w:p>
        </w:tc>
      </w:tr>
      <w:tr>
        <w:tblPrEx>
          <w:tblW w:w="9214" w:type="dxa"/>
          <w:tblInd w:w="354" w:type="dxa"/>
          <w:tblLayout w:type="fixed"/>
          <w:tblCellMar>
            <w:top w:w="28" w:type="dxa"/>
            <w:left w:w="70" w:type="dxa"/>
            <w:bottom w:w="28" w:type="dxa"/>
            <w:right w:w="70" w:type="dxa"/>
          </w:tblCellMar>
        </w:tblPrEx>
        <w:trPr>
          <w:trHeight w:val="59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r w:rsidRPr="00C3452A">
              <w:rPr>
                <w:rFonts w:ascii="Times New Roman" w:hAnsi="Times New Roman"/>
                <w:i/>
                <w:sz w:val="22"/>
                <w:szCs w:val="22"/>
              </w:rPr>
              <w:t>Evidencia podnájomných a iných užívacích vzťahov</w:t>
            </w:r>
          </w:p>
        </w:tc>
      </w:tr>
      <w:tr>
        <w:tblPrEx>
          <w:tblW w:w="9214" w:type="dxa"/>
          <w:tblInd w:w="354" w:type="dxa"/>
          <w:tblLayout w:type="fixed"/>
          <w:tblCellMar>
            <w:top w:w="28" w:type="dxa"/>
            <w:left w:w="70" w:type="dxa"/>
            <w:bottom w:w="28" w:type="dxa"/>
            <w:right w:w="70" w:type="dxa"/>
          </w:tblCellMar>
        </w:tblPrEx>
        <w:trPr>
          <w:trHeight w:val="24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b/>
              </w:rPr>
              <w:t>7.1.2 Špecifikácia služby verejnej správy, ktorá je dotknutá návrhom</w:t>
            </w:r>
          </w:p>
        </w:tc>
      </w:tr>
      <w:tr>
        <w:tblPrEx>
          <w:tblW w:w="9214" w:type="dxa"/>
          <w:tblInd w:w="354" w:type="dxa"/>
          <w:tblLayout w:type="fixed"/>
          <w:tblCellMar>
            <w:top w:w="28" w:type="dxa"/>
            <w:left w:w="70" w:type="dxa"/>
            <w:bottom w:w="28" w:type="dxa"/>
            <w:right w:w="70" w:type="dxa"/>
          </w:tblCellMar>
        </w:tblPrEx>
        <w:trPr>
          <w:trHeight w:val="24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r w:rsidRPr="00C3452A">
              <w:rPr>
                <w:rFonts w:ascii="Times New Roman" w:hAnsi="Times New Roman"/>
                <w:i/>
                <w:sz w:val="22"/>
                <w:szCs w:val="22"/>
              </w:rPr>
              <w:t xml:space="preserve">Názov služby </w:t>
            </w:r>
          </w:p>
        </w:tc>
      </w:tr>
      <w:tr>
        <w:tblPrEx>
          <w:tblW w:w="9214" w:type="dxa"/>
          <w:tblInd w:w="354" w:type="dxa"/>
          <w:tblLayout w:type="fixed"/>
          <w:tblCellMar>
            <w:top w:w="28" w:type="dxa"/>
            <w:left w:w="70" w:type="dxa"/>
            <w:bottom w:w="28" w:type="dxa"/>
            <w:right w:w="70" w:type="dxa"/>
          </w:tblCellMar>
        </w:tblPrEx>
        <w:trPr>
          <w:trHeight w:val="545"/>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r w:rsidRPr="00C3452A">
              <w:rPr>
                <w:rFonts w:ascii="Times New Roman" w:hAnsi="Times New Roman"/>
                <w:i/>
                <w:sz w:val="22"/>
                <w:szCs w:val="22"/>
              </w:rPr>
              <w:t>Evidencia</w:t>
            </w:r>
          </w:p>
        </w:tc>
      </w:tr>
      <w:tr>
        <w:tblPrEx>
          <w:tblW w:w="9214" w:type="dxa"/>
          <w:tblInd w:w="354" w:type="dxa"/>
          <w:tblLayout w:type="fixed"/>
          <w:tblCellMar>
            <w:top w:w="28" w:type="dxa"/>
            <w:left w:w="70" w:type="dxa"/>
            <w:bottom w:w="28" w:type="dxa"/>
            <w:right w:w="70" w:type="dxa"/>
          </w:tblCellMar>
        </w:tblPrEx>
        <w:trPr>
          <w:trHeight w:val="24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i/>
                <w:sz w:val="22"/>
                <w:szCs w:val="22"/>
              </w:rPr>
              <w:t>Platná právna úprava, na základe ktorej je služba poskytovaná (ak ide o zmenu existujúcej služby)</w:t>
            </w:r>
          </w:p>
        </w:tc>
      </w:tr>
      <w:tr>
        <w:tblPrEx>
          <w:tblW w:w="9214" w:type="dxa"/>
          <w:tblInd w:w="354" w:type="dxa"/>
          <w:tblLayout w:type="fixed"/>
          <w:tblCellMar>
            <w:top w:w="28" w:type="dxa"/>
            <w:left w:w="70" w:type="dxa"/>
            <w:bottom w:w="28" w:type="dxa"/>
            <w:right w:w="70" w:type="dxa"/>
          </w:tblCellMar>
        </w:tblPrEx>
        <w:trPr>
          <w:trHeight w:val="63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p>
        </w:tc>
      </w:tr>
      <w:tr>
        <w:tblPrEx>
          <w:tblW w:w="9214" w:type="dxa"/>
          <w:tblInd w:w="354" w:type="dxa"/>
          <w:tblLayout w:type="fixed"/>
          <w:tblCellMar>
            <w:top w:w="28" w:type="dxa"/>
            <w:left w:w="70" w:type="dxa"/>
            <w:bottom w:w="28" w:type="dxa"/>
            <w:right w:w="70" w:type="dxa"/>
          </w:tblCellMar>
        </w:tblPrEx>
        <w:trPr>
          <w:trHeight w:val="2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i/>
                <w:sz w:val="22"/>
                <w:szCs w:val="22"/>
              </w:rPr>
              <w:t xml:space="preserve">Subjekt, ktorý je na základe platnej právnej úpravy oprávnený službu poskytovať </w:t>
            </w:r>
          </w:p>
        </w:tc>
      </w:tr>
      <w:tr>
        <w:tblPrEx>
          <w:tblW w:w="9214" w:type="dxa"/>
          <w:tblInd w:w="354" w:type="dxa"/>
          <w:tblLayout w:type="fixed"/>
          <w:tblCellMar>
            <w:top w:w="28" w:type="dxa"/>
            <w:left w:w="70" w:type="dxa"/>
            <w:bottom w:w="28" w:type="dxa"/>
            <w:right w:w="70" w:type="dxa"/>
          </w:tblCellMar>
        </w:tblPrEx>
        <w:trPr>
          <w:trHeight w:val="587"/>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sz w:val="22"/>
                <w:szCs w:val="22"/>
              </w:rPr>
            </w:pPr>
            <w:r w:rsidRPr="00C3452A">
              <w:rPr>
                <w:rFonts w:ascii="Times New Roman" w:hAnsi="Times New Roman"/>
                <w:sz w:val="22"/>
                <w:szCs w:val="22"/>
              </w:rPr>
              <w:t>Okresné úrady - pozemkové a lesné odbory</w:t>
            </w:r>
          </w:p>
        </w:tc>
      </w:tr>
      <w:tr>
        <w:tblPrEx>
          <w:tblW w:w="9214" w:type="dxa"/>
          <w:tblInd w:w="354" w:type="dxa"/>
          <w:tblLayout w:type="fixed"/>
          <w:tblCellMar>
            <w:top w:w="28" w:type="dxa"/>
            <w:left w:w="70" w:type="dxa"/>
            <w:bottom w:w="28" w:type="dxa"/>
            <w:right w:w="70" w:type="dxa"/>
          </w:tblCellMar>
        </w:tblPrEx>
        <w:trPr>
          <w:trHeight w:val="423"/>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b/>
              </w:rPr>
              <w:t xml:space="preserve">7.1.3 O aký vplyv na službu verejnej správy ide? </w:t>
            </w:r>
          </w:p>
        </w:tc>
      </w:tr>
      <w:tr>
        <w:tblPrEx>
          <w:tblW w:w="9214" w:type="dxa"/>
          <w:tblInd w:w="354" w:type="dxa"/>
          <w:tblLayout w:type="fixed"/>
          <w:tblCellMar>
            <w:top w:w="28" w:type="dxa"/>
            <w:left w:w="70" w:type="dxa"/>
            <w:bottom w:w="28" w:type="dxa"/>
            <w:right w:w="70" w:type="dxa"/>
          </w:tblCellMar>
        </w:tblPrEx>
        <w:trPr>
          <w:trHeight w:val="25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i/>
                <w:sz w:val="22"/>
                <w:szCs w:val="22"/>
              </w:rPr>
              <w:t xml:space="preserve">Priamy vplyv (popíšte) </w:t>
            </w:r>
          </w:p>
        </w:tc>
      </w:tr>
      <w:tr>
        <w:tblPrEx>
          <w:tblW w:w="9214" w:type="dxa"/>
          <w:tblInd w:w="354" w:type="dxa"/>
          <w:tblLayout w:type="fixed"/>
          <w:tblCellMar>
            <w:top w:w="28" w:type="dxa"/>
            <w:left w:w="70" w:type="dxa"/>
            <w:bottom w:w="28" w:type="dxa"/>
            <w:right w:w="70" w:type="dxa"/>
          </w:tblCellMar>
        </w:tblPrEx>
        <w:trPr>
          <w:trHeight w:val="543"/>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sz w:val="22"/>
                <w:szCs w:val="22"/>
              </w:rPr>
              <w:t xml:space="preserve">Predloženým návrhom zákona sa </w:t>
            </w:r>
            <w:r w:rsidRPr="00C3452A">
              <w:rPr>
                <w:rFonts w:ascii="Times New Roman" w:hAnsi="Times New Roman"/>
              </w:rPr>
              <w:t>precizuje povinnosť nájomcu viesť evidenciu pozemkov, ktoré vlastní alebo má prenajaté a pozemkov, ktoré obhospodaruje, ako aj povinnosť viesť a uchovávať evidenciu o dohodnutom a zaplatenom nájomnom. Informácie z takto evidovaných údajov budú pre potreby zavedenia väčšej prehľadnosti slúžiť pre rozhodovanie okresných úradov napr. v prípadoch určenia vydania rozhodnutia o vzniku podnájomného vzťahu,  zverejňovanie obvyklej výšky nájomného, ako aj Pôdohospodárskej platobnej agentúry v súvislosti s prideľovaním dotácií.  Podrobnosti o spôsobe vedenia týchto evidencií ako aj o spôsobe výpočtu a zverejňovania obvyklej výšky nájomného budú upravené vo vyhláške MPRV SR č. 249/2008 Z. z., ktorou sa ustanovujú podrobnosti o spôsobe vedenia evidencie pozemkov. Novela tiež určuje, aké druhy evidencií o právnych vzťahoch k pozemkom budú viesť okresné úrady.</w:t>
            </w:r>
          </w:p>
          <w:p w:rsidR="00581CC3" w:rsidRPr="00C3452A" w:rsidP="00020905">
            <w:pPr>
              <w:keepNext w:val="0"/>
              <w:widowControl w:val="0"/>
              <w:bidi w:val="0"/>
              <w:adjustRightInd w:val="0"/>
              <w:spacing w:after="0" w:line="240" w:lineRule="auto"/>
              <w:textAlignment w:val="baseline"/>
              <w:rPr>
                <w:rFonts w:ascii="Times New Roman" w:hAnsi="Times New Roman"/>
                <w:i/>
                <w:sz w:val="22"/>
                <w:szCs w:val="22"/>
              </w:rPr>
            </w:pP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r w:rsidRPr="00C3452A">
              <w:rPr>
                <w:rFonts w:ascii="Times New Roman" w:hAnsi="Times New Roman"/>
                <w:i/>
                <w:sz w:val="22"/>
                <w:szCs w:val="22"/>
              </w:rPr>
              <w:t xml:space="preserve">Nepriamy vplyv (popíšte) </w:t>
            </w:r>
          </w:p>
        </w:tc>
      </w:tr>
      <w:tr>
        <w:tblPrEx>
          <w:tblW w:w="9214" w:type="dxa"/>
          <w:tblInd w:w="354" w:type="dxa"/>
          <w:tblLayout w:type="fixed"/>
          <w:tblCellMar>
            <w:top w:w="28" w:type="dxa"/>
            <w:left w:w="70" w:type="dxa"/>
            <w:bottom w:w="28" w:type="dxa"/>
            <w:right w:w="70" w:type="dxa"/>
          </w:tblCellMar>
        </w:tblPrEx>
        <w:trPr>
          <w:trHeight w:val="61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i/>
                <w:sz w:val="22"/>
                <w:szCs w:val="22"/>
              </w:rPr>
            </w:pP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keepNext w:val="0"/>
              <w:widowControl w:val="0"/>
              <w:bidi w:val="0"/>
              <w:adjustRightInd w:val="0"/>
              <w:spacing w:after="0" w:line="240" w:lineRule="auto"/>
              <w:jc w:val="center"/>
              <w:textAlignment w:val="baseline"/>
              <w:rPr>
                <w:rFonts w:ascii="Times New Roman" w:hAnsi="Times New Roman"/>
                <w:b/>
              </w:rPr>
            </w:pPr>
            <w:r w:rsidRPr="00C3452A">
              <w:rPr>
                <w:rFonts w:ascii="Times New Roman" w:hAnsi="Times New Roman"/>
                <w:b/>
              </w:rPr>
              <w:t>7.2 Vplyv služieb verejnej správy na občana</w:t>
            </w:r>
          </w:p>
        </w:tc>
      </w:tr>
      <w:tr>
        <w:tblPrEx>
          <w:tblW w:w="9214" w:type="dxa"/>
          <w:tblInd w:w="354" w:type="dxa"/>
          <w:tblLayout w:type="fixed"/>
          <w:tblCellMar>
            <w:top w:w="28" w:type="dxa"/>
            <w:left w:w="70" w:type="dxa"/>
            <w:bottom w:w="28" w:type="dxa"/>
            <w:right w:w="70" w:type="dxa"/>
          </w:tblCellMar>
        </w:tblPrEx>
        <w:trPr>
          <w:trHeight w:val="38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b/>
              </w:rPr>
              <w:t xml:space="preserve">7.2.1 Náklady </w:t>
            </w:r>
          </w:p>
        </w:tc>
      </w:tr>
      <w:tr>
        <w:tblPrEx>
          <w:tblW w:w="9214" w:type="dxa"/>
          <w:tblInd w:w="354" w:type="dxa"/>
          <w:tblLayout w:type="fixed"/>
          <w:tblCellMar>
            <w:top w:w="28" w:type="dxa"/>
            <w:left w:w="70" w:type="dxa"/>
            <w:bottom w:w="28" w:type="dxa"/>
            <w:right w:w="70" w:type="dxa"/>
          </w:tblCellMar>
        </w:tblPrEx>
        <w:trPr>
          <w:trHeight w:val="22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i/>
              </w:rPr>
              <w:t xml:space="preserve">Zníženie priamych finančných nákladov </w:t>
            </w:r>
          </w:p>
        </w:tc>
      </w:tr>
      <w:tr>
        <w:tblPrEx>
          <w:tblW w:w="9214" w:type="dxa"/>
          <w:tblInd w:w="354" w:type="dxa"/>
          <w:tblLayout w:type="fixed"/>
          <w:tblCellMar>
            <w:top w:w="28" w:type="dxa"/>
            <w:left w:w="70" w:type="dxa"/>
            <w:bottom w:w="28" w:type="dxa"/>
            <w:right w:w="70" w:type="dxa"/>
          </w:tblCellMar>
        </w:tblPrEx>
        <w:trPr>
          <w:trHeight w:val="241"/>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p>
        </w:tc>
      </w:tr>
      <w:tr>
        <w:tblPrEx>
          <w:tblW w:w="9214" w:type="dxa"/>
          <w:tblInd w:w="354" w:type="dxa"/>
          <w:tblLayout w:type="fixed"/>
          <w:tblCellMar>
            <w:top w:w="28" w:type="dxa"/>
            <w:left w:w="70" w:type="dxa"/>
            <w:bottom w:w="28" w:type="dxa"/>
            <w:right w:w="70" w:type="dxa"/>
          </w:tblCellMar>
        </w:tblPrEx>
        <w:trPr>
          <w:trHeight w:val="294"/>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r w:rsidRPr="00C3452A">
              <w:rPr>
                <w:rFonts w:ascii="Times New Roman" w:hAnsi="Times New Roman"/>
                <w:i/>
              </w:rPr>
              <w:t>Zvýšenie priamych finančných nákladov</w:t>
            </w:r>
          </w:p>
        </w:tc>
      </w:tr>
      <w:tr>
        <w:tblPrEx>
          <w:tblW w:w="9214" w:type="dxa"/>
          <w:tblInd w:w="354" w:type="dxa"/>
          <w:tblLayout w:type="fixed"/>
          <w:tblCellMar>
            <w:top w:w="28" w:type="dxa"/>
            <w:left w:w="70" w:type="dxa"/>
            <w:bottom w:w="28" w:type="dxa"/>
            <w:right w:w="70" w:type="dxa"/>
          </w:tblCellMar>
        </w:tblPrEx>
        <w:trPr>
          <w:trHeight w:val="572"/>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p>
        </w:tc>
      </w:tr>
      <w:tr>
        <w:tblPrEx>
          <w:tblW w:w="9214" w:type="dxa"/>
          <w:tblInd w:w="354" w:type="dxa"/>
          <w:tblLayout w:type="fixed"/>
          <w:tblCellMar>
            <w:top w:w="28" w:type="dxa"/>
            <w:left w:w="70" w:type="dxa"/>
            <w:bottom w:w="28" w:type="dxa"/>
            <w:right w:w="70" w:type="dxa"/>
          </w:tblCellMar>
        </w:tblPrEx>
        <w:trPr>
          <w:trHeight w:val="214"/>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r w:rsidRPr="00C3452A">
              <w:rPr>
                <w:rFonts w:ascii="Times New Roman" w:hAnsi="Times New Roman"/>
                <w:i/>
              </w:rPr>
              <w:t>Zníženie nepriamych finančných nákladov</w:t>
            </w:r>
          </w:p>
        </w:tc>
      </w:tr>
      <w:tr>
        <w:tblPrEx>
          <w:tblW w:w="9214" w:type="dxa"/>
          <w:tblInd w:w="354" w:type="dxa"/>
          <w:tblLayout w:type="fixed"/>
          <w:tblCellMar>
            <w:top w:w="28" w:type="dxa"/>
            <w:left w:w="70" w:type="dxa"/>
            <w:bottom w:w="28" w:type="dxa"/>
            <w:right w:w="70" w:type="dxa"/>
          </w:tblCellMar>
        </w:tblPrEx>
        <w:trPr>
          <w:trHeight w:val="707"/>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p>
        </w:tc>
      </w:tr>
      <w:tr>
        <w:tblPrEx>
          <w:tblW w:w="9214" w:type="dxa"/>
          <w:tblInd w:w="354" w:type="dxa"/>
          <w:tblLayout w:type="fixed"/>
          <w:tblCellMar>
            <w:top w:w="28" w:type="dxa"/>
            <w:left w:w="70" w:type="dxa"/>
            <w:bottom w:w="28" w:type="dxa"/>
            <w:right w:w="70" w:type="dxa"/>
          </w:tblCellMar>
        </w:tblPrEx>
        <w:trPr>
          <w:trHeight w:val="38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r w:rsidRPr="00C3452A">
              <w:rPr>
                <w:rFonts w:ascii="Times New Roman" w:hAnsi="Times New Roman"/>
                <w:i/>
              </w:rPr>
              <w:t>Zvýšenie nepriamych finančných nákladov</w:t>
            </w:r>
          </w:p>
        </w:tc>
      </w:tr>
      <w:tr>
        <w:tblPrEx>
          <w:tblW w:w="9214" w:type="dxa"/>
          <w:tblInd w:w="354" w:type="dxa"/>
          <w:tblLayout w:type="fixed"/>
          <w:tblCellMar>
            <w:top w:w="28" w:type="dxa"/>
            <w:left w:w="70" w:type="dxa"/>
            <w:bottom w:w="28" w:type="dxa"/>
            <w:right w:w="70" w:type="dxa"/>
          </w:tblCellMar>
        </w:tblPrEx>
        <w:trPr>
          <w:trHeight w:val="80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rPr>
            </w:pPr>
          </w:p>
        </w:tc>
      </w:tr>
      <w:tr>
        <w:tblPrEx>
          <w:tblW w:w="9214" w:type="dxa"/>
          <w:tblInd w:w="354" w:type="dxa"/>
          <w:tblLayout w:type="fixed"/>
          <w:tblCellMar>
            <w:top w:w="28" w:type="dxa"/>
            <w:left w:w="70" w:type="dxa"/>
            <w:bottom w:w="28" w:type="dxa"/>
            <w:right w:w="70" w:type="dxa"/>
          </w:tblCellMar>
        </w:tblPrEx>
        <w:trPr>
          <w:trHeight w:val="388"/>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b/>
              </w:rPr>
              <w:t>7.2.2 Časový vplyv</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i/>
              </w:rPr>
              <w:t>Zvýšenie času vybavenia požiadavky (popíšte)</w:t>
            </w:r>
          </w:p>
        </w:tc>
      </w:tr>
      <w:tr>
        <w:tblPrEx>
          <w:tblW w:w="9214" w:type="dxa"/>
          <w:tblInd w:w="354" w:type="dxa"/>
          <w:tblLayout w:type="fixed"/>
          <w:tblCellMar>
            <w:top w:w="28" w:type="dxa"/>
            <w:left w:w="70" w:type="dxa"/>
            <w:bottom w:w="28" w:type="dxa"/>
            <w:right w:w="70" w:type="dxa"/>
          </w:tblCellMar>
        </w:tblPrEx>
        <w:trPr>
          <w:trHeight w:val="703"/>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i/>
              </w:rPr>
              <w:t>Zníženie času  vybavenia požiadavky (popíšte)</w:t>
            </w:r>
          </w:p>
        </w:tc>
      </w:tr>
      <w:tr>
        <w:tblPrEx>
          <w:tblW w:w="9214" w:type="dxa"/>
          <w:tblInd w:w="354" w:type="dxa"/>
          <w:tblLayout w:type="fixed"/>
          <w:tblCellMar>
            <w:top w:w="28" w:type="dxa"/>
            <w:left w:w="70" w:type="dxa"/>
            <w:bottom w:w="28" w:type="dxa"/>
            <w:right w:w="70" w:type="dxa"/>
          </w:tblCellMar>
        </w:tblPrEx>
        <w:trPr>
          <w:trHeight w:val="729"/>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p>
        </w:tc>
      </w:tr>
      <w:tr>
        <w:tblPrEx>
          <w:tblW w:w="9214" w:type="dxa"/>
          <w:tblInd w:w="354" w:type="dxa"/>
          <w:tblLayout w:type="fixed"/>
          <w:tblCellMar>
            <w:top w:w="28" w:type="dxa"/>
            <w:left w:w="70" w:type="dxa"/>
            <w:bottom w:w="28" w:type="dxa"/>
            <w:right w:w="70" w:type="dxa"/>
          </w:tblCellMar>
        </w:tblPrEx>
        <w:trPr>
          <w:trHeight w:val="424"/>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b/>
              </w:rPr>
              <w:t xml:space="preserve">7.2.3Ktorá skupina občanov bude predloženým návrhom ovplyvnená? </w:t>
            </w:r>
          </w:p>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Špecifikujte skupinu občanov, ktorá bude návrhom ovplyvnená (napr. držitelia vodičských oprávnení). Aká je  veľkosť tejto skupiny?</w:t>
            </w:r>
          </w:p>
        </w:tc>
      </w:tr>
      <w:tr>
        <w:tblPrEx>
          <w:tblW w:w="9214" w:type="dxa"/>
          <w:tblInd w:w="354" w:type="dxa"/>
          <w:tblLayout w:type="fixed"/>
          <w:tblCellMar>
            <w:top w:w="28" w:type="dxa"/>
            <w:left w:w="70" w:type="dxa"/>
            <w:bottom w:w="28" w:type="dxa"/>
            <w:right w:w="70" w:type="dxa"/>
          </w:tblCellMar>
        </w:tblPrEx>
        <w:trPr>
          <w:trHeight w:val="734"/>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Poľnohospodárske subjekty</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b/>
              </w:rPr>
              <w:t>7.2.4 Vyplývajú z návrhu pre občana pri vybavení svojej požiadavky nové povinnosti alebo zanikajú už existujúce povinnosti?</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 xml:space="preserve">Nové povinnosti (identifikujte) </w:t>
            </w:r>
          </w:p>
        </w:tc>
      </w:tr>
      <w:tr>
        <w:tblPrEx>
          <w:tblW w:w="9214" w:type="dxa"/>
          <w:tblInd w:w="354" w:type="dxa"/>
          <w:tblLayout w:type="fixed"/>
          <w:tblCellMar>
            <w:top w:w="28" w:type="dxa"/>
            <w:left w:w="70" w:type="dxa"/>
            <w:bottom w:w="28" w:type="dxa"/>
            <w:right w:w="70" w:type="dxa"/>
          </w:tblCellMar>
        </w:tblPrEx>
        <w:trPr>
          <w:trHeight w:val="726"/>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Cs/>
                <w:sz w:val="22"/>
                <w:szCs w:val="22"/>
              </w:rPr>
            </w:pPr>
            <w:r w:rsidRPr="00C3452A">
              <w:rPr>
                <w:rFonts w:ascii="Times New Roman" w:hAnsi="Times New Roman"/>
                <w:iCs/>
                <w:sz w:val="22"/>
                <w:szCs w:val="22"/>
              </w:rPr>
              <w:t xml:space="preserve">Pre občana týmto návrhom zákona nevyplývajú žiadne povinnosti. </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Zanikajúce povinnosti (identifikujte)</w:t>
            </w:r>
          </w:p>
        </w:tc>
      </w:tr>
      <w:tr>
        <w:tblPrEx>
          <w:tblW w:w="9214" w:type="dxa"/>
          <w:tblInd w:w="354" w:type="dxa"/>
          <w:tblLayout w:type="fixed"/>
          <w:tblCellMar>
            <w:top w:w="28" w:type="dxa"/>
            <w:left w:w="70" w:type="dxa"/>
            <w:bottom w:w="28" w:type="dxa"/>
            <w:right w:w="70" w:type="dxa"/>
          </w:tblCellMar>
        </w:tblPrEx>
        <w:trPr>
          <w:trHeight w:val="609"/>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keepNext w:val="0"/>
              <w:widowControl w:val="0"/>
              <w:bidi w:val="0"/>
              <w:adjustRightInd w:val="0"/>
              <w:spacing w:after="0" w:line="240" w:lineRule="auto"/>
              <w:jc w:val="center"/>
              <w:textAlignment w:val="baseline"/>
              <w:rPr>
                <w:rFonts w:ascii="Times New Roman" w:hAnsi="Times New Roman"/>
                <w:b/>
              </w:rPr>
            </w:pPr>
            <w:r w:rsidRPr="00C3452A">
              <w:rPr>
                <w:rFonts w:ascii="Times New Roman" w:hAnsi="Times New Roman"/>
                <w:b/>
              </w:rPr>
              <w:t>7.3 Vplyv na procesy služieb vo verejnej správe</w:t>
            </w:r>
          </w:p>
        </w:tc>
      </w:tr>
      <w:tr>
        <w:tblPrEx>
          <w:tblW w:w="9214" w:type="dxa"/>
          <w:tblInd w:w="354" w:type="dxa"/>
          <w:tblLayout w:type="fixed"/>
          <w:tblCellMar>
            <w:top w:w="28" w:type="dxa"/>
            <w:left w:w="70" w:type="dxa"/>
            <w:bottom w:w="28" w:type="dxa"/>
            <w:right w:w="70" w:type="dxa"/>
          </w:tblCellMar>
        </w:tblPrEx>
        <w:trPr>
          <w:trHeight w:val="39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b/>
              </w:rPr>
              <w:t xml:space="preserve">7.3.1 Ktoré sú dotknuté subjekty verejnej správy? </w:t>
            </w:r>
          </w:p>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rPr>
              <w:t xml:space="preserve">Ktoré subjekty verejnej správy sú účastné procesu poskytnutia služby? </w:t>
            </w:r>
          </w:p>
        </w:tc>
      </w:tr>
      <w:tr>
        <w:tblPrEx>
          <w:tblW w:w="9214" w:type="dxa"/>
          <w:tblInd w:w="354" w:type="dxa"/>
          <w:tblLayout w:type="fixed"/>
          <w:tblCellMar>
            <w:top w:w="28" w:type="dxa"/>
            <w:left w:w="70" w:type="dxa"/>
            <w:bottom w:w="28" w:type="dxa"/>
            <w:right w:w="70" w:type="dxa"/>
          </w:tblCellMar>
        </w:tblPrEx>
        <w:trPr>
          <w:trHeight w:val="733"/>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b/>
              </w:rPr>
            </w:pPr>
            <w:r w:rsidRPr="00C3452A">
              <w:rPr>
                <w:rFonts w:ascii="Times New Roman" w:hAnsi="Times New Roman"/>
                <w:b/>
              </w:rPr>
              <w:t>Okresnú úrady, pozemkové a lesné odbory</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b/>
              </w:rPr>
              <w:t>7.3.2 Vyplývajú z návrhu pre orgán verejnej správy pri vybavení požiadavky nové povinnosti alebo zanikajú už existujúce povinnosti?</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Nové povinnosti (identifikujte)</w:t>
            </w:r>
          </w:p>
          <w:p w:rsidR="00581CC3" w:rsidRPr="00C3452A" w:rsidP="00020905">
            <w:pPr>
              <w:keepNext w:val="0"/>
              <w:widowControl w:val="0"/>
              <w:bidi w:val="0"/>
              <w:adjustRightInd w:val="0"/>
              <w:spacing w:after="0" w:line="240" w:lineRule="auto"/>
              <w:textAlignment w:val="baseline"/>
              <w:rPr>
                <w:rFonts w:ascii="Times New Roman" w:hAnsi="Times New Roman"/>
                <w:iCs/>
                <w:sz w:val="22"/>
                <w:szCs w:val="22"/>
              </w:rPr>
            </w:pPr>
            <w:r w:rsidRPr="00C3452A">
              <w:rPr>
                <w:rFonts w:ascii="Times New Roman" w:hAnsi="Times New Roman"/>
                <w:iCs/>
                <w:sz w:val="22"/>
                <w:szCs w:val="22"/>
              </w:rPr>
              <w:t>Uvádzame, že návrh zákona neustanovuje ďalšie nové povinnosti. Návrh zákona prináša zdokonalený a precizovanejší procesný postup v prípade ustanovenia § 12a, nakoľko citované ustanovenie sa z hľadiska jeho aplikácie takto procesne v praxi už vykonáva (ako je uvedené v stanovisku Komisie prerokovanie návrhu na umiestnenie  pozemku s doterajším prenajímateľom a nájomcom upravuje v súčasnosti §12a ods. 6 – teda v prípade rozhodovania o vzniku podnájomného vzťahu príslušný okresný úrad vydáva rozhodnutie - pri rozhodovaní vykoná so zúčastnenými stranami prerokovanie.</w:t>
            </w:r>
          </w:p>
          <w:p w:rsidR="00581CC3" w:rsidRPr="00C3452A" w:rsidP="00020905">
            <w:pPr>
              <w:keepNext w:val="0"/>
              <w:widowControl w:val="0"/>
              <w:autoSpaceDE w:val="0"/>
              <w:autoSpaceDN w:val="0"/>
              <w:bidi w:val="0"/>
              <w:adjustRightInd w:val="0"/>
              <w:spacing w:after="0" w:line="240" w:lineRule="auto"/>
              <w:textAlignment w:val="baseline"/>
              <w:rPr>
                <w:rFonts w:ascii="Times New Roman" w:hAnsi="Times New Roman"/>
                <w:bCs/>
                <w:color w:val="000000"/>
                <w:lang w:eastAsia="en-US"/>
              </w:rPr>
            </w:pPr>
          </w:p>
          <w:p w:rsidR="00581CC3" w:rsidRPr="00C3452A" w:rsidP="00020905">
            <w:pPr>
              <w:keepNext w:val="0"/>
              <w:widowControl w:val="0"/>
              <w:bidi w:val="0"/>
              <w:adjustRightInd w:val="0"/>
              <w:spacing w:after="0" w:line="240" w:lineRule="auto"/>
              <w:textAlignment w:val="baseline"/>
              <w:rPr>
                <w:rFonts w:ascii="Times New Roman" w:hAnsi="Times New Roman"/>
                <w:iCs/>
              </w:rPr>
            </w:pP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p>
        </w:tc>
      </w:tr>
      <w:tr>
        <w:tblPrEx>
          <w:tblW w:w="9214" w:type="dxa"/>
          <w:tblInd w:w="354" w:type="dxa"/>
          <w:tblLayout w:type="fixed"/>
          <w:tblCellMar>
            <w:top w:w="28" w:type="dxa"/>
            <w:left w:w="70" w:type="dxa"/>
            <w:bottom w:w="28" w:type="dxa"/>
            <w:right w:w="70" w:type="dxa"/>
          </w:tblCellMar>
        </w:tblPrEx>
        <w:trPr>
          <w:trHeight w:val="674"/>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Nová povinnosť bude spočívať v evidencii podnájomných vzťahov a iných užívacích vzťahov v poľnohospodárskej pôde</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Zanikajúce povinnosti (identifikujte)</w:t>
            </w:r>
          </w:p>
        </w:tc>
      </w:tr>
      <w:tr>
        <w:tblPrEx>
          <w:tblW w:w="9214" w:type="dxa"/>
          <w:tblInd w:w="354" w:type="dxa"/>
          <w:tblLayout w:type="fixed"/>
          <w:tblCellMar>
            <w:top w:w="28" w:type="dxa"/>
            <w:left w:w="70" w:type="dxa"/>
            <w:bottom w:w="28" w:type="dxa"/>
            <w:right w:w="70" w:type="dxa"/>
          </w:tblCellMar>
        </w:tblPrEx>
        <w:trPr>
          <w:trHeight w:val="859"/>
        </w:trPr>
        <w:tc>
          <w:tcPr>
            <w:tcW w:w="9214" w:type="dxa"/>
            <w:gridSpan w:val="6"/>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keepNext w:val="0"/>
              <w:widowControl w:val="0"/>
              <w:bidi w:val="0"/>
              <w:adjustRightInd w:val="0"/>
              <w:spacing w:after="0" w:line="240" w:lineRule="auto"/>
              <w:textAlignment w:val="baseline"/>
              <w:rPr>
                <w:rFonts w:ascii="Times New Roman" w:hAnsi="Times New Roman"/>
                <w:i/>
                <w:iCs/>
              </w:rPr>
            </w:pPr>
            <w:r w:rsidRPr="00C3452A">
              <w:rPr>
                <w:rFonts w:ascii="Times New Roman" w:hAnsi="Times New Roman"/>
                <w:i/>
                <w:iCs/>
              </w:rPr>
              <w:t>žiadne</w:t>
            </w:r>
          </w:p>
        </w:tc>
      </w:tr>
      <w:tr>
        <w:tblPrEx>
          <w:tblW w:w="9214" w:type="dxa"/>
          <w:tblInd w:w="354" w:type="dxa"/>
          <w:tblLayout w:type="fixed"/>
          <w:tblCellMar>
            <w:top w:w="28" w:type="dxa"/>
            <w:left w:w="70" w:type="dxa"/>
            <w:bottom w:w="28" w:type="dxa"/>
            <w:right w:w="70" w:type="dxa"/>
          </w:tblCellMar>
        </w:tblPrEx>
        <w:trPr>
          <w:trHeight w:val="20"/>
        </w:trPr>
        <w:tc>
          <w:tcPr>
            <w:tcW w:w="9214" w:type="dxa"/>
            <w:gridSpan w:val="6"/>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bidi w:val="0"/>
              <w:spacing w:after="0" w:line="240" w:lineRule="auto"/>
              <w:jc w:val="center"/>
              <w:rPr>
                <w:rFonts w:ascii="Times New Roman" w:hAnsi="Times New Roman"/>
                <w:b/>
                <w:bCs/>
                <w:sz w:val="28"/>
                <w:szCs w:val="28"/>
              </w:rPr>
            </w:pPr>
            <w:r w:rsidRPr="00C3452A">
              <w:rPr>
                <w:rFonts w:ascii="Times New Roman" w:hAnsi="Times New Roman"/>
                <w:b/>
                <w:bCs/>
                <w:sz w:val="28"/>
                <w:szCs w:val="28"/>
              </w:rPr>
              <w:t>Analýza vplyvov na informatizáciu spoločnosti</w:t>
            </w:r>
          </w:p>
          <w:p w:rsidR="00581CC3" w:rsidRPr="00113379" w:rsidP="00020905">
            <w:pPr>
              <w:bidi w:val="0"/>
              <w:spacing w:after="0" w:line="240" w:lineRule="auto"/>
              <w:jc w:val="center"/>
              <w:rPr>
                <w:rFonts w:ascii="Times New Roman" w:hAnsi="Times New Roman"/>
                <w:b/>
                <w:i/>
                <w:iCs/>
              </w:rPr>
            </w:pPr>
            <w:r w:rsidRPr="00113379">
              <w:rPr>
                <w:rFonts w:ascii="Times New Roman" w:hAnsi="Times New Roman"/>
                <w:b/>
              </w:rPr>
              <w:t>Budovanie základných pilierov informatizácie</w:t>
            </w:r>
          </w:p>
        </w:tc>
      </w:tr>
      <w:tr>
        <w:tblPrEx>
          <w:tblW w:w="9214" w:type="dxa"/>
          <w:tblInd w:w="354" w:type="dxa"/>
          <w:tblLayout w:type="fixed"/>
          <w:tblCellMar>
            <w:top w:w="28" w:type="dxa"/>
            <w:left w:w="70" w:type="dxa"/>
            <w:bottom w:w="28" w:type="dxa"/>
            <w:right w:w="70" w:type="dxa"/>
          </w:tblCellMar>
        </w:tblPrEx>
        <w:trPr>
          <w:trHeight w:val="681"/>
        </w:trPr>
        <w:tc>
          <w:tcPr>
            <w:tcW w:w="365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Obsah</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A – nová služba</w:t>
            </w:r>
          </w:p>
          <w:p w:rsidR="00581CC3" w:rsidRPr="00C3452A" w:rsidP="00020905">
            <w:pPr>
              <w:bidi w:val="0"/>
              <w:spacing w:after="0" w:line="240" w:lineRule="auto"/>
              <w:jc w:val="center"/>
              <w:rPr>
                <w:rFonts w:ascii="Times New Roman" w:hAnsi="Times New Roman"/>
                <w:i/>
                <w:iCs/>
              </w:rPr>
            </w:pPr>
            <w:r w:rsidRPr="00C3452A">
              <w:rPr>
                <w:rFonts w:ascii="Times New Roman" w:hAnsi="Times New Roman"/>
                <w:b/>
              </w:rPr>
              <w:t>B – zmena služby</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i/>
                <w:iCs/>
              </w:rPr>
            </w:pPr>
          </w:p>
          <w:p w:rsidR="00581CC3" w:rsidRPr="00C3452A" w:rsidP="00020905">
            <w:pPr>
              <w:bidi w:val="0"/>
              <w:spacing w:after="200" w:line="240" w:lineRule="auto"/>
              <w:jc w:val="center"/>
              <w:rPr>
                <w:rFonts w:ascii="Times New Roman" w:hAnsi="Times New Roman"/>
              </w:rPr>
            </w:pPr>
            <w:r w:rsidRPr="00C3452A">
              <w:rPr>
                <w:rFonts w:ascii="Times New Roman" w:hAnsi="Times New Roman"/>
                <w:b/>
              </w:rPr>
              <w:t>Kód služby</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p>
          <w:p w:rsidR="00581CC3" w:rsidRPr="00C3452A" w:rsidP="00020905">
            <w:pPr>
              <w:bidi w:val="0"/>
              <w:spacing w:after="0" w:line="240" w:lineRule="auto"/>
              <w:jc w:val="center"/>
              <w:rPr>
                <w:rFonts w:ascii="Times New Roman" w:hAnsi="Times New Roman"/>
                <w:i/>
                <w:iCs/>
              </w:rPr>
            </w:pPr>
            <w:r w:rsidRPr="00C3452A">
              <w:rPr>
                <w:rFonts w:ascii="Times New Roman" w:hAnsi="Times New Roman"/>
                <w:b/>
              </w:rPr>
              <w:t>Názov služby</w:t>
            </w:r>
          </w:p>
        </w:tc>
        <w:tc>
          <w:tcPr>
            <w:tcW w:w="1134"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Úroveň elektronizácie služby</w:t>
            </w:r>
          </w:p>
          <w:p w:rsidR="00581CC3" w:rsidRPr="00C3452A" w:rsidP="00020905">
            <w:pPr>
              <w:bidi w:val="0"/>
              <w:spacing w:after="0" w:line="240" w:lineRule="auto"/>
              <w:jc w:val="center"/>
              <w:rPr>
                <w:rFonts w:ascii="Times New Roman" w:hAnsi="Times New Roman"/>
                <w:i/>
                <w:iCs/>
              </w:rPr>
            </w:pPr>
            <w:r w:rsidRPr="00C3452A">
              <w:rPr>
                <w:rFonts w:ascii="Times New Roman" w:hAnsi="Times New Roman"/>
                <w:b/>
              </w:rPr>
              <w:t>(0 až 5)</w:t>
            </w:r>
          </w:p>
        </w:tc>
      </w:tr>
      <w:tr>
        <w:tblPrEx>
          <w:tblW w:w="9214" w:type="dxa"/>
          <w:tblInd w:w="354" w:type="dxa"/>
          <w:tblLayout w:type="fixed"/>
          <w:tblCellMar>
            <w:top w:w="28" w:type="dxa"/>
            <w:left w:w="70" w:type="dxa"/>
            <w:bottom w:w="28" w:type="dxa"/>
            <w:right w:w="70" w:type="dxa"/>
          </w:tblCellMar>
        </w:tblPrEx>
        <w:trPr>
          <w:trHeight w:val="20"/>
        </w:trPr>
        <w:tc>
          <w:tcPr>
            <w:tcW w:w="3657"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spacing w:after="0" w:line="240" w:lineRule="auto"/>
              <w:rPr>
                <w:rFonts w:ascii="Times New Roman" w:hAnsi="Times New Roman"/>
              </w:rPr>
            </w:pPr>
            <w:r w:rsidRPr="00C3452A">
              <w:rPr>
                <w:rFonts w:ascii="Times New Roman" w:hAnsi="Times New Roman"/>
                <w:b/>
              </w:rPr>
              <w:t>6.1.</w:t>
            </w:r>
            <w:r w:rsidRPr="00C3452A">
              <w:rPr>
                <w:rFonts w:ascii="Times New Roman" w:hAnsi="Times New Roman"/>
              </w:rPr>
              <w:t xml:space="preserve"> Predpokladá predložený návrh zmenu existujúcich elektronických služieb verejnej správy alebo vytvorenie nových služieb?</w:t>
            </w:r>
          </w:p>
          <w:p w:rsidR="00581CC3" w:rsidRPr="00C3452A" w:rsidP="00020905">
            <w:pPr>
              <w:bidi w:val="0"/>
              <w:spacing w:after="0" w:line="20" w:lineRule="atLeast"/>
              <w:rPr>
                <w:rFonts w:ascii="Times New Roman" w:hAnsi="Times New Roman"/>
                <w:b/>
              </w:rPr>
            </w:pPr>
            <w:r w:rsidRPr="00C3452A">
              <w:rPr>
                <w:rFonts w:ascii="Times New Roman" w:hAnsi="Times New Roman"/>
                <w:i/>
                <w:iCs/>
              </w:rPr>
              <w:t>(Ak áno, uveďte zmenu služby alebo vytvorenie novej služby, ďalej  jej kód, názov a úroveň elektronizácie podľa katalógu eGovernment služieb, ktorý je vedený v centrálnom metainformačnom systéme verejnej správy.)</w:t>
            </w:r>
            <w:r w:rsidRPr="00C3452A">
              <w:rPr>
                <w:rFonts w:ascii="Times New Roman" w:hAnsi="Times New Roman"/>
              </w:rPr>
              <w:t xml:space="preserve"> </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A</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ks_333423</w:t>
            </w:r>
          </w:p>
        </w:tc>
        <w:tc>
          <w:tcPr>
            <w:tcW w:w="1701" w:type="dxa"/>
            <w:gridSpan w:val="2"/>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Vedenie evidencie podnájomných vzťahov k poľnohospodárskym pozemkom</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rPr>
            </w:pPr>
            <w:r w:rsidRPr="00C3452A">
              <w:rPr>
                <w:rStyle w:val="col-lg-2"/>
                <w:rFonts w:ascii="Times New Roman" w:hAnsi="Times New Roman"/>
                <w:b/>
              </w:rPr>
              <w:t>2</w:t>
            </w:r>
          </w:p>
        </w:tc>
      </w:tr>
      <w:tr>
        <w:tblPrEx>
          <w:tblW w:w="9214" w:type="dxa"/>
          <w:tblInd w:w="354" w:type="dxa"/>
          <w:tblLayout w:type="fixed"/>
          <w:tblCellMar>
            <w:top w:w="28" w:type="dxa"/>
            <w:left w:w="70" w:type="dxa"/>
            <w:bottom w:w="28" w:type="dxa"/>
            <w:right w:w="70" w:type="dxa"/>
          </w:tblCellMar>
        </w:tblPrEx>
        <w:trPr>
          <w:trHeight w:val="20"/>
        </w:trPr>
        <w:tc>
          <w:tcPr>
            <w:tcW w:w="365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Infraštruktúra</w:t>
            </w:r>
          </w:p>
        </w:tc>
        <w:tc>
          <w:tcPr>
            <w:tcW w:w="1162"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A – nový systém</w:t>
            </w:r>
          </w:p>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B – zmena systému</w:t>
            </w:r>
          </w:p>
        </w:tc>
        <w:tc>
          <w:tcPr>
            <w:tcW w:w="1560"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Kód systému</w:t>
            </w:r>
          </w:p>
        </w:tc>
        <w:tc>
          <w:tcPr>
            <w:tcW w:w="2835" w:type="dxa"/>
            <w:gridSpan w:val="3"/>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581CC3" w:rsidRPr="00C3452A" w:rsidP="00020905">
            <w:pPr>
              <w:bidi w:val="0"/>
              <w:spacing w:after="0" w:line="240" w:lineRule="auto"/>
              <w:jc w:val="center"/>
              <w:rPr>
                <w:rFonts w:ascii="Times New Roman" w:hAnsi="Times New Roman"/>
                <w:b/>
              </w:rPr>
            </w:pPr>
            <w:r w:rsidRPr="00C3452A">
              <w:rPr>
                <w:rFonts w:ascii="Times New Roman" w:hAnsi="Times New Roman"/>
                <w:b/>
              </w:rPr>
              <w:t>Názov systému</w:t>
            </w:r>
          </w:p>
        </w:tc>
      </w:tr>
      <w:tr>
        <w:tblPrEx>
          <w:tblW w:w="9214" w:type="dxa"/>
          <w:tblInd w:w="354" w:type="dxa"/>
          <w:tblLayout w:type="fixed"/>
          <w:tblCellMar>
            <w:top w:w="28" w:type="dxa"/>
            <w:left w:w="70" w:type="dxa"/>
            <w:bottom w:w="28" w:type="dxa"/>
            <w:right w:w="70" w:type="dxa"/>
          </w:tblCellMar>
        </w:tblPrEx>
        <w:trPr>
          <w:trHeight w:val="20"/>
        </w:trPr>
        <w:tc>
          <w:tcPr>
            <w:tcW w:w="3657"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spacing w:after="0" w:line="240" w:lineRule="auto"/>
              <w:rPr>
                <w:rFonts w:ascii="Times New Roman" w:hAnsi="Times New Roman"/>
              </w:rPr>
            </w:pPr>
            <w:r w:rsidRPr="00C3452A">
              <w:rPr>
                <w:rFonts w:ascii="Times New Roman" w:hAnsi="Times New Roman"/>
                <w:b/>
              </w:rPr>
              <w:t>6.2.</w:t>
            </w:r>
            <w:r w:rsidRPr="00C3452A">
              <w:rPr>
                <w:rFonts w:ascii="Times New Roman" w:hAnsi="Times New Roman"/>
              </w:rPr>
              <w:t xml:space="preserve"> Predpokladá predložený návrh zmenu existujúceho alebo vytvorenie nového informačného systému verejnej správy?</w:t>
            </w:r>
          </w:p>
          <w:p w:rsidR="00581CC3" w:rsidRPr="00C3452A" w:rsidP="00020905">
            <w:pPr>
              <w:bidi w:val="0"/>
              <w:spacing w:after="0" w:line="20" w:lineRule="atLeast"/>
              <w:rPr>
                <w:rFonts w:ascii="Times New Roman" w:hAnsi="Times New Roman"/>
              </w:rPr>
            </w:pPr>
            <w:r w:rsidRPr="00C3452A">
              <w:rPr>
                <w:rFonts w:ascii="Times New Roman" w:hAnsi="Times New Roman"/>
                <w:i/>
                <w:iCs/>
              </w:rPr>
              <w:t>(Ak áno, uveďte zmenu systému alebo vytvorenie nového systému, ďalej jeho kód a názov z centrálneho metainformačného systému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i/>
                <w:iCs/>
              </w:rPr>
            </w:pPr>
            <w:r w:rsidRPr="00C3452A">
              <w:rPr>
                <w:rFonts w:ascii="Times New Roman" w:hAnsi="Times New Roman"/>
                <w:i/>
                <w:iCs/>
              </w:rPr>
              <w:t>A</w:t>
            </w:r>
          </w:p>
        </w:tc>
        <w:tc>
          <w:tcPr>
            <w:tcW w:w="1560"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i/>
                <w:iCs/>
              </w:rPr>
            </w:pPr>
            <w:r w:rsidRPr="00C3452A">
              <w:rPr>
                <w:rFonts w:ascii="Times New Roman" w:hAnsi="Times New Roman"/>
                <w:b/>
              </w:rPr>
              <w:t>isvs_8183</w:t>
            </w:r>
          </w:p>
        </w:tc>
        <w:tc>
          <w:tcPr>
            <w:tcW w:w="2835" w:type="dxa"/>
            <w:gridSpan w:val="3"/>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b/>
                <w:i/>
                <w:iCs/>
              </w:rPr>
            </w:pPr>
            <w:r w:rsidRPr="00C3452A">
              <w:rPr>
                <w:rFonts w:ascii="Times New Roman" w:hAnsi="Times New Roman"/>
                <w:b/>
              </w:rPr>
              <w:t>Evidencia podnájomných vzťahov k poľnohospodárskym pozemkom</w:t>
            </w:r>
          </w:p>
        </w:tc>
      </w:tr>
      <w:tr>
        <w:tblPrEx>
          <w:tblW w:w="9214" w:type="dxa"/>
          <w:tblInd w:w="354" w:type="dxa"/>
          <w:tblLayout w:type="fixed"/>
          <w:tblCellMar>
            <w:top w:w="28" w:type="dxa"/>
            <w:left w:w="70" w:type="dxa"/>
            <w:bottom w:w="28" w:type="dxa"/>
            <w:right w:w="70" w:type="dxa"/>
          </w:tblCellMar>
        </w:tblPrEx>
        <w:trPr>
          <w:trHeight w:val="20"/>
        </w:trPr>
        <w:tc>
          <w:tcPr>
            <w:tcW w:w="365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bidi w:val="0"/>
              <w:spacing w:after="0" w:line="20" w:lineRule="atLeast"/>
              <w:ind w:hanging="55"/>
              <w:jc w:val="center"/>
              <w:rPr>
                <w:rFonts w:ascii="Times New Roman" w:hAnsi="Times New Roman"/>
                <w:b/>
              </w:rPr>
            </w:pPr>
            <w:r w:rsidRPr="00C3452A">
              <w:rPr>
                <w:rFonts w:ascii="Times New Roman" w:hAnsi="Times New Roman"/>
                <w:b/>
              </w:rPr>
              <w:t>Financovanie procesu informatizácie</w:t>
            </w:r>
          </w:p>
        </w:tc>
        <w:tc>
          <w:tcPr>
            <w:tcW w:w="1162"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bidi w:val="0"/>
              <w:spacing w:after="0" w:line="240" w:lineRule="auto"/>
              <w:jc w:val="center"/>
              <w:rPr>
                <w:rFonts w:ascii="Times New Roman" w:hAnsi="Times New Roman"/>
                <w:b/>
                <w:i/>
                <w:iCs/>
              </w:rPr>
            </w:pPr>
            <w:r w:rsidRPr="00C3452A">
              <w:rPr>
                <w:rFonts w:ascii="Times New Roman" w:hAnsi="Times New Roman"/>
                <w:b/>
              </w:rPr>
              <w:t>Rezortná úroveň</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bidi w:val="0"/>
              <w:spacing w:after="0" w:line="240" w:lineRule="auto"/>
              <w:jc w:val="center"/>
              <w:rPr>
                <w:rFonts w:ascii="Times New Roman" w:hAnsi="Times New Roman"/>
                <w:b/>
                <w:i/>
                <w:iCs/>
              </w:rPr>
            </w:pPr>
            <w:r w:rsidRPr="00C3452A">
              <w:rPr>
                <w:rFonts w:ascii="Times New Roman" w:hAnsi="Times New Roman"/>
                <w:b/>
              </w:rPr>
              <w:t>Nadrezortná úroveň</w:t>
            </w:r>
          </w:p>
          <w:p w:rsidR="00581CC3" w:rsidRPr="00C3452A" w:rsidP="00020905">
            <w:pPr>
              <w:bidi w:val="0"/>
              <w:spacing w:after="0" w:line="240" w:lineRule="auto"/>
              <w:jc w:val="center"/>
              <w:rPr>
                <w:rFonts w:ascii="Times New Roman" w:hAnsi="Times New Roman"/>
                <w:b/>
              </w:rPr>
            </w:pPr>
          </w:p>
        </w:tc>
        <w:tc>
          <w:tcPr>
            <w:tcW w:w="2127" w:type="dxa"/>
            <w:gridSpan w:val="2"/>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581CC3" w:rsidRPr="00C3452A" w:rsidP="00020905">
            <w:pPr>
              <w:bidi w:val="0"/>
              <w:spacing w:after="0" w:line="240" w:lineRule="auto"/>
              <w:rPr>
                <w:rFonts w:ascii="Times New Roman" w:hAnsi="Times New Roman"/>
                <w:b/>
              </w:rPr>
            </w:pPr>
            <w:r w:rsidRPr="00C3452A">
              <w:rPr>
                <w:rFonts w:ascii="Times New Roman" w:hAnsi="Times New Roman"/>
                <w:b/>
              </w:rPr>
              <w:t>A - z prostriedkov EÚ   B - z ďalších zdrojov financovania</w:t>
            </w:r>
          </w:p>
        </w:tc>
      </w:tr>
      <w:tr>
        <w:tblPrEx>
          <w:tblW w:w="9214" w:type="dxa"/>
          <w:tblInd w:w="354" w:type="dxa"/>
          <w:tblLayout w:type="fixed"/>
          <w:tblCellMar>
            <w:top w:w="28" w:type="dxa"/>
            <w:left w:w="70" w:type="dxa"/>
            <w:bottom w:w="28" w:type="dxa"/>
            <w:right w:w="70" w:type="dxa"/>
          </w:tblCellMar>
        </w:tblPrEx>
        <w:trPr>
          <w:trHeight w:val="20"/>
        </w:trPr>
        <w:tc>
          <w:tcPr>
            <w:tcW w:w="3657" w:type="dxa"/>
            <w:tcBorders>
              <w:top w:val="single" w:sz="4" w:space="0" w:color="auto"/>
              <w:left w:val="single" w:sz="4" w:space="0" w:color="auto"/>
              <w:bottom w:val="single" w:sz="4" w:space="0" w:color="auto"/>
              <w:right w:val="single" w:sz="4" w:space="0" w:color="auto"/>
            </w:tcBorders>
            <w:textDirection w:val="lrTb"/>
            <w:vAlign w:val="top"/>
          </w:tcPr>
          <w:p w:rsidR="00581CC3" w:rsidRPr="00C3452A" w:rsidP="00020905">
            <w:pPr>
              <w:bidi w:val="0"/>
              <w:spacing w:after="0" w:line="240" w:lineRule="auto"/>
              <w:rPr>
                <w:rFonts w:ascii="Times New Roman" w:hAnsi="Times New Roman"/>
              </w:rPr>
            </w:pPr>
            <w:r w:rsidRPr="00C3452A">
              <w:rPr>
                <w:rFonts w:ascii="Times New Roman" w:hAnsi="Times New Roman"/>
                <w:b/>
              </w:rPr>
              <w:t>6.3.</w:t>
            </w:r>
            <w:r w:rsidRPr="00C3452A">
              <w:rPr>
                <w:rFonts w:ascii="Times New Roman" w:hAnsi="Times New Roman"/>
              </w:rPr>
              <w:t xml:space="preserve"> Vyžaduje si proces informatizácie  finančné investície?</w:t>
            </w:r>
          </w:p>
          <w:p w:rsidR="00581CC3" w:rsidRPr="00C3452A" w:rsidP="00020905">
            <w:pPr>
              <w:bidi w:val="0"/>
              <w:spacing w:after="0" w:line="20" w:lineRule="atLeast"/>
              <w:rPr>
                <w:rFonts w:ascii="Times New Roman" w:hAnsi="Times New Roman"/>
              </w:rPr>
            </w:pPr>
            <w:r w:rsidRPr="00C3452A">
              <w:rPr>
                <w:rFonts w:ascii="Times New Roman" w:hAnsi="Times New Roman"/>
                <w:i/>
                <w:iCs/>
              </w:rPr>
              <w:t>(Uveďte príslušnú úroveň financovania a kvantifikáciu finančných výdavkov uveďte  v analýze vplyvov na rozpočet verejnej správy.)</w:t>
            </w:r>
          </w:p>
        </w:tc>
        <w:tc>
          <w:tcPr>
            <w:tcW w:w="1162" w:type="dxa"/>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i/>
                <w:iCs/>
              </w:rPr>
            </w:pPr>
            <w:r w:rsidRPr="00C3452A">
              <w:rPr>
                <w:rFonts w:ascii="Times New Roman" w:hAnsi="Times New Roman"/>
                <w:i/>
                <w:iCs/>
              </w:rPr>
              <w:t>A</w:t>
            </w:r>
          </w:p>
        </w:tc>
        <w:tc>
          <w:tcPr>
            <w:tcW w:w="2268" w:type="dxa"/>
            <w:gridSpan w:val="2"/>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i/>
                <w:iCs/>
              </w:rPr>
            </w:pPr>
          </w:p>
        </w:tc>
        <w:tc>
          <w:tcPr>
            <w:tcW w:w="2127" w:type="dxa"/>
            <w:gridSpan w:val="2"/>
            <w:tcBorders>
              <w:top w:val="single" w:sz="4" w:space="0" w:color="auto"/>
              <w:left w:val="single" w:sz="4" w:space="0" w:color="auto"/>
              <w:bottom w:val="single" w:sz="4" w:space="0" w:color="auto"/>
              <w:right w:val="single" w:sz="4" w:space="0" w:color="auto"/>
            </w:tcBorders>
            <w:textDirection w:val="lrTb"/>
            <w:vAlign w:val="center"/>
          </w:tcPr>
          <w:p w:rsidR="00581CC3" w:rsidRPr="00C3452A" w:rsidP="00020905">
            <w:pPr>
              <w:bidi w:val="0"/>
              <w:spacing w:after="0" w:line="240" w:lineRule="auto"/>
              <w:jc w:val="center"/>
              <w:rPr>
                <w:rFonts w:ascii="Times New Roman" w:hAnsi="Times New Roman"/>
                <w:i/>
                <w:iCs/>
              </w:rPr>
            </w:pPr>
          </w:p>
        </w:tc>
      </w:tr>
    </w:tbl>
    <w:p w:rsidR="00581CC3" w:rsidRPr="00C3452A" w:rsidP="00581CC3">
      <w:pPr>
        <w:bidi w:val="0"/>
        <w:ind w:right="-993"/>
        <w:jc w:val="center"/>
        <w:rPr>
          <w:rFonts w:ascii="Times New Roman" w:hAnsi="Times New Roman"/>
          <w:lang w:eastAsia="en-US"/>
        </w:rPr>
      </w:pPr>
    </w:p>
    <w:p w:rsidR="00581CC3" w:rsidRPr="00C3452A" w:rsidP="00581CC3">
      <w:pPr>
        <w:bidi w:val="0"/>
        <w:ind w:right="-993"/>
        <w:jc w:val="center"/>
        <w:rPr>
          <w:rFonts w:ascii="Times New Roman" w:hAnsi="Times New Roman"/>
          <w:lang w:eastAsia="en-US"/>
        </w:rPr>
      </w:pPr>
    </w:p>
    <w:p w:rsidR="00581CC3" w:rsidRPr="00C3452A" w:rsidP="00581CC3">
      <w:pPr>
        <w:bidi w:val="0"/>
        <w:ind w:right="-993"/>
        <w:jc w:val="center"/>
        <w:rPr>
          <w:rFonts w:ascii="Times New Roman" w:hAnsi="Times New Roman"/>
          <w:lang w:eastAsia="en-US"/>
        </w:rPr>
      </w:pPr>
    </w:p>
    <w:p w:rsidR="00581CC3" w:rsidRPr="00C3452A" w:rsidP="00581CC3">
      <w:pPr>
        <w:bidi w:val="0"/>
        <w:ind w:right="-993"/>
        <w:jc w:val="center"/>
        <w:rPr>
          <w:rFonts w:ascii="Times New Roman" w:hAnsi="Times New Roman"/>
          <w:lang w:eastAsia="en-US"/>
        </w:rPr>
      </w:pPr>
    </w:p>
    <w:p w:rsidR="00581CC3" w:rsidRPr="00C3452A" w:rsidP="00581CC3">
      <w:pPr>
        <w:bidi w:val="0"/>
        <w:ind w:right="-993"/>
        <w:jc w:val="center"/>
        <w:rPr>
          <w:rFonts w:ascii="Times New Roman" w:hAnsi="Times New Roman"/>
          <w:lang w:eastAsia="en-US"/>
        </w:rPr>
      </w:pPr>
    </w:p>
    <w:p w:rsidR="00581CC3" w:rsidRPr="00C3452A" w:rsidP="00581CC3">
      <w:pPr>
        <w:bidi w:val="0"/>
        <w:ind w:right="-993"/>
        <w:jc w:val="center"/>
        <w:rPr>
          <w:rFonts w:ascii="Times New Roman" w:hAnsi="Times New Roman"/>
          <w:lang w:eastAsia="en-US"/>
        </w:rPr>
      </w:pPr>
    </w:p>
    <w:p w:rsidR="00581CC3" w:rsidRPr="00C3452A" w:rsidP="00581CC3">
      <w:pPr>
        <w:bidi w:val="0"/>
        <w:jc w:val="center"/>
        <w:outlineLvl w:val="0"/>
        <w:rPr>
          <w:rFonts w:ascii="Times New Roman" w:hAnsi="Times New Roman"/>
          <w:b/>
          <w:bCs/>
        </w:rPr>
      </w:pPr>
      <w:r w:rsidRPr="00C3452A">
        <w:rPr>
          <w:rFonts w:ascii="Times New Roman" w:hAnsi="Times New Roman"/>
          <w:b/>
          <w:bCs/>
        </w:rPr>
        <w:t xml:space="preserve">Dôvodová správa </w:t>
      </w:r>
    </w:p>
    <w:p w:rsidR="00581CC3" w:rsidRPr="00C3452A" w:rsidP="00581CC3">
      <w:pPr>
        <w:bidi w:val="0"/>
        <w:jc w:val="center"/>
        <w:outlineLvl w:val="0"/>
        <w:rPr>
          <w:rFonts w:ascii="Times New Roman" w:hAnsi="Times New Roman"/>
          <w:b/>
          <w:bCs/>
        </w:rPr>
      </w:pPr>
    </w:p>
    <w:p w:rsidR="00581CC3" w:rsidRPr="00C3452A" w:rsidP="00581CC3">
      <w:pPr>
        <w:pStyle w:val="Heading3"/>
        <w:numPr>
          <w:numId w:val="14"/>
        </w:numPr>
        <w:bidi w:val="0"/>
        <w:spacing w:after="0"/>
        <w:ind w:left="426" w:hanging="426"/>
        <w:rPr>
          <w:rFonts w:ascii="Times New Roman" w:hAnsi="Times New Roman" w:cs="Times New Roman"/>
          <w:szCs w:val="24"/>
        </w:rPr>
      </w:pPr>
      <w:r w:rsidRPr="00C3452A">
        <w:rPr>
          <w:rFonts w:ascii="Times New Roman" w:hAnsi="Times New Roman" w:cs="Times New Roman"/>
          <w:szCs w:val="24"/>
        </w:rPr>
        <w:t>Osobitná časť</w:t>
      </w:r>
    </w:p>
    <w:p w:rsidR="00581CC3" w:rsidRPr="00113379" w:rsidP="00581CC3">
      <w:pPr>
        <w:pStyle w:val="Heading3"/>
        <w:bidi w:val="0"/>
        <w:spacing w:after="0"/>
        <w:rPr>
          <w:rFonts w:ascii="Times New Roman" w:hAnsi="Times New Roman" w:cs="Times New Roman"/>
          <w:szCs w:val="24"/>
          <w:u w:val="single"/>
        </w:rPr>
      </w:pPr>
      <w:r w:rsidRPr="00113379">
        <w:rPr>
          <w:rFonts w:ascii="Times New Roman" w:hAnsi="Times New Roman" w:cs="Times New Roman"/>
          <w:szCs w:val="24"/>
          <w:u w:val="single"/>
        </w:rPr>
        <w:t>K Čl. I </w:t>
      </w:r>
    </w:p>
    <w:p w:rsidR="00581CC3" w:rsidRPr="00C3452A" w:rsidP="00581CC3">
      <w:pPr>
        <w:pStyle w:val="Heading3"/>
        <w:bidi w:val="0"/>
        <w:spacing w:after="0"/>
        <w:rPr>
          <w:rFonts w:ascii="Times New Roman" w:hAnsi="Times New Roman" w:cs="Times New Roman"/>
          <w:szCs w:val="24"/>
        </w:rPr>
      </w:pPr>
      <w:r w:rsidRPr="00C3452A">
        <w:rPr>
          <w:rFonts w:ascii="Times New Roman" w:hAnsi="Times New Roman" w:cs="Times New Roman"/>
          <w:szCs w:val="24"/>
        </w:rPr>
        <w:t>K bodu 1</w:t>
      </w:r>
    </w:p>
    <w:p w:rsidR="00581CC3" w:rsidRPr="00C3452A" w:rsidP="00581CC3">
      <w:pPr>
        <w:tabs>
          <w:tab w:val="num" w:pos="360"/>
          <w:tab w:val="left" w:pos="426"/>
        </w:tabs>
        <w:bidi w:val="0"/>
        <w:rPr>
          <w:rFonts w:ascii="Times New Roman" w:hAnsi="Times New Roman"/>
        </w:rPr>
      </w:pPr>
    </w:p>
    <w:p w:rsidR="00581CC3" w:rsidRPr="00C3452A" w:rsidP="00581CC3">
      <w:pPr>
        <w:tabs>
          <w:tab w:val="num" w:pos="360"/>
          <w:tab w:val="left" w:pos="426"/>
        </w:tabs>
        <w:bidi w:val="0"/>
        <w:rPr>
          <w:rFonts w:ascii="Times New Roman" w:hAnsi="Times New Roman"/>
          <w:b/>
        </w:rPr>
      </w:pPr>
      <w:r w:rsidRPr="00C3452A">
        <w:rPr>
          <w:rFonts w:ascii="Times New Roman" w:hAnsi="Times New Roman"/>
        </w:rPr>
        <w:t xml:space="preserve">Legislatívno-technická úprava v § 1. Zároveň vzhľadom na nejednoznačnosť vyplývajúcu z aplikačnej praxe dochádza k doplneniu </w:t>
      </w:r>
      <w:r w:rsidRPr="00C3452A">
        <w:rPr>
          <w:rFonts w:ascii="Times New Roman" w:hAnsi="Times New Roman"/>
          <w:bCs/>
        </w:rPr>
        <w:t>a spresneniu</w:t>
      </w:r>
      <w:r w:rsidRPr="00C3452A">
        <w:rPr>
          <w:rFonts w:ascii="Times New Roman" w:hAnsi="Times New Roman"/>
        </w:rPr>
        <w:t xml:space="preserve"> definície, čo sa považuje za pozemok slúžiaci na poľnohospodárske účely (ďalej aj len „pozemok“). Určuje sa, akým spôsobom sa stanoví obvyklá výška nájomného za užívanie poľnohospodárskej pôdy pri prevádzkovaní podniku.</w:t>
      </w:r>
    </w:p>
    <w:p w:rsidR="00581CC3" w:rsidRPr="00C3452A" w:rsidP="00581CC3">
      <w:pPr>
        <w:pStyle w:val="Heading3"/>
        <w:bidi w:val="0"/>
        <w:spacing w:before="0" w:after="0"/>
        <w:rPr>
          <w:rFonts w:ascii="Times New Roman" w:hAnsi="Times New Roman" w:cs="Times New Roman"/>
          <w:szCs w:val="24"/>
        </w:rPr>
      </w:pPr>
    </w:p>
    <w:p w:rsidR="00581CC3" w:rsidRPr="00C3452A" w:rsidP="00581CC3">
      <w:pPr>
        <w:pStyle w:val="Heading3"/>
        <w:bidi w:val="0"/>
        <w:spacing w:before="0" w:after="0"/>
        <w:rPr>
          <w:rFonts w:ascii="Times New Roman" w:hAnsi="Times New Roman" w:cs="Times New Roman"/>
          <w:szCs w:val="24"/>
        </w:rPr>
      </w:pPr>
      <w:r w:rsidRPr="00C3452A">
        <w:rPr>
          <w:rFonts w:ascii="Times New Roman" w:hAnsi="Times New Roman" w:cs="Times New Roman"/>
          <w:szCs w:val="24"/>
        </w:rPr>
        <w:t>K bodu 2</w:t>
      </w:r>
    </w:p>
    <w:p w:rsidR="00581CC3" w:rsidRPr="00C3452A" w:rsidP="00581CC3">
      <w:pPr>
        <w:pStyle w:val="Heading3"/>
        <w:bidi w:val="0"/>
        <w:spacing w:before="0" w:after="0"/>
        <w:rPr>
          <w:rFonts w:ascii="Times New Roman" w:hAnsi="Times New Roman" w:cs="Times New Roman"/>
          <w:b w:val="0"/>
          <w:szCs w:val="24"/>
        </w:rPr>
      </w:pPr>
    </w:p>
    <w:p w:rsidR="00581CC3" w:rsidRPr="00C3452A" w:rsidP="00581CC3">
      <w:pPr>
        <w:pStyle w:val="Heading3"/>
        <w:bidi w:val="0"/>
        <w:spacing w:before="0" w:after="0"/>
        <w:rPr>
          <w:rFonts w:ascii="Times New Roman" w:hAnsi="Times New Roman" w:cs="Times New Roman"/>
          <w:szCs w:val="24"/>
        </w:rPr>
      </w:pPr>
      <w:r w:rsidRPr="00C3452A">
        <w:rPr>
          <w:rFonts w:ascii="Times New Roman" w:hAnsi="Times New Roman" w:cs="Times New Roman"/>
          <w:b w:val="0"/>
          <w:szCs w:val="24"/>
        </w:rPr>
        <w:t>Legislatívno-technická úprava.</w:t>
      </w:r>
    </w:p>
    <w:p w:rsidR="00581CC3" w:rsidRPr="00C3452A" w:rsidP="00581CC3">
      <w:pPr>
        <w:tabs>
          <w:tab w:val="num" w:pos="360"/>
          <w:tab w:val="left" w:pos="426"/>
        </w:tabs>
        <w:bidi w:val="0"/>
        <w:rPr>
          <w:rFonts w:ascii="Times New Roman" w:hAnsi="Times New Roman"/>
          <w:b/>
        </w:rPr>
      </w:pPr>
    </w:p>
    <w:p w:rsidR="00581CC3" w:rsidRPr="00C3452A" w:rsidP="00581CC3">
      <w:pPr>
        <w:tabs>
          <w:tab w:val="num" w:pos="360"/>
          <w:tab w:val="left" w:pos="426"/>
        </w:tabs>
        <w:bidi w:val="0"/>
        <w:rPr>
          <w:rFonts w:ascii="Times New Roman" w:hAnsi="Times New Roman"/>
          <w:b/>
        </w:rPr>
      </w:pPr>
      <w:r w:rsidRPr="00C3452A">
        <w:rPr>
          <w:rFonts w:ascii="Times New Roman" w:hAnsi="Times New Roman"/>
          <w:b/>
        </w:rPr>
        <w:t>K bodu 3</w:t>
      </w:r>
    </w:p>
    <w:p w:rsidR="00581CC3" w:rsidRPr="00C3452A" w:rsidP="00581CC3">
      <w:pPr>
        <w:pStyle w:val="Heading3"/>
        <w:bidi w:val="0"/>
        <w:spacing w:before="0" w:after="0"/>
        <w:rPr>
          <w:rFonts w:ascii="Times New Roman" w:hAnsi="Times New Roman" w:cs="Times New Roman"/>
          <w:b w:val="0"/>
          <w:szCs w:val="24"/>
        </w:rPr>
      </w:pPr>
    </w:p>
    <w:p w:rsidR="00581CC3" w:rsidRPr="00C3452A" w:rsidP="00581CC3">
      <w:pPr>
        <w:pStyle w:val="Heading3"/>
        <w:bidi w:val="0"/>
        <w:spacing w:before="0" w:after="0"/>
        <w:rPr>
          <w:rFonts w:ascii="Times New Roman" w:hAnsi="Times New Roman" w:cs="Times New Roman"/>
          <w:szCs w:val="24"/>
        </w:rPr>
      </w:pPr>
      <w:r w:rsidRPr="00C3452A">
        <w:rPr>
          <w:rFonts w:ascii="Times New Roman" w:hAnsi="Times New Roman" w:cs="Times New Roman"/>
          <w:b w:val="0"/>
          <w:szCs w:val="24"/>
        </w:rPr>
        <w:t>Legislatívno-technická úprava vzhľadom na spresnenie definície, čo sa považuje za pozemok podľa toho zákona.</w:t>
      </w:r>
    </w:p>
    <w:p w:rsidR="00581CC3" w:rsidRPr="00C3452A" w:rsidP="00581CC3">
      <w:pPr>
        <w:tabs>
          <w:tab w:val="num" w:pos="360"/>
          <w:tab w:val="left" w:pos="426"/>
        </w:tabs>
        <w:bidi w:val="0"/>
        <w:spacing w:before="60"/>
        <w:rPr>
          <w:rFonts w:ascii="Times New Roman" w:hAnsi="Times New Roman"/>
        </w:rPr>
      </w:pPr>
    </w:p>
    <w:p w:rsidR="00581CC3" w:rsidRPr="00C3452A" w:rsidP="00581CC3">
      <w:pPr>
        <w:tabs>
          <w:tab w:val="num" w:pos="360"/>
          <w:tab w:val="left" w:pos="426"/>
        </w:tabs>
        <w:bidi w:val="0"/>
        <w:spacing w:before="60"/>
        <w:rPr>
          <w:rFonts w:ascii="Times New Roman" w:hAnsi="Times New Roman"/>
          <w:b/>
        </w:rPr>
      </w:pPr>
      <w:r w:rsidRPr="00C3452A">
        <w:rPr>
          <w:rFonts w:ascii="Times New Roman" w:hAnsi="Times New Roman"/>
          <w:b/>
        </w:rPr>
        <w:t xml:space="preserve">K bodu 4 </w:t>
      </w:r>
    </w:p>
    <w:p w:rsidR="00581CC3" w:rsidRPr="00C3452A" w:rsidP="00581CC3">
      <w:pPr>
        <w:pStyle w:val="CommentText"/>
        <w:bidi w:val="0"/>
        <w:rPr>
          <w:rFonts w:ascii="Times New Roman" w:hAnsi="Times New Roman"/>
          <w:sz w:val="24"/>
          <w:szCs w:val="24"/>
        </w:rPr>
      </w:pPr>
    </w:p>
    <w:p w:rsidR="00581CC3" w:rsidRPr="00C3452A" w:rsidP="00581CC3">
      <w:pPr>
        <w:pStyle w:val="CommentText"/>
        <w:bidi w:val="0"/>
        <w:rPr>
          <w:rFonts w:ascii="Times New Roman" w:hAnsi="Times New Roman"/>
          <w:sz w:val="24"/>
          <w:szCs w:val="24"/>
        </w:rPr>
      </w:pPr>
      <w:r w:rsidRPr="00C3452A">
        <w:rPr>
          <w:rFonts w:ascii="Times New Roman" w:hAnsi="Times New Roman"/>
          <w:sz w:val="24"/>
          <w:szCs w:val="24"/>
        </w:rPr>
        <w:t>V súvislosti s  doplnením definície pozemku sa spresňuje určenie výšky nájomného pri pozemku, ktorý je evidovaný v katastri nehnuteľností v registri „C“ ako zastavaná plocha a  nádvorie, slúžiaci na poľnohospodárske účely alebo časť tohto pozemku alebo pozemok zastavaný stavbou slúžiacou na poľnohospodárske účely alebo časť tohto pozemku. Touto úpravou sa zákonodarca snaží reagovať na absenciu mechanizmov výpočtu nájomného za pozemky, ktoré nie sú v katastri nehnuteľností evidované ako poľnohospodárska pôda, resp. ostatná plocha, a zároveň odpovedať na časté otázky aplikačnej praxe ohľadom rozdielnosti povahy majetkového substrátu pozemkov definovaných v § 1 ods. 2 písm. a) a c) v porovnaní s pozemkami definovanými v § 1 ods. 2 písm. b).</w:t>
      </w:r>
    </w:p>
    <w:p w:rsidR="00581CC3" w:rsidRPr="00C3452A" w:rsidP="00581CC3">
      <w:pPr>
        <w:widowControl w:val="0"/>
        <w:shd w:val="clear" w:color="auto" w:fill="FFFFFF"/>
        <w:bidi w:val="0"/>
        <w:rPr>
          <w:rFonts w:ascii="Times New Roman" w:hAnsi="Times New Roman"/>
          <w:b/>
        </w:rPr>
      </w:pPr>
    </w:p>
    <w:p w:rsidR="00581CC3" w:rsidRPr="00C3452A" w:rsidP="00581CC3">
      <w:pPr>
        <w:widowControl w:val="0"/>
        <w:shd w:val="clear" w:color="auto" w:fill="FFFFFF"/>
        <w:bidi w:val="0"/>
        <w:rPr>
          <w:rFonts w:ascii="Times New Roman" w:hAnsi="Times New Roman"/>
          <w:b/>
        </w:rPr>
      </w:pPr>
      <w:r w:rsidRPr="00C3452A">
        <w:rPr>
          <w:rFonts w:ascii="Times New Roman" w:hAnsi="Times New Roman"/>
          <w:b/>
        </w:rPr>
        <w:t>K bodom  5 a 6</w:t>
      </w:r>
    </w:p>
    <w:p w:rsidR="00581CC3" w:rsidRPr="00C3452A" w:rsidP="00581CC3">
      <w:pPr>
        <w:widowControl w:val="0"/>
        <w:shd w:val="clear" w:color="auto" w:fill="FFFFFF"/>
        <w:bidi w:val="0"/>
        <w:rPr>
          <w:rFonts w:ascii="Times New Roman" w:hAnsi="Times New Roman" w:eastAsiaTheme="minorEastAsia"/>
        </w:rPr>
      </w:pPr>
    </w:p>
    <w:p w:rsidR="00581CC3" w:rsidRPr="00C3452A" w:rsidP="00581CC3">
      <w:pPr>
        <w:widowControl w:val="0"/>
        <w:shd w:val="clear" w:color="auto" w:fill="FFFFFF"/>
        <w:bidi w:val="0"/>
        <w:rPr>
          <w:rFonts w:ascii="Times New Roman" w:hAnsi="Times New Roman"/>
        </w:rPr>
      </w:pPr>
      <w:r w:rsidRPr="00C3452A">
        <w:rPr>
          <w:rFonts w:ascii="Times New Roman" w:hAnsi="Times New Roman"/>
        </w:rPr>
        <w:t xml:space="preserve">Legislatívno-technická úprava.  </w:t>
      </w:r>
    </w:p>
    <w:p w:rsidR="00581CC3" w:rsidRPr="00C3452A" w:rsidP="00581CC3">
      <w:pPr>
        <w:widowControl w:val="0"/>
        <w:shd w:val="clear" w:color="auto" w:fill="FFFFFF"/>
        <w:bidi w:val="0"/>
        <w:rPr>
          <w:rFonts w:ascii="Times New Roman" w:hAnsi="Times New Roman"/>
          <w:b/>
        </w:rPr>
      </w:pPr>
    </w:p>
    <w:p w:rsidR="00581CC3" w:rsidRPr="00C3452A" w:rsidP="00581CC3">
      <w:pPr>
        <w:widowControl w:val="0"/>
        <w:shd w:val="clear" w:color="auto" w:fill="FFFFFF"/>
        <w:bidi w:val="0"/>
        <w:rPr>
          <w:rFonts w:ascii="Times New Roman" w:hAnsi="Times New Roman"/>
          <w:b/>
        </w:rPr>
      </w:pPr>
      <w:r w:rsidRPr="00C3452A">
        <w:rPr>
          <w:rFonts w:ascii="Times New Roman" w:hAnsi="Times New Roman"/>
          <w:b/>
        </w:rPr>
        <w:t>K bodu 7</w:t>
      </w:r>
    </w:p>
    <w:p w:rsidR="00581CC3" w:rsidRPr="00C3452A" w:rsidP="00581CC3">
      <w:pPr>
        <w:widowControl w:val="0"/>
        <w:shd w:val="clear" w:color="auto" w:fill="FFFFFF"/>
        <w:bidi w:val="0"/>
        <w:rPr>
          <w:rFonts w:ascii="Times New Roman" w:hAnsi="Times New Roman" w:eastAsiaTheme="minorEastAsia"/>
        </w:rPr>
      </w:pPr>
    </w:p>
    <w:p w:rsidR="00581CC3" w:rsidRPr="00C3452A" w:rsidP="00581CC3">
      <w:pPr>
        <w:widowControl w:val="0"/>
        <w:shd w:val="clear" w:color="auto" w:fill="FFFFFF"/>
        <w:bidi w:val="0"/>
        <w:rPr>
          <w:rFonts w:ascii="Times New Roman" w:hAnsi="Times New Roman"/>
        </w:rPr>
      </w:pPr>
      <w:r w:rsidRPr="00C3452A">
        <w:rPr>
          <w:rFonts w:ascii="Times New Roman" w:hAnsi="Times New Roman"/>
        </w:rPr>
        <w:t>Novela zákona reaguje na potreby aplikačnej praxe a vypúšťa doterajšiu úpravu automatickej obnovy nájomného vzťahu v prípade, ak rok pred uplynutím času, na ktorý bol nájom dohodnutý, prenajímateľ nevyzval nájomcu na vrátenie pozemkov, resp. nájomca nevyzval prenajímateľa na prevzatie pozemkov. Takáto právna úprava často viedla k sporom a k neprehľadnosti v dojednaniach týkajúcich sa užívania pozemkov. Akreditovaný orgán štátnej správy zabezpečujúci administratívnu činnosť pri poskytovaní podpory v poľnohospodárstve detekoval automatickú obnovu nájomného vzťahu ako častú príčinu tzv. dvojitých deklarácií. Takéto jeho zistenia následne môžu brzdiť výplatu priamych platieb aj tým subjektom, ktoré – s ohľadom na systém priamych platieb viazaných na pôdne bloky–dvojitú deklaráciu nespôsobili. Navyše, ako vyplýva z doterajších zistení tohto orgánu, následné riešenia v záujme odstránenia vzniknutých nejasností (s ohľadom na povinnosť výkonu kontrolnej činnosti presne určenými subjektmi) si vyžadujú finančné náklady v rozsahu cca 450 € – 500 € denne.</w:t>
      </w:r>
    </w:p>
    <w:p w:rsidR="00581CC3" w:rsidRPr="00C3452A" w:rsidP="00581CC3">
      <w:pPr>
        <w:widowControl w:val="0"/>
        <w:shd w:val="clear" w:color="auto" w:fill="FFFFFF"/>
        <w:bidi w:val="0"/>
        <w:rPr>
          <w:rFonts w:ascii="Times New Roman" w:hAnsi="Times New Roman"/>
        </w:rPr>
      </w:pPr>
      <w:r w:rsidRPr="00C3452A">
        <w:rPr>
          <w:rFonts w:ascii="Times New Roman" w:hAnsi="Times New Roman"/>
        </w:rPr>
        <w:t>Zrušením automatickej obnovy nájomného vzťahu z dôvodu uvedeného v doterajšom § 12 ods. 1 má predkladateľ ambíciu posilniť jednak práva vlastníka pozemku a jednak stabilitu podnikateľského prostredia pre tie subjekty, ktoré pôdu skutočne obhospodarujú, so súčasným vytvorením podmienok na prístup k pôde ďalším podnikateľským subjektom.</w:t>
      </w:r>
    </w:p>
    <w:p w:rsidR="00581CC3" w:rsidRPr="00C3452A" w:rsidP="00581CC3">
      <w:pPr>
        <w:widowControl w:val="0"/>
        <w:shd w:val="clear" w:color="auto" w:fill="FFFFFF"/>
        <w:bidi w:val="0"/>
        <w:rPr>
          <w:rFonts w:ascii="Times New Roman" w:hAnsi="Times New Roman"/>
        </w:rPr>
      </w:pPr>
    </w:p>
    <w:p w:rsidR="00581CC3" w:rsidRPr="00C3452A" w:rsidP="00581CC3">
      <w:pPr>
        <w:widowControl w:val="0"/>
        <w:shd w:val="clear" w:color="auto" w:fill="FFFFFF"/>
        <w:bidi w:val="0"/>
        <w:rPr>
          <w:rFonts w:ascii="Times New Roman" w:hAnsi="Times New Roman"/>
          <w:b/>
        </w:rPr>
      </w:pPr>
      <w:r w:rsidRPr="00C3452A">
        <w:rPr>
          <w:rFonts w:ascii="Times New Roman" w:hAnsi="Times New Roman"/>
          <w:b/>
        </w:rPr>
        <w:t>K bodu 8</w:t>
      </w:r>
    </w:p>
    <w:p w:rsidR="00581CC3" w:rsidRPr="00C3452A" w:rsidP="00581CC3">
      <w:pPr>
        <w:bidi w:val="0"/>
        <w:rPr>
          <w:rFonts w:ascii="Times New Roman" w:hAnsi="Times New Roman"/>
        </w:rPr>
      </w:pPr>
    </w:p>
    <w:p w:rsidR="00581CC3" w:rsidRPr="00C3452A" w:rsidP="00581CC3">
      <w:pPr>
        <w:bidi w:val="0"/>
        <w:rPr>
          <w:rFonts w:ascii="Times New Roman" w:hAnsi="Times New Roman"/>
        </w:rPr>
      </w:pPr>
      <w:r w:rsidRPr="00C3452A">
        <w:rPr>
          <w:rFonts w:ascii="Times New Roman" w:hAnsi="Times New Roman"/>
        </w:rPr>
        <w:t xml:space="preserve">Novela spresňuje doterajšiu úpravu týkajúcu sa pozemku, ktorý je užívaný bez nájomnej zmluvy. </w:t>
      </w:r>
    </w:p>
    <w:p w:rsidR="00581CC3" w:rsidRPr="00C3452A" w:rsidP="00581CC3">
      <w:pPr>
        <w:bidi w:val="0"/>
        <w:spacing w:before="120"/>
        <w:rPr>
          <w:rFonts w:ascii="Times New Roman" w:hAnsi="Times New Roman"/>
        </w:rPr>
      </w:pPr>
      <w:r w:rsidRPr="00C3452A">
        <w:rPr>
          <w:rFonts w:ascii="Times New Roman" w:hAnsi="Times New Roman"/>
        </w:rPr>
        <w:t xml:space="preserve">Pre účely usporiadania vzájomných vzťahov medzi vlastníkom takéhoto pozemku a jeho užívateľom bude v prípade podielového spoluvlastníctva pozemku na uzatvorenie nájomnej zmluvy, resp. na výzvu v súvislosti s vrátením a prevzatím pozemku postačovať súhlas nadpolovičnej väčšiny podielových spoluvlastníkov s tým, že v opačnom prípade musí užívateľ vrátiť pozemok do 30 dní po zbere úrody.  </w:t>
      </w:r>
    </w:p>
    <w:p w:rsidR="00581CC3" w:rsidRPr="00C3452A" w:rsidP="00581CC3">
      <w:pPr>
        <w:bidi w:val="0"/>
        <w:spacing w:before="120"/>
        <w:rPr>
          <w:rFonts w:ascii="Times New Roman" w:hAnsi="Times New Roman"/>
        </w:rPr>
      </w:pPr>
      <w:r w:rsidRPr="00C3452A">
        <w:rPr>
          <w:rFonts w:ascii="Times New Roman" w:hAnsi="Times New Roman"/>
        </w:rPr>
        <w:t>V rámci korektnosti vzájomných vzťahov sa na strane druhej zavádza dvojmesačná lehota, v ktorej má vlastník pozemku buď prijať návrh nájomnej zmluvy od užívateľa (pričom užívateľ vlastníka pri návrhu nájomnej zmluvy upozorní na dôsledky nekonania) pozemku (ktorý bol doteraz užívaný bez nájomnej zmluvy), alebo tento návrh odmietnuť, resp. vyzvať užívateľa na vrátenie pozemku, keďže ak k jednému z týchto úkonov nepríde, má sa za to, že vznikol nájomný vzťah na neurčitý čas, ktorý bude možné vypovedať v rámci jednoročnej výpovednej lehoty k 1. novembru.</w:t>
      </w:r>
    </w:p>
    <w:p w:rsidR="00581CC3" w:rsidRPr="00C3452A" w:rsidP="00581CC3">
      <w:pPr>
        <w:widowControl w:val="0"/>
        <w:shd w:val="clear" w:color="auto" w:fill="FFFFFF"/>
        <w:bidi w:val="0"/>
        <w:spacing w:before="240"/>
        <w:rPr>
          <w:rFonts w:ascii="Times New Roman" w:hAnsi="Times New Roman"/>
        </w:rPr>
      </w:pPr>
      <w:r w:rsidRPr="00C3452A">
        <w:rPr>
          <w:rFonts w:ascii="Times New Roman" w:hAnsi="Times New Roman"/>
        </w:rPr>
        <w:t xml:space="preserve">Spresňuje sa tiež postup v prípadoch, ak počas platnosti a účinnosti nájomnej zmluvy dôjde k predaju podniku, predaju väčšinového podielu, predaju väčšiny majetkových podielov alebo väčšiny akcií doterajšieho nájomcu. Zavádza sa povinnosť pre nájomcu zverejniť oznámenie o tejto skutočnosti po dobu 15 dní  na úradnej tabuli obce, v katastrálnom území ktorej sa pozemok nachádza. Novela zákona dáva prenajímateľ možnosť rozhodnúť sa ukončiť nájomný vzťah; a to v lehote 6 mesiacov odo dňa zvesenia oznámenia, že došlo k predaju podniku, predaju väčšinového podielu, predaju väčšiny majetkových podielov alebo väčšiny akcií doterajšieho nájomcu alebo odo dňa, keď sa o tejto skutočnosti dozvedel. </w:t>
      </w:r>
    </w:p>
    <w:p w:rsidR="00581CC3" w:rsidRPr="00C3452A" w:rsidP="00581CC3">
      <w:pPr>
        <w:widowControl w:val="0"/>
        <w:bidi w:val="0"/>
        <w:rPr>
          <w:rFonts w:ascii="Times New Roman" w:hAnsi="Times New Roman" w:eastAsiaTheme="minorEastAsia"/>
          <w:b/>
        </w:rPr>
      </w:pPr>
    </w:p>
    <w:p w:rsidR="00581CC3" w:rsidRPr="00C3452A" w:rsidP="00581CC3">
      <w:pPr>
        <w:widowControl w:val="0"/>
        <w:bidi w:val="0"/>
        <w:rPr>
          <w:rFonts w:ascii="Times New Roman" w:hAnsi="Times New Roman"/>
        </w:rPr>
      </w:pPr>
      <w:r w:rsidRPr="00C3452A">
        <w:rPr>
          <w:rFonts w:ascii="Times New Roman" w:hAnsi="Times New Roman"/>
          <w:b/>
        </w:rPr>
        <w:t>K bodu 9</w:t>
      </w:r>
    </w:p>
    <w:p w:rsidR="00581CC3" w:rsidRPr="00C3452A" w:rsidP="00581CC3">
      <w:pPr>
        <w:widowControl w:val="0"/>
        <w:bidi w:val="0"/>
        <w:rPr>
          <w:rFonts w:ascii="Times New Roman" w:hAnsi="Times New Roman"/>
        </w:rPr>
      </w:pPr>
    </w:p>
    <w:p w:rsidR="00581CC3" w:rsidRPr="00C3452A" w:rsidP="00581CC3">
      <w:pPr>
        <w:widowControl w:val="0"/>
        <w:bidi w:val="0"/>
        <w:rPr>
          <w:rFonts w:ascii="Times New Roman" w:hAnsi="Times New Roman"/>
        </w:rPr>
      </w:pPr>
      <w:r w:rsidRPr="00C3452A">
        <w:rPr>
          <w:rFonts w:ascii="Times New Roman" w:hAnsi="Times New Roman"/>
        </w:rPr>
        <w:t>Špecifikuje sa procesný postup pri vzniku podnájomného vzťahu v prípadoch, kedy nájomca užíva pozemky, kde sa zmluvný alebo zákonný nájom skončil alebo sa má skončiť. Je uprednostňovaná dohoda medzi nájomcom a doterajším prenajímateľom (teda vlastníkom pozemku) o vzniku podnájomnej zmluvy, ak však k jej uzavretiu do 60 dní odo dňa podania žiadosti doterajšieho prenajímateľa  o uzavretie podnájomnej zmluvy adresovanej nájomcovi nepríde, doterajší prenajímateľ podá na príslušný okresný úrad žiadosť o vydanie rozhodnutia, že k určeným pozemkom vzniká v jeho prospech podnájomný vzťah.</w:t>
      </w:r>
    </w:p>
    <w:p w:rsidR="00581CC3" w:rsidRPr="00C3452A" w:rsidP="00581CC3">
      <w:pPr>
        <w:pStyle w:val="Parods"/>
        <w:numPr>
          <w:numId w:val="0"/>
        </w:numPr>
        <w:bidi w:val="0"/>
        <w:ind w:firstLine="0"/>
        <w:rPr>
          <w:rFonts w:ascii="Times New Roman" w:hAnsi="Times New Roman"/>
          <w:sz w:val="24"/>
          <w:szCs w:val="24"/>
        </w:rPr>
      </w:pPr>
      <w:r w:rsidRPr="00C3452A">
        <w:rPr>
          <w:rFonts w:ascii="Times New Roman" w:hAnsi="Times New Roman"/>
          <w:sz w:val="24"/>
          <w:szCs w:val="24"/>
        </w:rPr>
        <w:t xml:space="preserve">Špecifikujú sa preto práva a povinnosti nájomcu a doterajšieho prenajímateľa pri vzniku podnájomného vzťahu, ako aj kompetencie okresného úradu pri vedení správneho konania v prípadoch, ak nájomca nesplní povinnosť uzatvoriť s vlastníkom podnájomnú zmluvu. </w:t>
      </w:r>
    </w:p>
    <w:p w:rsidR="00581CC3" w:rsidRPr="00C3452A" w:rsidP="00581CC3">
      <w:pPr>
        <w:pStyle w:val="Parods"/>
        <w:numPr>
          <w:numId w:val="0"/>
        </w:numPr>
        <w:bidi w:val="0"/>
        <w:ind w:firstLine="0"/>
        <w:rPr>
          <w:rFonts w:ascii="Times New Roman" w:hAnsi="Times New Roman"/>
          <w:sz w:val="24"/>
          <w:szCs w:val="24"/>
        </w:rPr>
      </w:pPr>
      <w:r w:rsidRPr="00C3452A">
        <w:rPr>
          <w:rFonts w:ascii="Times New Roman" w:hAnsi="Times New Roman"/>
          <w:sz w:val="24"/>
          <w:szCs w:val="24"/>
        </w:rPr>
        <w:t>Vyčleňovanie podnájomného pozemku v teréne sa realizuje prostredníctvom rozdeľovacieho plánu, ktorý obsahuje jednoznačné geometrické a polohové určenie podnájomného pozemku v záväznom zobrazovacom systéme S-JTSK, pričom náklady na jeho vyhotovenie znášajú nájomca a doterajší prenajímateľ rovnakým dielom.</w:t>
      </w:r>
    </w:p>
    <w:p w:rsidR="00581CC3" w:rsidRPr="00C3452A" w:rsidP="00581CC3">
      <w:pPr>
        <w:widowControl w:val="0"/>
        <w:bidi w:val="0"/>
        <w:rPr>
          <w:rFonts w:ascii="Times New Roman" w:hAnsi="Times New Roman"/>
        </w:rPr>
      </w:pPr>
    </w:p>
    <w:p w:rsidR="00581CC3" w:rsidRPr="00C3452A" w:rsidP="00581CC3">
      <w:pPr>
        <w:widowControl w:val="0"/>
        <w:bidi w:val="0"/>
        <w:rPr>
          <w:rFonts w:ascii="Times New Roman" w:hAnsi="Times New Roman"/>
        </w:rPr>
      </w:pPr>
      <w:r w:rsidRPr="00C3452A">
        <w:rPr>
          <w:rFonts w:ascii="Times New Roman" w:hAnsi="Times New Roman"/>
        </w:rPr>
        <w:t xml:space="preserve">Ak ide o podielového spoluvlastníka, ktorý nedisponuje nadpolovičným spoluvlastníckym podielom na pozemku, pre postup podľa § 12a bude potrebné doložiť písomný súhlas ďalších spoluvlastníkov tak, aby súčet spoluvlastníckeho podielu žiadateľa o postup podľa § 12a spolu so získanými súhlasmi spoluvlastníkov tvoril nadpolovičný spoluvlastnícky podiel na predmetnom pozemku. </w:t>
      </w:r>
    </w:p>
    <w:p w:rsidR="00581CC3" w:rsidRPr="00C3452A" w:rsidP="00581CC3">
      <w:pPr>
        <w:widowControl w:val="0"/>
        <w:bidi w:val="0"/>
        <w:rPr>
          <w:rFonts w:ascii="Times New Roman" w:hAnsi="Times New Roman" w:eastAsiaTheme="minorEastAsia"/>
        </w:rPr>
      </w:pPr>
      <w:r w:rsidRPr="00C3452A">
        <w:rPr>
          <w:rFonts w:ascii="Times New Roman" w:hAnsi="Times New Roman"/>
        </w:rPr>
        <w:t xml:space="preserve">Postup podľa § 12a môže použiť aj fyzická osoba alebo právnická osoba, ktorá má s vlastníkom pozemkov uzatvorenú nájomnú zmluvu („budúci obhospodarovateľ“), a to po predložení tejto novej nájomnej zmluvy na pozemky, kde sa zmluvný nájom skončil alebo sa má skončiť, pričom je zrejmé, že ide o neprístupné pozemky alebo pozemky, ktoré nemožno racionálne užívať, s tým, že podnájomný vzťah už vznikne priamo v prospech tohto budúceho obhospodarovateľa. </w:t>
      </w:r>
    </w:p>
    <w:p w:rsidR="00581CC3" w:rsidRPr="00C3452A" w:rsidP="00581CC3">
      <w:pPr>
        <w:pStyle w:val="Parods"/>
        <w:numPr>
          <w:numId w:val="0"/>
        </w:numPr>
        <w:bidi w:val="0"/>
        <w:spacing w:before="0"/>
        <w:ind w:left="360" w:hanging="360"/>
        <w:rPr>
          <w:rFonts w:ascii="Times New Roman" w:hAnsi="Times New Roman"/>
          <w:b/>
          <w:sz w:val="24"/>
          <w:szCs w:val="24"/>
        </w:rPr>
      </w:pPr>
    </w:p>
    <w:p w:rsidR="00581CC3" w:rsidRPr="00C3452A" w:rsidP="00581CC3">
      <w:pPr>
        <w:pStyle w:val="CommentText"/>
        <w:bidi w:val="0"/>
        <w:ind w:left="709" w:hanging="709"/>
        <w:rPr>
          <w:rFonts w:ascii="Times New Roman" w:hAnsi="Times New Roman"/>
          <w:b/>
          <w:sz w:val="24"/>
          <w:szCs w:val="24"/>
        </w:rPr>
      </w:pPr>
      <w:r w:rsidRPr="00C3452A">
        <w:rPr>
          <w:rFonts w:ascii="Times New Roman" w:hAnsi="Times New Roman"/>
          <w:b/>
          <w:sz w:val="24"/>
          <w:szCs w:val="24"/>
        </w:rPr>
        <w:t xml:space="preserve">K bodom 10 a 11 </w:t>
      </w:r>
    </w:p>
    <w:p w:rsidR="00581CC3" w:rsidRPr="00C3452A" w:rsidP="00581CC3">
      <w:pPr>
        <w:pStyle w:val="CommentText"/>
        <w:bidi w:val="0"/>
        <w:rPr>
          <w:rFonts w:ascii="Times New Roman" w:hAnsi="Times New Roman"/>
          <w:sz w:val="24"/>
          <w:szCs w:val="24"/>
        </w:rPr>
      </w:pPr>
    </w:p>
    <w:p w:rsidR="00581CC3" w:rsidRPr="00C3452A" w:rsidP="00581CC3">
      <w:pPr>
        <w:pStyle w:val="CommentText"/>
        <w:bidi w:val="0"/>
        <w:rPr>
          <w:rFonts w:ascii="Times New Roman" w:hAnsi="Times New Roman"/>
          <w:sz w:val="24"/>
          <w:szCs w:val="24"/>
        </w:rPr>
      </w:pPr>
      <w:r w:rsidRPr="00C3452A">
        <w:rPr>
          <w:rFonts w:ascii="Times New Roman" w:hAnsi="Times New Roman"/>
          <w:sz w:val="24"/>
          <w:szCs w:val="24"/>
        </w:rPr>
        <w:t>Prednostné právo na uzavretie novej nájomnej zmluvy je v aplikačnej praxi často predmetom rôznych výkladov a sporov ohľadom jeho vykonateľnosti. V snahe obmedziť možné súdne spory ohľadom realizácie tohto práva novela definuje prípady, kedy sa toto právo pri uzatváraní nových nájomných zmlúv neuplatní(nájomca neplní záväzky zo zmluvy riadne a včas; prenajímateľ podniká v poľnohospodárstve; ak by mal byť nájomcom blízka osoba prenajímateľa; ak by mal byť nájomcom právnická osoba, ktorej je prenajímateľ členom alebo spoločníkom; ak ide o pozemok, ktorý je podľa osobitného predpisu určený na iné ako poľnohospodárske účely</w:t>
      </w:r>
      <w:r w:rsidRPr="00C3452A">
        <w:rPr>
          <w:rFonts w:ascii="Times New Roman" w:hAnsi="Times New Roman"/>
          <w:strike/>
          <w:sz w:val="24"/>
          <w:szCs w:val="24"/>
        </w:rPr>
        <w:t>)</w:t>
      </w:r>
      <w:r w:rsidRPr="00C3452A">
        <w:rPr>
          <w:rFonts w:ascii="Times New Roman" w:hAnsi="Times New Roman"/>
          <w:sz w:val="24"/>
          <w:szCs w:val="24"/>
        </w:rPr>
        <w:t>, ak došlo k prevodu alebo prechodu vlastníckeho práva k pozemku). S ohľadom na posledný dôvod nemožnosti realizácie prednostného práva  nájomcu je potrebné uviesť, že nový vlastník pozemku v súlade s § 680 ods. 2 Občianskeho zákonníka síce vstupuje do právneho postavenia prenajímateľa, avšak len do doby nájmu dohodnutej v platnej a účinnej nájomnej zmluvy. Následne pri uzatváraní novej nájomnej zmluvy už nie je obmedzený prednostným právom nájomcu, čo však samozrejme nevylučuje, že novú nájomnú zmluvu opätovne uzavrie s dovtedajším nájomcom. Novela tiež stanovila, že v prípade nerešpektovania prednostného práva na nájom sa právny úkon prenajímateľa bude považovať za neplatný, pokiaľ sa ten, kto je takýmto úkonom dotknutý (nájomca), neplatnosti právneho úkonu dovolá.</w:t>
      </w:r>
    </w:p>
    <w:p w:rsidR="00581CC3" w:rsidRPr="00C3452A" w:rsidP="00581CC3">
      <w:pPr>
        <w:pStyle w:val="CommentText"/>
        <w:bidi w:val="0"/>
        <w:rPr>
          <w:rFonts w:ascii="Times New Roman" w:hAnsi="Times New Roman"/>
          <w:sz w:val="24"/>
          <w:szCs w:val="24"/>
        </w:rPr>
      </w:pPr>
    </w:p>
    <w:p w:rsidR="00581CC3" w:rsidRPr="00C3452A" w:rsidP="00581CC3">
      <w:pPr>
        <w:pStyle w:val="CommentText"/>
        <w:bidi w:val="0"/>
        <w:rPr>
          <w:rFonts w:ascii="Times New Roman" w:hAnsi="Times New Roman"/>
          <w:sz w:val="24"/>
          <w:szCs w:val="24"/>
        </w:rPr>
      </w:pPr>
      <w:r w:rsidRPr="00C3452A">
        <w:rPr>
          <w:rFonts w:ascii="Times New Roman" w:hAnsi="Times New Roman"/>
          <w:sz w:val="24"/>
          <w:szCs w:val="24"/>
        </w:rPr>
        <w:t xml:space="preserve">Novela zároveň spresňuje akým postupom a za akých podmienok nájomca realizuje svoje prednostné právo s tým, že najskôr rok pred uplynutím času, na ktorý bol nájom dohodnutý, musí preukázateľným spôsobom doručiť prenajímateľovi návrh novej nájomnej zmluvy. Ak sa na prenajímateľa vzťahuje niektorý z dôvodov uvedených v odseku 2 alebo má prenajímateľ za to, že navrhnutá výška nájomného nie je obvyklá nájomnému za poľnohospodársku pôdu v danom katastrálnom území, mal by návrh nájomcu do dvoch mesiacov odo dňa jeho doručenia odmietnuť. V opačnom prípade vznikne nájomný vzťah za podmienok uvedených v návrhu nájomnej zmluvy, ktorú mu nájomca zaslal. </w:t>
      </w:r>
    </w:p>
    <w:p w:rsidR="00581CC3" w:rsidRPr="00C3452A" w:rsidP="00581CC3">
      <w:pPr>
        <w:pStyle w:val="CommentText"/>
        <w:bidi w:val="0"/>
        <w:rPr>
          <w:rFonts w:ascii="Times New Roman" w:hAnsi="Times New Roman"/>
          <w:sz w:val="24"/>
          <w:szCs w:val="24"/>
        </w:rPr>
      </w:pPr>
    </w:p>
    <w:p w:rsidR="00581CC3" w:rsidRPr="00C3452A" w:rsidP="00581CC3">
      <w:pPr>
        <w:pStyle w:val="Parods"/>
        <w:numPr>
          <w:numId w:val="0"/>
        </w:numPr>
        <w:bidi w:val="0"/>
        <w:spacing w:before="0"/>
        <w:ind w:left="357" w:hanging="357"/>
        <w:rPr>
          <w:rFonts w:ascii="Times New Roman" w:hAnsi="Times New Roman"/>
          <w:b/>
          <w:sz w:val="24"/>
          <w:szCs w:val="24"/>
        </w:rPr>
      </w:pPr>
      <w:r w:rsidRPr="00C3452A">
        <w:rPr>
          <w:rFonts w:ascii="Times New Roman" w:hAnsi="Times New Roman"/>
          <w:b/>
          <w:sz w:val="24"/>
          <w:szCs w:val="24"/>
        </w:rPr>
        <w:t>K bodu 12 až 15</w:t>
      </w:r>
    </w:p>
    <w:p w:rsidR="00581CC3" w:rsidRPr="00C3452A" w:rsidP="00581CC3">
      <w:pPr>
        <w:pStyle w:val="Parods"/>
        <w:numPr>
          <w:numId w:val="0"/>
        </w:numPr>
        <w:bidi w:val="0"/>
        <w:spacing w:before="0"/>
        <w:ind w:left="357" w:hanging="357"/>
        <w:rPr>
          <w:rFonts w:ascii="Times New Roman" w:hAnsi="Times New Roman"/>
          <w:sz w:val="24"/>
          <w:szCs w:val="24"/>
        </w:rPr>
      </w:pPr>
    </w:p>
    <w:p w:rsidR="00581CC3" w:rsidRPr="00C3452A" w:rsidP="00581CC3">
      <w:pPr>
        <w:pStyle w:val="Parods"/>
        <w:numPr>
          <w:numId w:val="0"/>
        </w:numPr>
        <w:bidi w:val="0"/>
        <w:spacing w:before="0"/>
        <w:ind w:left="357" w:hanging="357"/>
        <w:rPr>
          <w:rFonts w:ascii="Times New Roman" w:hAnsi="Times New Roman"/>
          <w:sz w:val="24"/>
          <w:szCs w:val="24"/>
        </w:rPr>
      </w:pPr>
      <w:r w:rsidRPr="00C3452A">
        <w:rPr>
          <w:rFonts w:ascii="Times New Roman" w:hAnsi="Times New Roman"/>
          <w:sz w:val="24"/>
          <w:szCs w:val="24"/>
        </w:rPr>
        <w:t>Legislatívno-technická úprava.</w:t>
      </w:r>
    </w:p>
    <w:p w:rsidR="00581CC3" w:rsidRPr="00C3452A" w:rsidP="00581CC3">
      <w:pPr>
        <w:pStyle w:val="CommentText"/>
        <w:bidi w:val="0"/>
        <w:rPr>
          <w:rFonts w:ascii="Times New Roman" w:hAnsi="Times New Roman"/>
          <w:sz w:val="24"/>
          <w:szCs w:val="24"/>
        </w:rPr>
      </w:pPr>
    </w:p>
    <w:p w:rsidR="00581CC3" w:rsidRPr="00C3452A" w:rsidP="00581CC3">
      <w:pPr>
        <w:pStyle w:val="CommentText"/>
        <w:bidi w:val="0"/>
        <w:rPr>
          <w:rFonts w:ascii="Times New Roman" w:hAnsi="Times New Roman"/>
          <w:b/>
          <w:sz w:val="24"/>
          <w:szCs w:val="24"/>
        </w:rPr>
      </w:pPr>
    </w:p>
    <w:p w:rsidR="00581CC3" w:rsidRPr="00C3452A" w:rsidP="00581CC3">
      <w:pPr>
        <w:pStyle w:val="CommentText"/>
        <w:bidi w:val="0"/>
        <w:rPr>
          <w:rFonts w:ascii="Times New Roman" w:hAnsi="Times New Roman"/>
          <w:b/>
          <w:sz w:val="24"/>
          <w:szCs w:val="24"/>
        </w:rPr>
      </w:pPr>
      <w:r w:rsidRPr="00C3452A">
        <w:rPr>
          <w:rFonts w:ascii="Times New Roman" w:hAnsi="Times New Roman"/>
          <w:b/>
          <w:sz w:val="24"/>
          <w:szCs w:val="24"/>
        </w:rPr>
        <w:t>K bodu 16</w:t>
      </w:r>
    </w:p>
    <w:p w:rsidR="00581CC3" w:rsidRPr="00C3452A" w:rsidP="00581CC3">
      <w:pPr>
        <w:pStyle w:val="CommentText"/>
        <w:bidi w:val="0"/>
        <w:rPr>
          <w:rFonts w:ascii="Times New Roman" w:hAnsi="Times New Roman"/>
          <w:sz w:val="24"/>
          <w:szCs w:val="24"/>
        </w:rPr>
      </w:pPr>
    </w:p>
    <w:p w:rsidR="00581CC3" w:rsidRPr="00C3452A" w:rsidP="00581CC3">
      <w:pPr>
        <w:pStyle w:val="CommentText"/>
        <w:bidi w:val="0"/>
        <w:rPr>
          <w:rFonts w:ascii="Times New Roman" w:hAnsi="Times New Roman"/>
          <w:b/>
          <w:sz w:val="24"/>
          <w:szCs w:val="24"/>
        </w:rPr>
      </w:pPr>
      <w:r w:rsidRPr="00C3452A">
        <w:rPr>
          <w:rFonts w:ascii="Times New Roman" w:hAnsi="Times New Roman"/>
          <w:sz w:val="24"/>
          <w:szCs w:val="24"/>
        </w:rPr>
        <w:t>Precizuje sa povinnosť pre nájomcu viesť evidenciu pozemkov, ktoré vlastní alebo má prenajaté a pozemkov, ktoré obhospodaruje, ako aj povinnosť viesť a uchovávať evidenciu o dohodnutom a zaplatenom nájomnom. Informácie z takto evidovaných údajov budú pre potreby zavedenia väčšej prehľadnosti slúžiť pre rozhodovanie okresných úradov napr. v prípadoch určenia vydania rozhodnutia o vzniku podnájomného vzťahu,  zverejňovanie obvyklej výšky nájomného, ako aj Pôdohospodárskej platobnej agentúry v súvislosti s prideľovaním dotácií.  Podrobnosti o spôsobe vedenia týchto evidencií ako aj o spôsobe výpočtu a zverejňovania obvyklej výšky nájomného budú upravené vo vyhláške MPRV SR č. 249/2008 Z. z., ktorou sa ustanovujú podrobnosti o spôsobe vedenia evidencie pozemkov. Novela tiež určuje, aké druhy evidencií o právnych vzťahoch k pozemkom budú viesť okresné úrady.</w:t>
      </w:r>
    </w:p>
    <w:p w:rsidR="00581CC3" w:rsidRPr="00C3452A" w:rsidP="00581CC3">
      <w:pPr>
        <w:pStyle w:val="Parods"/>
        <w:numPr>
          <w:numId w:val="0"/>
        </w:numPr>
        <w:bidi w:val="0"/>
        <w:spacing w:before="0"/>
        <w:ind w:left="357" w:hanging="357"/>
        <w:rPr>
          <w:rFonts w:ascii="Times New Roman" w:hAnsi="Times New Roman"/>
          <w:b/>
          <w:sz w:val="24"/>
          <w:szCs w:val="24"/>
        </w:rPr>
      </w:pPr>
    </w:p>
    <w:p w:rsidR="00581CC3" w:rsidRPr="00C3452A" w:rsidP="00581CC3">
      <w:pPr>
        <w:pStyle w:val="Parods"/>
        <w:numPr>
          <w:numId w:val="0"/>
        </w:numPr>
        <w:bidi w:val="0"/>
        <w:spacing w:before="0"/>
        <w:ind w:left="357" w:hanging="357"/>
        <w:rPr>
          <w:rFonts w:ascii="Times New Roman" w:hAnsi="Times New Roman"/>
          <w:b/>
          <w:sz w:val="24"/>
          <w:szCs w:val="24"/>
        </w:rPr>
      </w:pPr>
      <w:r w:rsidRPr="00C3452A">
        <w:rPr>
          <w:rFonts w:ascii="Times New Roman" w:hAnsi="Times New Roman"/>
          <w:b/>
          <w:sz w:val="24"/>
          <w:szCs w:val="24"/>
        </w:rPr>
        <w:t>K bodu 17</w:t>
      </w:r>
    </w:p>
    <w:p w:rsidR="00581CC3" w:rsidRPr="00C3452A" w:rsidP="00581CC3">
      <w:pPr>
        <w:pStyle w:val="Parods"/>
        <w:numPr>
          <w:numId w:val="0"/>
        </w:numPr>
        <w:bidi w:val="0"/>
        <w:spacing w:before="0"/>
        <w:ind w:left="357" w:hanging="357"/>
        <w:rPr>
          <w:rFonts w:ascii="Times New Roman" w:hAnsi="Times New Roman"/>
          <w:sz w:val="24"/>
          <w:szCs w:val="24"/>
        </w:rPr>
      </w:pPr>
    </w:p>
    <w:p w:rsidR="00581CC3" w:rsidRPr="00C3452A" w:rsidP="00581CC3">
      <w:pPr>
        <w:pStyle w:val="Parods"/>
        <w:numPr>
          <w:numId w:val="0"/>
        </w:numPr>
        <w:bidi w:val="0"/>
        <w:spacing w:before="0"/>
        <w:ind w:left="357" w:hanging="357"/>
        <w:rPr>
          <w:rFonts w:ascii="Times New Roman" w:hAnsi="Times New Roman"/>
          <w:sz w:val="24"/>
          <w:szCs w:val="24"/>
        </w:rPr>
      </w:pPr>
      <w:r w:rsidRPr="00C3452A">
        <w:rPr>
          <w:rFonts w:ascii="Times New Roman" w:hAnsi="Times New Roman"/>
          <w:sz w:val="24"/>
          <w:szCs w:val="24"/>
        </w:rPr>
        <w:t>Legislatívno-technická úprava.</w:t>
      </w:r>
    </w:p>
    <w:p w:rsidR="00581CC3" w:rsidRPr="00C3452A" w:rsidP="00581CC3">
      <w:pPr>
        <w:pStyle w:val="Parods"/>
        <w:numPr>
          <w:numId w:val="0"/>
        </w:numPr>
        <w:bidi w:val="0"/>
        <w:spacing w:before="0"/>
        <w:ind w:left="357" w:hanging="357"/>
        <w:rPr>
          <w:rFonts w:ascii="Times New Roman" w:hAnsi="Times New Roman"/>
          <w:b/>
          <w:sz w:val="24"/>
          <w:szCs w:val="24"/>
        </w:rPr>
      </w:pPr>
    </w:p>
    <w:p w:rsidR="00581CC3" w:rsidRPr="00C3452A" w:rsidP="00581CC3">
      <w:pPr>
        <w:pStyle w:val="Parods"/>
        <w:numPr>
          <w:numId w:val="0"/>
        </w:numPr>
        <w:bidi w:val="0"/>
        <w:spacing w:before="0"/>
        <w:ind w:left="360" w:hanging="360"/>
        <w:rPr>
          <w:rFonts w:ascii="Times New Roman" w:hAnsi="Times New Roman"/>
          <w:b/>
          <w:sz w:val="24"/>
          <w:szCs w:val="24"/>
        </w:rPr>
      </w:pPr>
      <w:r w:rsidRPr="00C3452A">
        <w:rPr>
          <w:rFonts w:ascii="Times New Roman" w:hAnsi="Times New Roman"/>
          <w:b/>
          <w:sz w:val="24"/>
          <w:szCs w:val="24"/>
        </w:rPr>
        <w:t>K bodu 18</w:t>
      </w:r>
    </w:p>
    <w:p w:rsidR="00581CC3" w:rsidRPr="00C3452A" w:rsidP="00581CC3">
      <w:pPr>
        <w:pStyle w:val="Parods"/>
        <w:numPr>
          <w:numId w:val="0"/>
        </w:numPr>
        <w:bidi w:val="0"/>
        <w:spacing w:before="0"/>
        <w:ind w:left="360" w:hanging="360"/>
        <w:rPr>
          <w:rFonts w:ascii="Times New Roman" w:hAnsi="Times New Roman"/>
          <w:sz w:val="24"/>
          <w:szCs w:val="24"/>
        </w:rPr>
      </w:pPr>
    </w:p>
    <w:p w:rsidR="00581CC3" w:rsidRPr="00C3452A" w:rsidP="00581CC3">
      <w:pPr>
        <w:pStyle w:val="Parods"/>
        <w:numPr>
          <w:numId w:val="0"/>
        </w:numPr>
        <w:bidi w:val="0"/>
        <w:spacing w:before="0"/>
        <w:ind w:left="360" w:hanging="360"/>
        <w:rPr>
          <w:rFonts w:ascii="Times New Roman" w:hAnsi="Times New Roman"/>
          <w:sz w:val="24"/>
          <w:szCs w:val="24"/>
        </w:rPr>
      </w:pPr>
      <w:r w:rsidRPr="00C3452A">
        <w:rPr>
          <w:rFonts w:ascii="Times New Roman" w:hAnsi="Times New Roman"/>
          <w:sz w:val="24"/>
          <w:szCs w:val="24"/>
        </w:rPr>
        <w:t>Ustanovuje sa postup pri neukončených konaniach podľa doterajšieho zákona.</w:t>
      </w:r>
    </w:p>
    <w:p w:rsidR="00581CC3" w:rsidRPr="00C3452A" w:rsidP="00581CC3">
      <w:pPr>
        <w:tabs>
          <w:tab w:val="num" w:pos="360"/>
          <w:tab w:val="left" w:pos="426"/>
        </w:tabs>
        <w:bidi w:val="0"/>
        <w:rPr>
          <w:rFonts w:ascii="Times New Roman" w:hAnsi="Times New Roman"/>
        </w:rPr>
      </w:pPr>
    </w:p>
    <w:p w:rsidR="00581CC3" w:rsidRPr="008C07D6" w:rsidP="00581CC3">
      <w:pPr>
        <w:pStyle w:val="Parods"/>
        <w:numPr>
          <w:numId w:val="0"/>
        </w:numPr>
        <w:bidi w:val="0"/>
        <w:spacing w:before="0"/>
        <w:ind w:firstLine="0"/>
        <w:rPr>
          <w:rFonts w:ascii="Times New Roman" w:hAnsi="Times New Roman"/>
          <w:b/>
          <w:sz w:val="24"/>
          <w:szCs w:val="24"/>
          <w:u w:val="single"/>
        </w:rPr>
      </w:pPr>
      <w:r w:rsidRPr="008C07D6">
        <w:rPr>
          <w:rFonts w:ascii="Times New Roman" w:hAnsi="Times New Roman"/>
          <w:b/>
          <w:sz w:val="24"/>
          <w:szCs w:val="24"/>
          <w:u w:val="single"/>
        </w:rPr>
        <w:t>K Čl. II</w:t>
      </w:r>
    </w:p>
    <w:p w:rsidR="00581CC3" w:rsidRPr="00C3452A" w:rsidP="00581CC3">
      <w:pPr>
        <w:pStyle w:val="Parods"/>
        <w:numPr>
          <w:numId w:val="0"/>
        </w:numPr>
        <w:bidi w:val="0"/>
        <w:spacing w:before="0"/>
        <w:ind w:left="360" w:hanging="360"/>
        <w:rPr>
          <w:rFonts w:ascii="Times New Roman" w:hAnsi="Times New Roman"/>
          <w:b/>
          <w:sz w:val="24"/>
          <w:szCs w:val="24"/>
        </w:rPr>
      </w:pPr>
    </w:p>
    <w:p w:rsidR="00581CC3" w:rsidRPr="00C3452A" w:rsidP="00581CC3">
      <w:pPr>
        <w:pStyle w:val="Parods"/>
        <w:numPr>
          <w:numId w:val="0"/>
        </w:numPr>
        <w:bidi w:val="0"/>
        <w:spacing w:before="0"/>
        <w:ind w:left="360" w:hanging="360"/>
        <w:rPr>
          <w:rFonts w:ascii="Times New Roman" w:hAnsi="Times New Roman"/>
          <w:b/>
          <w:sz w:val="24"/>
          <w:szCs w:val="24"/>
        </w:rPr>
      </w:pPr>
      <w:r w:rsidRPr="00C3452A">
        <w:rPr>
          <w:rFonts w:ascii="Times New Roman" w:hAnsi="Times New Roman"/>
          <w:b/>
          <w:sz w:val="24"/>
          <w:szCs w:val="24"/>
        </w:rPr>
        <w:t>K bodu 1</w:t>
      </w:r>
    </w:p>
    <w:p w:rsidR="00581CC3" w:rsidRPr="00C3452A" w:rsidP="00581CC3">
      <w:pPr>
        <w:pStyle w:val="Parods"/>
        <w:numPr>
          <w:numId w:val="0"/>
        </w:numPr>
        <w:bidi w:val="0"/>
        <w:spacing w:before="0"/>
        <w:ind w:firstLine="0"/>
        <w:rPr>
          <w:rFonts w:ascii="Times New Roman" w:hAnsi="Times New Roman"/>
          <w:sz w:val="24"/>
          <w:szCs w:val="24"/>
        </w:rPr>
      </w:pPr>
    </w:p>
    <w:p w:rsidR="00581CC3" w:rsidRPr="00C3452A" w:rsidP="00581CC3">
      <w:pPr>
        <w:pStyle w:val="Parods"/>
        <w:numPr>
          <w:numId w:val="0"/>
        </w:numPr>
        <w:bidi w:val="0"/>
        <w:spacing w:before="0"/>
        <w:ind w:firstLine="0"/>
        <w:rPr>
          <w:rFonts w:ascii="Times New Roman" w:hAnsi="Times New Roman"/>
          <w:sz w:val="24"/>
          <w:szCs w:val="24"/>
        </w:rPr>
      </w:pPr>
      <w:r w:rsidRPr="00C3452A">
        <w:rPr>
          <w:rFonts w:ascii="Times New Roman" w:hAnsi="Times New Roman"/>
          <w:sz w:val="24"/>
          <w:szCs w:val="24"/>
        </w:rPr>
        <w:t xml:space="preserve">Vzhľadom na aplikačnú prax pri nájme pozemkov fondu sa vypúšťa platné, avšak doteraz neúčinné pôvodné ustanovenie § 13 ods. 9. </w:t>
      </w:r>
    </w:p>
    <w:p w:rsidR="00581CC3" w:rsidRPr="00C3452A" w:rsidP="00581CC3">
      <w:pPr>
        <w:pStyle w:val="Parods"/>
        <w:numPr>
          <w:numId w:val="0"/>
        </w:numPr>
        <w:bidi w:val="0"/>
        <w:spacing w:before="0"/>
        <w:ind w:left="357" w:hanging="357"/>
        <w:rPr>
          <w:rFonts w:ascii="Times New Roman" w:hAnsi="Times New Roman"/>
          <w:sz w:val="24"/>
          <w:szCs w:val="24"/>
        </w:rPr>
      </w:pPr>
    </w:p>
    <w:p w:rsidR="00581CC3" w:rsidRPr="00C3452A" w:rsidP="00581CC3">
      <w:pPr>
        <w:pStyle w:val="Parods"/>
        <w:numPr>
          <w:numId w:val="0"/>
        </w:numPr>
        <w:bidi w:val="0"/>
        <w:spacing w:before="0"/>
        <w:ind w:left="357" w:hanging="357"/>
        <w:rPr>
          <w:rFonts w:ascii="Times New Roman" w:hAnsi="Times New Roman"/>
          <w:b/>
          <w:sz w:val="24"/>
          <w:szCs w:val="24"/>
        </w:rPr>
      </w:pPr>
      <w:r w:rsidRPr="00C3452A">
        <w:rPr>
          <w:rFonts w:ascii="Times New Roman" w:hAnsi="Times New Roman"/>
          <w:b/>
          <w:sz w:val="24"/>
          <w:szCs w:val="24"/>
        </w:rPr>
        <w:t>K bodu 2</w:t>
      </w:r>
    </w:p>
    <w:p w:rsidR="00581CC3" w:rsidRPr="00C3452A" w:rsidP="00581CC3">
      <w:pPr>
        <w:pStyle w:val="Parods"/>
        <w:numPr>
          <w:numId w:val="0"/>
        </w:numPr>
        <w:bidi w:val="0"/>
        <w:spacing w:before="0"/>
        <w:ind w:left="357" w:hanging="357"/>
        <w:rPr>
          <w:rFonts w:ascii="Times New Roman" w:hAnsi="Times New Roman"/>
          <w:sz w:val="24"/>
          <w:szCs w:val="24"/>
        </w:rPr>
      </w:pPr>
    </w:p>
    <w:p w:rsidR="00581CC3" w:rsidRPr="00C3452A" w:rsidP="00581CC3">
      <w:pPr>
        <w:pStyle w:val="Parods"/>
        <w:numPr>
          <w:numId w:val="0"/>
        </w:numPr>
        <w:bidi w:val="0"/>
        <w:spacing w:before="0"/>
        <w:ind w:firstLine="0"/>
        <w:rPr>
          <w:rFonts w:ascii="Times New Roman" w:hAnsi="Times New Roman"/>
          <w:sz w:val="24"/>
          <w:szCs w:val="24"/>
        </w:rPr>
      </w:pPr>
      <w:r w:rsidRPr="00C3452A">
        <w:rPr>
          <w:rFonts w:ascii="Times New Roman" w:hAnsi="Times New Roman"/>
          <w:sz w:val="24"/>
          <w:szCs w:val="24"/>
        </w:rPr>
        <w:t xml:space="preserve">Legislatívno-technická úprava, vzhľadom na vypustenie čl. II. zákona č. 24/2015 Z. z., ktorým sa upravuje účinnosť.  </w:t>
      </w:r>
    </w:p>
    <w:p w:rsidR="00581CC3" w:rsidRPr="00C3452A" w:rsidP="00581CC3">
      <w:pPr>
        <w:pStyle w:val="Parods"/>
        <w:numPr>
          <w:numId w:val="0"/>
        </w:numPr>
        <w:bidi w:val="0"/>
        <w:ind w:left="360" w:hanging="360"/>
        <w:rPr>
          <w:rFonts w:ascii="Times New Roman" w:hAnsi="Times New Roman"/>
          <w:b/>
          <w:sz w:val="24"/>
          <w:szCs w:val="24"/>
        </w:rPr>
      </w:pPr>
    </w:p>
    <w:p w:rsidR="00581CC3" w:rsidP="00581CC3">
      <w:pPr>
        <w:pStyle w:val="Parods"/>
        <w:numPr>
          <w:numId w:val="0"/>
        </w:numPr>
        <w:bidi w:val="0"/>
        <w:ind w:left="360" w:hanging="360"/>
        <w:rPr>
          <w:rFonts w:ascii="Times New Roman" w:hAnsi="Times New Roman"/>
          <w:b/>
          <w:sz w:val="24"/>
          <w:szCs w:val="24"/>
          <w:u w:val="single"/>
        </w:rPr>
      </w:pPr>
      <w:r w:rsidRPr="008C07D6">
        <w:rPr>
          <w:rFonts w:ascii="Times New Roman" w:hAnsi="Times New Roman"/>
          <w:b/>
          <w:sz w:val="24"/>
          <w:szCs w:val="24"/>
          <w:u w:val="single"/>
        </w:rPr>
        <w:t>K Čl. III</w:t>
      </w:r>
    </w:p>
    <w:p w:rsidR="00581CC3" w:rsidP="00581CC3">
      <w:pPr>
        <w:pStyle w:val="Parods"/>
        <w:numPr>
          <w:numId w:val="0"/>
        </w:numPr>
        <w:bidi w:val="0"/>
        <w:ind w:left="360" w:hanging="360"/>
        <w:rPr>
          <w:rFonts w:ascii="Times New Roman" w:hAnsi="Times New Roman"/>
          <w:b/>
          <w:sz w:val="24"/>
          <w:szCs w:val="24"/>
        </w:rPr>
      </w:pPr>
      <w:r w:rsidRPr="000C694D">
        <w:rPr>
          <w:rFonts w:ascii="Times New Roman" w:hAnsi="Times New Roman"/>
          <w:b/>
          <w:sz w:val="24"/>
          <w:szCs w:val="24"/>
        </w:rPr>
        <w:t>K bodu 1</w:t>
      </w:r>
    </w:p>
    <w:p w:rsidR="00581CC3" w:rsidRPr="000C694D" w:rsidP="00581CC3">
      <w:pPr>
        <w:pStyle w:val="Parods"/>
        <w:numPr>
          <w:numId w:val="0"/>
        </w:numPr>
        <w:bidi w:val="0"/>
        <w:ind w:left="360" w:hanging="360"/>
        <w:rPr>
          <w:rFonts w:ascii="Times New Roman" w:hAnsi="Times New Roman"/>
          <w:b/>
          <w:sz w:val="24"/>
          <w:szCs w:val="24"/>
          <w:u w:val="single"/>
        </w:rPr>
      </w:pPr>
      <w:r w:rsidRPr="000C694D">
        <w:rPr>
          <w:rFonts w:ascii="Times New Roman" w:hAnsi="Times New Roman"/>
          <w:sz w:val="24"/>
          <w:szCs w:val="24"/>
        </w:rPr>
        <w:t>Účinnosť sa navrhuje od 1. mája 2018,</w:t>
      </w:r>
      <w:r w:rsidRPr="000C694D">
        <w:rPr>
          <w:rFonts w:ascii="Times New Roman" w:hAnsi="Times New Roman"/>
          <w:sz w:val="24"/>
          <w:szCs w:val="24"/>
          <w:lang w:eastAsia="cs-CZ"/>
        </w:rPr>
        <w:t xml:space="preserve"> okrem čl. II, ktorý nadobudne účinnosť 1. januára 2018.</w:t>
      </w:r>
    </w:p>
    <w:p w:rsidR="00581CC3" w:rsidRPr="00C3452A" w:rsidP="00581CC3">
      <w:pPr>
        <w:pStyle w:val="odsek"/>
        <w:bidi w:val="0"/>
        <w:rPr>
          <w:rFonts w:ascii="Times New Roman" w:eastAsia="MS Mincho" w:hAnsi="Times New Roman"/>
          <w:lang w:eastAsia="cs-CZ"/>
        </w:rPr>
      </w:pPr>
      <w:r w:rsidRPr="00C3452A">
        <w:rPr>
          <w:rFonts w:ascii="Times New Roman" w:hAnsi="Times New Roman"/>
        </w:rPr>
        <w:t xml:space="preserve"> </w:t>
      </w:r>
    </w:p>
    <w:p w:rsidR="00581CC3" w:rsidRPr="00C3452A" w:rsidP="00581CC3">
      <w:pPr>
        <w:bidi w:val="0"/>
        <w:rPr>
          <w:rFonts w:ascii="Times New Roman" w:hAnsi="Times New Roman"/>
          <w:lang w:eastAsia="cs-CZ"/>
        </w:rPr>
      </w:pPr>
      <w:r w:rsidRPr="00C3452A">
        <w:rPr>
          <w:rFonts w:ascii="Times New Roman" w:hAnsi="Times New Roman"/>
          <w:lang w:eastAsia="cs-CZ"/>
        </w:rPr>
        <w:t>Bratislava 16. augusta 2017</w:t>
      </w:r>
    </w:p>
    <w:p w:rsidR="00581CC3" w:rsidRPr="00C3452A" w:rsidP="00581CC3">
      <w:pPr>
        <w:pStyle w:val="odsek"/>
        <w:bidi w:val="0"/>
        <w:rPr>
          <w:rFonts w:ascii="Times New Roman" w:eastAsia="MS Mincho" w:hAnsi="Times New Roman"/>
          <w:lang w:eastAsia="cs-CZ"/>
        </w:rPr>
      </w:pPr>
      <w:r w:rsidRPr="00C3452A">
        <w:rPr>
          <w:rFonts w:ascii="Times New Roman" w:hAnsi="Times New Roman"/>
        </w:rPr>
        <w:t xml:space="preserve"> </w:t>
      </w:r>
    </w:p>
    <w:p w:rsidR="00581CC3" w:rsidRPr="00C3452A" w:rsidP="00581CC3">
      <w:pPr>
        <w:keepLines/>
        <w:bidi w:val="0"/>
        <w:rPr>
          <w:rFonts w:ascii="Times New Roman" w:hAnsi="Times New Roman"/>
        </w:rPr>
      </w:pPr>
    </w:p>
    <w:p w:rsidR="00581CC3" w:rsidRPr="00773CC5" w:rsidP="00581CC3">
      <w:pPr>
        <w:keepLines/>
        <w:bidi w:val="0"/>
        <w:jc w:val="center"/>
        <w:rPr>
          <w:rFonts w:ascii="Times New Roman" w:hAnsi="Times New Roman"/>
          <w:b/>
        </w:rPr>
      </w:pPr>
      <w:r w:rsidRPr="00773CC5">
        <w:rPr>
          <w:rFonts w:ascii="Times New Roman" w:hAnsi="Times New Roman"/>
          <w:b/>
          <w:bCs/>
        </w:rPr>
        <w:t xml:space="preserve">Robert Fico </w:t>
      </w:r>
      <w:r w:rsidR="00B87B07">
        <w:rPr>
          <w:rFonts w:ascii="Times New Roman" w:hAnsi="Times New Roman"/>
          <w:b/>
          <w:bCs/>
        </w:rPr>
        <w:t>v. r.</w:t>
      </w:r>
    </w:p>
    <w:p w:rsidR="00581CC3" w:rsidRPr="00C3452A" w:rsidP="00581CC3">
      <w:pPr>
        <w:keepLines/>
        <w:bidi w:val="0"/>
        <w:jc w:val="center"/>
        <w:rPr>
          <w:rFonts w:ascii="Times New Roman" w:hAnsi="Times New Roman"/>
        </w:rPr>
      </w:pPr>
      <w:r w:rsidRPr="00C3452A">
        <w:rPr>
          <w:rFonts w:ascii="Times New Roman" w:hAnsi="Times New Roman"/>
        </w:rPr>
        <w:t>predseda vlády</w:t>
      </w:r>
    </w:p>
    <w:p w:rsidR="00581CC3" w:rsidRPr="00C3452A" w:rsidP="00581CC3">
      <w:pPr>
        <w:keepLines/>
        <w:bidi w:val="0"/>
        <w:jc w:val="center"/>
        <w:rPr>
          <w:rFonts w:ascii="Times New Roman" w:hAnsi="Times New Roman"/>
        </w:rPr>
      </w:pPr>
      <w:r w:rsidRPr="00C3452A">
        <w:rPr>
          <w:rFonts w:ascii="Times New Roman" w:hAnsi="Times New Roman"/>
        </w:rPr>
        <w:t>Slovenskej republiky</w:t>
      </w:r>
    </w:p>
    <w:p w:rsidR="00581CC3" w:rsidRPr="00C3452A" w:rsidP="00581CC3">
      <w:pPr>
        <w:keepLines/>
        <w:bidi w:val="0"/>
        <w:rPr>
          <w:rFonts w:ascii="Times New Roman" w:hAnsi="Times New Roman"/>
        </w:rPr>
      </w:pPr>
    </w:p>
    <w:p w:rsidR="00581CC3" w:rsidRPr="00C3452A" w:rsidP="00581CC3">
      <w:pPr>
        <w:keepLines/>
        <w:bidi w:val="0"/>
        <w:rPr>
          <w:rFonts w:ascii="Times New Roman" w:hAnsi="Times New Roman"/>
        </w:rPr>
      </w:pPr>
    </w:p>
    <w:p w:rsidR="00581CC3" w:rsidRPr="00C3452A" w:rsidP="00581CC3">
      <w:pPr>
        <w:keepLines/>
        <w:bidi w:val="0"/>
        <w:rPr>
          <w:rFonts w:ascii="Times New Roman" w:hAnsi="Times New Roman"/>
        </w:rPr>
      </w:pPr>
    </w:p>
    <w:p w:rsidR="00581CC3" w:rsidRPr="00C3452A" w:rsidP="00581CC3">
      <w:pPr>
        <w:keepLines/>
        <w:bidi w:val="0"/>
        <w:rPr>
          <w:rFonts w:ascii="Times New Roman" w:hAnsi="Times New Roman"/>
        </w:rPr>
      </w:pPr>
    </w:p>
    <w:p w:rsidR="00581CC3" w:rsidRPr="00C3452A" w:rsidP="00581CC3">
      <w:pPr>
        <w:keepLines/>
        <w:bidi w:val="0"/>
        <w:rPr>
          <w:rFonts w:ascii="Times New Roman" w:hAnsi="Times New Roman"/>
        </w:rPr>
      </w:pPr>
    </w:p>
    <w:p w:rsidR="00581CC3" w:rsidRPr="00773CC5" w:rsidP="00581CC3">
      <w:pPr>
        <w:keepLines/>
        <w:bidi w:val="0"/>
        <w:jc w:val="center"/>
        <w:rPr>
          <w:rFonts w:ascii="Times New Roman" w:hAnsi="Times New Roman"/>
          <w:b/>
        </w:rPr>
      </w:pPr>
      <w:r w:rsidRPr="00773CC5">
        <w:rPr>
          <w:rFonts w:ascii="Times New Roman" w:hAnsi="Times New Roman"/>
          <w:b/>
          <w:bCs/>
        </w:rPr>
        <w:t xml:space="preserve">Gabriela Matečná </w:t>
      </w:r>
      <w:r w:rsidR="00B87B07">
        <w:rPr>
          <w:rFonts w:ascii="Times New Roman" w:hAnsi="Times New Roman"/>
          <w:b/>
          <w:bCs/>
        </w:rPr>
        <w:t>v. r.</w:t>
      </w:r>
    </w:p>
    <w:p w:rsidR="00581CC3" w:rsidRPr="00C3452A" w:rsidP="00581CC3">
      <w:pPr>
        <w:keepLines/>
        <w:bidi w:val="0"/>
        <w:jc w:val="center"/>
        <w:rPr>
          <w:rFonts w:ascii="Times New Roman" w:hAnsi="Times New Roman"/>
        </w:rPr>
      </w:pPr>
      <w:r w:rsidRPr="00C3452A">
        <w:rPr>
          <w:rFonts w:ascii="Times New Roman" w:hAnsi="Times New Roman"/>
        </w:rPr>
        <w:t xml:space="preserve">ministerka pôdohospodárstva </w:t>
      </w:r>
    </w:p>
    <w:p w:rsidR="00581CC3" w:rsidRPr="00C3452A" w:rsidP="00581CC3">
      <w:pPr>
        <w:keepLines/>
        <w:bidi w:val="0"/>
        <w:jc w:val="center"/>
        <w:rPr>
          <w:rFonts w:ascii="Times New Roman" w:hAnsi="Times New Roman"/>
          <w:color w:val="000000"/>
        </w:rPr>
      </w:pPr>
      <w:r w:rsidRPr="00C3452A">
        <w:rPr>
          <w:rFonts w:ascii="Times New Roman" w:hAnsi="Times New Roman"/>
        </w:rPr>
        <w:t>a rozvoja vidieka Slovenskej republiky</w:t>
      </w:r>
    </w:p>
    <w:p w:rsidR="00581CC3" w:rsidP="00581CC3">
      <w:pPr>
        <w:bidi w:val="0"/>
      </w:pPr>
    </w:p>
    <w:p w:rsidR="00976240">
      <w:pPr>
        <w:bidi w:val="0"/>
      </w:pPr>
    </w:p>
    <w:sectPr w:rsidSect="000C694D">
      <w:pgSz w:w="11906" w:h="16838" w:code="9"/>
      <w:pgMar w:top="1418" w:right="1418" w:bottom="1276" w:left="1276" w:header="709" w:footer="709" w:gutter="0"/>
      <w:lnNumType w:distance="0"/>
      <w:pgNumType w:start="16"/>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43">
    <w:pPr>
      <w:pStyle w:val="Footer"/>
      <w:framePr w:wrap="around" w:vAnchor="text" w:hAnchor="margin" w:xAlign="right"/>
      <w:bidi w:val="0"/>
      <w:rPr>
        <w:rStyle w:val="PageNumber"/>
      </w:rPr>
    </w:pPr>
    <w:r w:rsidR="00C209C0">
      <w:rPr>
        <w:rStyle w:val="PageNumber"/>
      </w:rPr>
      <w:fldChar w:fldCharType="begin"/>
    </w:r>
    <w:r w:rsidR="00C209C0">
      <w:rPr>
        <w:rStyle w:val="PageNumber"/>
      </w:rPr>
      <w:instrText xml:space="preserve">PAGE  </w:instrText>
    </w:r>
    <w:r w:rsidR="00C209C0">
      <w:rPr>
        <w:rStyle w:val="PageNumber"/>
      </w:rPr>
      <w:fldChar w:fldCharType="separate"/>
    </w:r>
    <w:r w:rsidR="00C209C0">
      <w:rPr>
        <w:rStyle w:val="PageNumber"/>
        <w:noProof/>
      </w:rPr>
      <w:t>10</w:t>
    </w:r>
    <w:r w:rsidR="00C209C0">
      <w:rPr>
        <w:rStyle w:val="PageNumber"/>
      </w:rPr>
      <w:fldChar w:fldCharType="end"/>
    </w:r>
  </w:p>
  <w:p w:rsidR="00F54643">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E9" w:rsidRPr="00FA0EE1">
    <w:pPr>
      <w:pStyle w:val="Footer"/>
      <w:bidi w:val="0"/>
      <w:jc w:val="center"/>
      <w:rPr>
        <w:rFonts w:ascii="Times New Roman" w:hAnsi="Times New Roman"/>
      </w:rPr>
    </w:pPr>
    <w:r w:rsidRPr="00FA0EE1" w:rsidR="00C209C0">
      <w:rPr>
        <w:rFonts w:ascii="Times New Roman" w:hAnsi="Times New Roman"/>
      </w:rPr>
      <w:fldChar w:fldCharType="begin"/>
    </w:r>
    <w:r w:rsidRPr="00FA0EE1" w:rsidR="00C209C0">
      <w:rPr>
        <w:rFonts w:ascii="Times New Roman" w:hAnsi="Times New Roman"/>
      </w:rPr>
      <w:instrText>PAGE   \* MERGEFORMAT</w:instrText>
    </w:r>
    <w:r w:rsidRPr="00FA0EE1" w:rsidR="00C209C0">
      <w:rPr>
        <w:rFonts w:ascii="Times New Roman" w:hAnsi="Times New Roman"/>
      </w:rPr>
      <w:fldChar w:fldCharType="separate"/>
    </w:r>
    <w:r w:rsidR="00460016">
      <w:rPr>
        <w:rFonts w:ascii="Times New Roman" w:hAnsi="Times New Roman"/>
        <w:noProof/>
      </w:rPr>
      <w:t>1</w:t>
    </w:r>
    <w:r w:rsidRPr="00FA0EE1" w:rsidR="00C209C0">
      <w:rPr>
        <w:rFonts w:ascii="Times New Roman" w:hAnsi="Times New Roman"/>
      </w:rPr>
      <w:fldChar w:fldCharType="end"/>
    </w:r>
  </w:p>
  <w:p w:rsidR="00F54643">
    <w:pPr>
      <w:pStyle w:val="Footer"/>
      <w:bidi w:val="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43">
    <w:pPr>
      <w:pStyle w:val="Footer"/>
      <w:bidi w:val="0"/>
      <w:jc w:val="right"/>
    </w:pPr>
    <w:r w:rsidR="00C209C0">
      <w:fldChar w:fldCharType="begin"/>
    </w:r>
    <w:r w:rsidR="00C209C0">
      <w:instrText>PAGE   \* MERGEFORMAT</w:instrText>
    </w:r>
    <w:r w:rsidR="00C209C0">
      <w:fldChar w:fldCharType="separate"/>
    </w:r>
    <w:r w:rsidR="00C209C0">
      <w:rPr>
        <w:noProof/>
      </w:rPr>
      <w:t>0</w:t>
    </w:r>
    <w:r w:rsidR="00C209C0">
      <w:fldChar w:fldCharType="end"/>
    </w:r>
  </w:p>
  <w:p w:rsidR="00F54643">
    <w:pPr>
      <w:pStyle w:val="Footer"/>
      <w:bidi w:val="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9E9" w:rsidRPr="004569F6">
    <w:pPr>
      <w:pStyle w:val="Footer"/>
      <w:bidi w:val="0"/>
      <w:jc w:val="center"/>
      <w:rPr>
        <w:rFonts w:ascii="Times New Roman" w:hAnsi="Times New Roman"/>
      </w:rPr>
    </w:pPr>
    <w:r w:rsidRPr="004569F6" w:rsidR="00C209C0">
      <w:rPr>
        <w:rFonts w:ascii="Times New Roman" w:hAnsi="Times New Roman"/>
      </w:rPr>
      <w:fldChar w:fldCharType="begin"/>
    </w:r>
    <w:r w:rsidRPr="004569F6" w:rsidR="00C209C0">
      <w:rPr>
        <w:rFonts w:ascii="Times New Roman" w:hAnsi="Times New Roman"/>
      </w:rPr>
      <w:instrText>PAGE   \* MERGEFORMAT</w:instrText>
    </w:r>
    <w:r w:rsidRPr="004569F6" w:rsidR="00C209C0">
      <w:rPr>
        <w:rFonts w:ascii="Times New Roman" w:hAnsi="Times New Roman"/>
      </w:rPr>
      <w:fldChar w:fldCharType="separate"/>
    </w:r>
    <w:r w:rsidR="00460016">
      <w:rPr>
        <w:rFonts w:ascii="Times New Roman" w:hAnsi="Times New Roman"/>
        <w:noProof/>
      </w:rPr>
      <w:t>25</w:t>
    </w:r>
    <w:r w:rsidRPr="004569F6" w:rsidR="00C209C0">
      <w:rPr>
        <w:rFonts w:ascii="Times New Roman" w:hAnsi="Times New Roman"/>
      </w:rPr>
      <w:fldChar w:fldCharType="end"/>
    </w:r>
  </w:p>
  <w:p w:rsidR="00F54643">
    <w:pPr>
      <w:pStyle w:val="Footer"/>
      <w:bidi w:val="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43" w:rsidP="00EB59C8">
    <w:pPr>
      <w:pStyle w:val="Header"/>
      <w:bidi w:val="0"/>
      <w:jc w:val="right"/>
    </w:pPr>
    <w:r w:rsidR="00C209C0">
      <w:t>Príloha č. 2</w:t>
    </w:r>
  </w:p>
  <w:p w:rsidR="00F54643" w:rsidRPr="00EB59C8" w:rsidP="00EB59C8">
    <w:pPr>
      <w:pStyle w:val="Header"/>
      <w:bidi w:val="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643" w:rsidRPr="000A15AE" w:rsidP="000A15AE">
    <w:pPr>
      <w:pStyle w:val="Header"/>
      <w:bidi w:val="0"/>
      <w:jc w:val="right"/>
    </w:pPr>
    <w:r w:rsidR="00C209C0">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3698F"/>
    <w:multiLevelType w:val="hybridMultilevel"/>
    <w:tmpl w:val="EDA2F5E0"/>
    <w:lvl w:ilvl="0">
      <w:start w:val="0"/>
      <w:numFmt w:val="bullet"/>
      <w:lvlText w:val="-"/>
      <w:lvlJc w:val="left"/>
      <w:pPr>
        <w:ind w:left="1065" w:hanging="705"/>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3033573C"/>
    <w:multiLevelType w:val="hybridMultilevel"/>
    <w:tmpl w:val="CFC65EDA"/>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9C91AD1"/>
    <w:multiLevelType w:val="hybridMultilevel"/>
    <w:tmpl w:val="379A5B84"/>
    <w:lvl w:ilvl="0">
      <w:start w:val="1"/>
      <w:numFmt w:val="decimal"/>
      <w:pStyle w:val="Parods"/>
      <w:lvlText w:val="(%1)"/>
      <w:lvlJc w:val="left"/>
      <w:pPr>
        <w:ind w:left="360" w:hanging="360"/>
      </w:pPr>
      <w:rPr>
        <w:rFonts w:cs="Times New Roman" w:hint="default"/>
        <w:rtl w:val="0"/>
        <w:cs w:val="0"/>
      </w:rPr>
    </w:lvl>
    <w:lvl w:ilvl="1">
      <w:start w:val="1"/>
      <w:numFmt w:val="lowerLetter"/>
      <w:pStyle w:val="parods2"/>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44D560BD"/>
    <w:multiLevelType w:val="multilevel"/>
    <w:tmpl w:val="0FBA94FA"/>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48B20C61"/>
    <w:multiLevelType w:val="hybridMultilevel"/>
    <w:tmpl w:val="464AD338"/>
    <w:lvl w:ilvl="0">
      <w:start w:val="1"/>
      <w:numFmt w:val="decimal"/>
      <w:lvlText w:val="(%1)"/>
      <w:lvlJc w:val="left"/>
      <w:pPr>
        <w:ind w:left="1786" w:hanging="360"/>
      </w:pPr>
      <w:rPr>
        <w:rFonts w:cs="Times New Roman" w:hint="default"/>
        <w:rtl w:val="0"/>
        <w:cs w:val="0"/>
      </w:rPr>
    </w:lvl>
    <w:lvl w:ilvl="1">
      <w:start w:val="1"/>
      <w:numFmt w:val="lowerLetter"/>
      <w:lvlText w:val="%2."/>
      <w:lvlJc w:val="left"/>
      <w:pPr>
        <w:ind w:left="2506" w:hanging="360"/>
      </w:pPr>
      <w:rPr>
        <w:rFonts w:cs="Times New Roman"/>
        <w:rtl w:val="0"/>
        <w:cs w:val="0"/>
      </w:rPr>
    </w:lvl>
    <w:lvl w:ilvl="2">
      <w:start w:val="1"/>
      <w:numFmt w:val="lowerRoman"/>
      <w:lvlText w:val="%3."/>
      <w:lvlJc w:val="right"/>
      <w:pPr>
        <w:ind w:left="3226" w:hanging="180"/>
      </w:pPr>
      <w:rPr>
        <w:rFonts w:cs="Times New Roman"/>
        <w:rtl w:val="0"/>
        <w:cs w:val="0"/>
      </w:rPr>
    </w:lvl>
    <w:lvl w:ilvl="3">
      <w:start w:val="1"/>
      <w:numFmt w:val="decimal"/>
      <w:lvlText w:val="%4."/>
      <w:lvlJc w:val="left"/>
      <w:pPr>
        <w:ind w:left="3946" w:hanging="360"/>
      </w:pPr>
      <w:rPr>
        <w:rFonts w:cs="Times New Roman"/>
        <w:rtl w:val="0"/>
        <w:cs w:val="0"/>
      </w:rPr>
    </w:lvl>
    <w:lvl w:ilvl="4">
      <w:start w:val="1"/>
      <w:numFmt w:val="lowerLetter"/>
      <w:lvlText w:val="%5."/>
      <w:lvlJc w:val="left"/>
      <w:pPr>
        <w:ind w:left="4666" w:hanging="360"/>
      </w:pPr>
      <w:rPr>
        <w:rFonts w:cs="Times New Roman"/>
        <w:rtl w:val="0"/>
        <w:cs w:val="0"/>
      </w:rPr>
    </w:lvl>
    <w:lvl w:ilvl="5">
      <w:start w:val="1"/>
      <w:numFmt w:val="lowerRoman"/>
      <w:lvlText w:val="%6."/>
      <w:lvlJc w:val="right"/>
      <w:pPr>
        <w:ind w:left="5386" w:hanging="180"/>
      </w:pPr>
      <w:rPr>
        <w:rFonts w:cs="Times New Roman"/>
        <w:rtl w:val="0"/>
        <w:cs w:val="0"/>
      </w:rPr>
    </w:lvl>
    <w:lvl w:ilvl="6">
      <w:start w:val="1"/>
      <w:numFmt w:val="decimal"/>
      <w:lvlText w:val="%7."/>
      <w:lvlJc w:val="left"/>
      <w:pPr>
        <w:ind w:left="6106" w:hanging="360"/>
      </w:pPr>
      <w:rPr>
        <w:rFonts w:cs="Times New Roman"/>
        <w:rtl w:val="0"/>
        <w:cs w:val="0"/>
      </w:rPr>
    </w:lvl>
    <w:lvl w:ilvl="7">
      <w:start w:val="1"/>
      <w:numFmt w:val="lowerLetter"/>
      <w:lvlText w:val="%8."/>
      <w:lvlJc w:val="left"/>
      <w:pPr>
        <w:ind w:left="6826" w:hanging="360"/>
      </w:pPr>
      <w:rPr>
        <w:rFonts w:cs="Times New Roman"/>
        <w:rtl w:val="0"/>
        <w:cs w:val="0"/>
      </w:rPr>
    </w:lvl>
    <w:lvl w:ilvl="8">
      <w:start w:val="1"/>
      <w:numFmt w:val="lowerRoman"/>
      <w:lvlText w:val="%9."/>
      <w:lvlJc w:val="right"/>
      <w:pPr>
        <w:ind w:left="7546" w:hanging="180"/>
      </w:pPr>
      <w:rPr>
        <w:rFonts w:cs="Times New Roman"/>
        <w:rtl w:val="0"/>
        <w:cs w:val="0"/>
      </w:rPr>
    </w:lvl>
  </w:abstractNum>
  <w:abstractNum w:abstractNumId="5">
    <w:nsid w:val="4D741B8A"/>
    <w:multiLevelType w:val="hybridMultilevel"/>
    <w:tmpl w:val="1A269686"/>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6AA51CA0"/>
    <w:multiLevelType w:val="hybridMultilevel"/>
    <w:tmpl w:val="D8E67A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C49094F"/>
    <w:multiLevelType w:val="hybridMultilevel"/>
    <w:tmpl w:val="94D66FA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9">
    <w:nsid w:val="7E6A6D74"/>
    <w:multiLevelType w:val="hybridMultilevel"/>
    <w:tmpl w:val="EB42C244"/>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0">
    <w:nsid w:val="7E7C2F88"/>
    <w:multiLevelType w:val="hybridMultilevel"/>
    <w:tmpl w:val="73DC1C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7E9E43CA"/>
    <w:multiLevelType w:val="hybridMultilevel"/>
    <w:tmpl w:val="F60604C8"/>
    <w:lvl w:ilvl="0">
      <w:start w:val="0"/>
      <w:numFmt w:val="bullet"/>
      <w:lvlText w:val="-"/>
      <w:lvlJc w:val="left"/>
      <w:pPr>
        <w:ind w:left="1077" w:hanging="360"/>
      </w:pPr>
      <w:rPr>
        <w:rFonts w:ascii="Times New Roman" w:eastAsia="Times New Roman" w:hAnsi="Times New Roman" w:hint="default"/>
      </w:rPr>
    </w:lvl>
    <w:lvl w:ilvl="1">
      <w:start w:val="1"/>
      <w:numFmt w:val="bullet"/>
      <w:lvlText w:val="o"/>
      <w:lvlJc w:val="left"/>
      <w:pPr>
        <w:ind w:left="1797" w:hanging="360"/>
      </w:pPr>
      <w:rPr>
        <w:rFonts w:ascii="Courier New" w:hAnsi="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hint="default"/>
      </w:rPr>
    </w:lvl>
    <w:lvl w:ilvl="8">
      <w:start w:val="1"/>
      <w:numFmt w:val="bullet"/>
      <w:lvlText w:val=""/>
      <w:lvlJc w:val="left"/>
      <w:pPr>
        <w:ind w:left="6837" w:hanging="360"/>
      </w:pPr>
      <w:rPr>
        <w:rFonts w:ascii="Wingdings" w:hAnsi="Wingdings" w:hint="default"/>
      </w:r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10"/>
  </w:num>
  <w:num w:numId="9">
    <w:abstractNumId w:val="9"/>
  </w:num>
  <w:num w:numId="10">
    <w:abstractNumId w:val="1"/>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compat/>
  <w:rsids>
    <w:rsidRoot w:val="00581CC3"/>
    <w:rsid w:val="00020905"/>
    <w:rsid w:val="000A15AE"/>
    <w:rsid w:val="000C694D"/>
    <w:rsid w:val="00113379"/>
    <w:rsid w:val="001D59E9"/>
    <w:rsid w:val="00260671"/>
    <w:rsid w:val="00444E2F"/>
    <w:rsid w:val="004569F6"/>
    <w:rsid w:val="00460016"/>
    <w:rsid w:val="00581CC3"/>
    <w:rsid w:val="00773CC5"/>
    <w:rsid w:val="00816507"/>
    <w:rsid w:val="008C07D6"/>
    <w:rsid w:val="00976240"/>
    <w:rsid w:val="00B87B07"/>
    <w:rsid w:val="00C209C0"/>
    <w:rsid w:val="00C3452A"/>
    <w:rsid w:val="00CB521D"/>
    <w:rsid w:val="00E269CB"/>
    <w:rsid w:val="00E26A21"/>
    <w:rsid w:val="00EA6661"/>
    <w:rsid w:val="00EB59C8"/>
    <w:rsid w:val="00F54643"/>
    <w:rsid w:val="00FA0EE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CC3"/>
    <w:pPr>
      <w:keepNext/>
      <w:framePr w:wrap="auto"/>
      <w:widowControl/>
      <w:autoSpaceDE/>
      <w:autoSpaceDN/>
      <w:adjustRightInd/>
      <w:ind w:left="0" w:right="0"/>
      <w:jc w:val="both"/>
      <w:textAlignment w:val="auto"/>
    </w:pPr>
    <w:rPr>
      <w:rFonts w:asciiTheme="minorHAnsi" w:hAnsiTheme="minorHAnsi" w:cs="Times New Roman"/>
      <w:sz w:val="24"/>
      <w:szCs w:val="24"/>
      <w:rtl w:val="0"/>
      <w:cs w:val="0"/>
      <w:lang w:val="sk-SK" w:eastAsia="sk-SK" w:bidi="ar-SA"/>
    </w:rPr>
  </w:style>
  <w:style w:type="paragraph" w:styleId="Heading1">
    <w:name w:val="heading 1"/>
    <w:basedOn w:val="Normal"/>
    <w:next w:val="Normal"/>
    <w:link w:val="Nadpis1Char"/>
    <w:uiPriority w:val="9"/>
    <w:qFormat/>
    <w:rsid w:val="00581CC3"/>
    <w:pPr>
      <w:keepLines/>
      <w:spacing w:before="360" w:after="120"/>
      <w:jc w:val="center"/>
      <w:outlineLvl w:val="0"/>
    </w:pPr>
    <w:rPr>
      <w:rFonts w:cs="Arial"/>
      <w:b/>
      <w:bCs/>
      <w:szCs w:val="28"/>
      <w:lang w:eastAsia="en-US"/>
    </w:rPr>
  </w:style>
  <w:style w:type="paragraph" w:styleId="Heading2">
    <w:name w:val="heading 2"/>
    <w:basedOn w:val="Normal"/>
    <w:next w:val="Normal"/>
    <w:link w:val="Nadpis2Char"/>
    <w:uiPriority w:val="9"/>
    <w:semiHidden/>
    <w:unhideWhenUsed/>
    <w:qFormat/>
    <w:rsid w:val="00581CC3"/>
    <w:pPr>
      <w:keepLines/>
      <w:spacing w:before="40"/>
      <w:jc w:val="both"/>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Nadpis3Char"/>
    <w:uiPriority w:val="9"/>
    <w:semiHidden/>
    <w:unhideWhenUsed/>
    <w:qFormat/>
    <w:rsid w:val="00581CC3"/>
    <w:pPr>
      <w:keepLines/>
      <w:spacing w:before="120" w:after="120"/>
      <w:jc w:val="both"/>
      <w:outlineLvl w:val="2"/>
    </w:pPr>
    <w:rPr>
      <w:rFonts w:cs="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81CC3"/>
    <w:rPr>
      <w:rFonts w:eastAsia="Times New Roman" w:cs="Arial"/>
      <w:b/>
      <w:bCs/>
      <w:sz w:val="28"/>
      <w:szCs w:val="28"/>
      <w:rtl w:val="0"/>
      <w:cs w:val="0"/>
    </w:rPr>
  </w:style>
  <w:style w:type="character" w:customStyle="1" w:styleId="Nadpis2Char">
    <w:name w:val="Nadpis 2 Char"/>
    <w:basedOn w:val="DefaultParagraphFont"/>
    <w:link w:val="Heading2"/>
    <w:uiPriority w:val="9"/>
    <w:semiHidden/>
    <w:locked/>
    <w:rsid w:val="00581CC3"/>
    <w:rPr>
      <w:rFonts w:asciiTheme="majorHAnsi" w:eastAsiaTheme="majorEastAsia" w:hAnsiTheme="majorHAnsi" w:cs="Times New Roman"/>
      <w:color w:val="365F91" w:themeColor="accent1" w:themeShade="BF"/>
      <w:sz w:val="26"/>
      <w:szCs w:val="26"/>
      <w:rtl w:val="0"/>
      <w:cs w:val="0"/>
      <w:lang w:val="x-none" w:eastAsia="sk-SK"/>
    </w:rPr>
  </w:style>
  <w:style w:type="character" w:customStyle="1" w:styleId="Nadpis3Char">
    <w:name w:val="Nadpis 3 Char"/>
    <w:basedOn w:val="DefaultParagraphFont"/>
    <w:link w:val="Heading3"/>
    <w:uiPriority w:val="9"/>
    <w:semiHidden/>
    <w:locked/>
    <w:rsid w:val="00581CC3"/>
    <w:rPr>
      <w:rFonts w:eastAsia="Times New Roman" w:cs="Arial"/>
      <w:b/>
      <w:bCs/>
      <w:sz w:val="20"/>
      <w:szCs w:val="20"/>
      <w:rtl w:val="0"/>
      <w:cs w:val="0"/>
    </w:rPr>
  </w:style>
  <w:style w:type="character" w:customStyle="1" w:styleId="odsekChar">
    <w:name w:val="odsek Char"/>
    <w:link w:val="odsek"/>
    <w:locked/>
    <w:rsid w:val="00581CC3"/>
    <w:rPr>
      <w:sz w:val="24"/>
    </w:rPr>
  </w:style>
  <w:style w:type="paragraph" w:customStyle="1" w:styleId="odsek">
    <w:name w:val="odsek"/>
    <w:basedOn w:val="Normal"/>
    <w:link w:val="odsekChar"/>
    <w:qFormat/>
    <w:rsid w:val="00581CC3"/>
    <w:pPr>
      <w:ind w:firstLine="709"/>
      <w:jc w:val="both"/>
    </w:pPr>
    <w:rPr>
      <w:rFonts w:cstheme="minorBidi"/>
      <w:szCs w:val="22"/>
      <w:lang w:eastAsia="en-US"/>
    </w:rPr>
  </w:style>
  <w:style w:type="paragraph" w:customStyle="1" w:styleId="CharCharCharCharCharChar">
    <w:name w:val="Char Char Char Char Char Char"/>
    <w:basedOn w:val="Normal"/>
    <w:rsid w:val="00581CC3"/>
    <w:pPr>
      <w:keepNext w:val="0"/>
      <w:spacing w:after="160" w:line="240" w:lineRule="exact"/>
      <w:jc w:val="left"/>
    </w:pPr>
    <w:rPr>
      <w:rFonts w:ascii="Tahoma" w:hAnsi="Tahoma" w:cs="Tahoma"/>
      <w:sz w:val="20"/>
      <w:szCs w:val="20"/>
      <w:lang w:val="en-US" w:eastAsia="en-US"/>
    </w:rPr>
  </w:style>
  <w:style w:type="paragraph" w:styleId="Header">
    <w:name w:val="header"/>
    <w:basedOn w:val="Normal"/>
    <w:link w:val="HlavikaChar"/>
    <w:uiPriority w:val="99"/>
    <w:unhideWhenUsed/>
    <w:rsid w:val="00581CC3"/>
    <w:pPr>
      <w:tabs>
        <w:tab w:val="center" w:pos="4536"/>
        <w:tab w:val="right" w:pos="9072"/>
      </w:tabs>
      <w:jc w:val="both"/>
    </w:pPr>
  </w:style>
  <w:style w:type="character" w:customStyle="1" w:styleId="HlavikaChar">
    <w:name w:val="Hlavička Char"/>
    <w:basedOn w:val="DefaultParagraphFont"/>
    <w:link w:val="Header"/>
    <w:uiPriority w:val="99"/>
    <w:locked/>
    <w:rsid w:val="00581CC3"/>
    <w:rPr>
      <w:rFonts w:eastAsia="Times New Roman" w:cs="Times New Roman"/>
      <w:sz w:val="24"/>
      <w:szCs w:val="24"/>
      <w:rtl w:val="0"/>
      <w:cs w:val="0"/>
      <w:lang w:val="x-none" w:eastAsia="sk-SK"/>
    </w:rPr>
  </w:style>
  <w:style w:type="paragraph" w:styleId="Footer">
    <w:name w:val="footer"/>
    <w:basedOn w:val="Normal"/>
    <w:link w:val="PtaChar"/>
    <w:uiPriority w:val="99"/>
    <w:unhideWhenUsed/>
    <w:rsid w:val="00581CC3"/>
    <w:pPr>
      <w:tabs>
        <w:tab w:val="center" w:pos="4536"/>
        <w:tab w:val="right" w:pos="9072"/>
      </w:tabs>
      <w:jc w:val="both"/>
    </w:pPr>
  </w:style>
  <w:style w:type="character" w:customStyle="1" w:styleId="PtaChar">
    <w:name w:val="Päta Char"/>
    <w:basedOn w:val="DefaultParagraphFont"/>
    <w:link w:val="Footer"/>
    <w:uiPriority w:val="99"/>
    <w:locked/>
    <w:rsid w:val="00581CC3"/>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581CC3"/>
    <w:pPr>
      <w:jc w:val="both"/>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581CC3"/>
    <w:rPr>
      <w:rFonts w:ascii="Tahoma" w:hAnsi="Tahoma" w:cs="Tahoma"/>
      <w:sz w:val="16"/>
      <w:szCs w:val="16"/>
      <w:rtl w:val="0"/>
      <w:cs w:val="0"/>
      <w:lang w:val="x-none" w:eastAsia="sk-SK"/>
    </w:rPr>
  </w:style>
  <w:style w:type="paragraph" w:styleId="CommentText">
    <w:name w:val="annotation text"/>
    <w:basedOn w:val="Normal"/>
    <w:link w:val="TextkomentraChar"/>
    <w:uiPriority w:val="99"/>
    <w:rsid w:val="00581CC3"/>
    <w:pPr>
      <w:jc w:val="both"/>
    </w:pPr>
    <w:rPr>
      <w:sz w:val="20"/>
      <w:szCs w:val="20"/>
    </w:rPr>
  </w:style>
  <w:style w:type="character" w:customStyle="1" w:styleId="TextkomentraChar">
    <w:name w:val="Text komentára Char"/>
    <w:basedOn w:val="DefaultParagraphFont"/>
    <w:link w:val="CommentText"/>
    <w:uiPriority w:val="99"/>
    <w:locked/>
    <w:rsid w:val="00581CC3"/>
    <w:rPr>
      <w:rFonts w:eastAsia="Times New Roman" w:cs="Times New Roman"/>
      <w:sz w:val="20"/>
      <w:szCs w:val="20"/>
      <w:rtl w:val="0"/>
      <w:cs w:val="0"/>
      <w:lang w:val="x-none" w:eastAsia="sk-SK"/>
    </w:rPr>
  </w:style>
  <w:style w:type="character" w:styleId="CommentReference">
    <w:name w:val="annotation reference"/>
    <w:basedOn w:val="DefaultParagraphFont"/>
    <w:uiPriority w:val="99"/>
    <w:rsid w:val="00581CC3"/>
    <w:rPr>
      <w:rFonts w:cs="Times New Roman"/>
      <w:sz w:val="16"/>
      <w:szCs w:val="16"/>
      <w:rtl w:val="0"/>
      <w:cs w:val="0"/>
    </w:rPr>
  </w:style>
  <w:style w:type="paragraph" w:styleId="CommentSubject">
    <w:name w:val="annotation subject"/>
    <w:basedOn w:val="CommentText"/>
    <w:next w:val="CommentText"/>
    <w:link w:val="PredmetkomentraChar"/>
    <w:uiPriority w:val="99"/>
    <w:rsid w:val="00581CC3"/>
    <w:pPr>
      <w:jc w:val="both"/>
    </w:pPr>
    <w:rPr>
      <w:b/>
      <w:bCs/>
    </w:rPr>
  </w:style>
  <w:style w:type="character" w:customStyle="1" w:styleId="PredmetkomentraChar">
    <w:name w:val="Predmet komentára Char"/>
    <w:basedOn w:val="TextkomentraChar"/>
    <w:link w:val="CommentSubject"/>
    <w:uiPriority w:val="99"/>
    <w:locked/>
    <w:rsid w:val="00581CC3"/>
    <w:rPr>
      <w:b/>
      <w:bCs/>
    </w:rPr>
  </w:style>
  <w:style w:type="paragraph" w:customStyle="1" w:styleId="Parods">
    <w:name w:val="Par_ods"/>
    <w:basedOn w:val="Normal"/>
    <w:qFormat/>
    <w:rsid w:val="00581CC3"/>
    <w:pPr>
      <w:keepNext w:val="0"/>
      <w:numPr>
        <w:numId w:val="5"/>
      </w:numPr>
      <w:tabs>
        <w:tab w:val="left" w:pos="426"/>
      </w:tabs>
      <w:spacing w:before="120"/>
      <w:ind w:left="360" w:hanging="360"/>
      <w:jc w:val="both"/>
    </w:pPr>
    <w:rPr>
      <w:sz w:val="22"/>
      <w:szCs w:val="22"/>
      <w:lang w:eastAsia="en-US"/>
    </w:rPr>
  </w:style>
  <w:style w:type="paragraph" w:customStyle="1" w:styleId="text">
    <w:name w:val="text"/>
    <w:basedOn w:val="Normal"/>
    <w:qFormat/>
    <w:rsid w:val="00581CC3"/>
    <w:pPr>
      <w:keepNext w:val="0"/>
      <w:ind w:left="567"/>
      <w:jc w:val="both"/>
    </w:pPr>
  </w:style>
  <w:style w:type="paragraph" w:customStyle="1" w:styleId="parods2">
    <w:name w:val="par_ods2"/>
    <w:basedOn w:val="Parods"/>
    <w:qFormat/>
    <w:rsid w:val="00581CC3"/>
    <w:pPr>
      <w:keepNext w:val="0"/>
      <w:numPr>
        <w:ilvl w:val="1"/>
      </w:numPr>
      <w:spacing w:before="60"/>
      <w:ind w:left="851" w:hanging="357"/>
      <w:jc w:val="both"/>
    </w:pPr>
  </w:style>
  <w:style w:type="paragraph" w:styleId="Revision">
    <w:name w:val="Revision"/>
    <w:hidden/>
    <w:uiPriority w:val="99"/>
    <w:semiHidden/>
    <w:rsid w:val="00581CC3"/>
    <w:pPr>
      <w:framePr w:wrap="auto"/>
      <w:widowControl/>
      <w:autoSpaceDE/>
      <w:autoSpaceDN/>
      <w:adjustRightInd/>
      <w:ind w:left="0" w:right="0"/>
      <w:jc w:val="left"/>
      <w:textAlignment w:val="auto"/>
    </w:pPr>
    <w:rPr>
      <w:rFonts w:asciiTheme="minorHAnsi" w:hAnsiTheme="minorHAnsi" w:cs="Times New Roman"/>
      <w:sz w:val="24"/>
      <w:szCs w:val="24"/>
      <w:rtl w:val="0"/>
      <w:cs w:val="0"/>
      <w:lang w:val="sk-SK" w:eastAsia="sk-SK" w:bidi="ar-SA"/>
    </w:rPr>
  </w:style>
  <w:style w:type="paragraph" w:styleId="ListParagraph">
    <w:name w:val="List Paragraph"/>
    <w:basedOn w:val="Normal"/>
    <w:uiPriority w:val="34"/>
    <w:qFormat/>
    <w:rsid w:val="00581CC3"/>
    <w:pPr>
      <w:keepNext w:val="0"/>
      <w:widowControl w:val="0"/>
      <w:autoSpaceDE w:val="0"/>
      <w:autoSpaceDN w:val="0"/>
      <w:adjustRightInd w:val="0"/>
      <w:ind w:left="720"/>
      <w:contextualSpacing/>
      <w:jc w:val="left"/>
    </w:pPr>
    <w:rPr>
      <w:rFonts w:ascii="Times New Roman" w:hAnsi="Times New Roman"/>
    </w:rPr>
  </w:style>
  <w:style w:type="table" w:styleId="TableGrid">
    <w:name w:val="Table Grid"/>
    <w:basedOn w:val="TableNormal"/>
    <w:uiPriority w:val="59"/>
    <w:unhideWhenUsed/>
    <w:rsid w:val="00581CC3"/>
    <w:pPr>
      <w:spacing w:after="0" w:line="240" w:lineRule="auto"/>
    </w:pPr>
    <w:rPr>
      <w:rFonts w:ascii="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81CC3"/>
    <w:rPr>
      <w:rFonts w:cs="Times New Roman"/>
      <w:b/>
      <w:bCs/>
      <w:rtl w:val="0"/>
      <w:cs w:val="0"/>
    </w:rPr>
  </w:style>
  <w:style w:type="character" w:styleId="PageNumber">
    <w:name w:val="page number"/>
    <w:basedOn w:val="DefaultParagraphFont"/>
    <w:uiPriority w:val="99"/>
    <w:rsid w:val="00581CC3"/>
    <w:rPr>
      <w:rFonts w:cs="Times New Roman"/>
      <w:rtl w:val="0"/>
      <w:cs w:val="0"/>
    </w:rPr>
  </w:style>
  <w:style w:type="character" w:customStyle="1" w:styleId="col-lg-2">
    <w:name w:val="col-lg-2"/>
    <w:basedOn w:val="DefaultParagraphFont"/>
    <w:rsid w:val="00581CC3"/>
    <w:rPr>
      <w:rFonts w:cs="Times New Roman"/>
      <w:rtl w:val="0"/>
      <w:cs w:val="0"/>
    </w:rPr>
  </w:style>
  <w:style w:type="table" w:customStyle="1" w:styleId="Mriekatabuky1">
    <w:name w:val="Mriežka tabuľky1"/>
    <w:basedOn w:val="TableNormal"/>
    <w:next w:val="TableGrid"/>
    <w:uiPriority w:val="59"/>
    <w:rsid w:val="00581CC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lov-lex.sk/pravne-predpisy/SK/ZZ/2003/504/" TargetMode="External" /><Relationship Id="rId5" Type="http://schemas.openxmlformats.org/officeDocument/2006/relationships/hyperlink" Target="https://www.slov-lex.sk/pravne-predpisy/SK/ZZ/1991/330/"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25</Pages>
  <Words>7577</Words>
  <Characters>43193</Characters>
  <Application>Microsoft Office Word</Application>
  <DocSecurity>0</DocSecurity>
  <Lines>0</Lines>
  <Paragraphs>0</Paragraphs>
  <ScaleCrop>false</ScaleCrop>
  <Company/>
  <LinksUpToDate>false</LinksUpToDate>
  <CharactersWithSpaces>50669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Pidanič Michal</dc:creator>
  <cp:lastModifiedBy>Pidanič Michal</cp:lastModifiedBy>
  <cp:revision>2</cp:revision>
  <dcterms:created xsi:type="dcterms:W3CDTF">2017-08-17T09:09:00Z</dcterms:created>
  <dcterms:modified xsi:type="dcterms:W3CDTF">2017-08-17T09:09:00Z</dcterms:modified>
</cp:coreProperties>
</file>