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Grid"/>
        <w:tblW w:w="0" w:type="auto"/>
        <w:tblLook w:val="04A0"/>
      </w:tblPr>
      <w:tblGrid>
        <w:gridCol w:w="9062"/>
      </w:tblGrid>
      <w:tr>
        <w:tblPrEx>
          <w:tblW w:w="0" w:type="auto"/>
          <w:tblLook w:val="04A0"/>
        </w:tblPrEx>
        <w:trPr>
          <w:trHeight w:val="567"/>
        </w:trPr>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7B71A4">
            <w:pPr>
              <w:bidi w:val="0"/>
              <w:jc w:val="center"/>
              <w:rPr>
                <w:rFonts w:ascii="Times New Roman" w:hAnsi="Times New Roman"/>
                <w:b/>
                <w:sz w:val="24"/>
              </w:rPr>
            </w:pPr>
            <w:r w:rsidRPr="008A1252" w:rsidR="008A1252">
              <w:rPr>
                <w:rFonts w:ascii="Times New Roman" w:hAnsi="Times New Roman"/>
                <w:b/>
                <w:sz w:val="28"/>
              </w:rPr>
              <w:t xml:space="preserve">Analýza </w:t>
            </w:r>
            <w:r w:rsidR="008A1252">
              <w:rPr>
                <w:rFonts w:ascii="Times New Roman" w:hAnsi="Times New Roman"/>
                <w:b/>
                <w:sz w:val="28"/>
              </w:rPr>
              <w:t>v</w:t>
            </w:r>
            <w:r w:rsidRPr="00042C66">
              <w:rPr>
                <w:rFonts w:ascii="Times New Roman" w:hAnsi="Times New Roman"/>
                <w:b/>
                <w:sz w:val="28"/>
              </w:rPr>
              <w:t>plyv</w:t>
            </w:r>
            <w:r w:rsidR="008A1252">
              <w:rPr>
                <w:rFonts w:ascii="Times New Roman" w:hAnsi="Times New Roman"/>
                <w:b/>
                <w:sz w:val="28"/>
              </w:rPr>
              <w:t>ov</w:t>
            </w:r>
            <w:r w:rsidRPr="00042C66">
              <w:rPr>
                <w:rFonts w:ascii="Times New Roman" w:hAnsi="Times New Roman"/>
                <w:b/>
                <w:sz w:val="28"/>
              </w:rPr>
              <w:t xml:space="preserve"> na podnikateľské prostredie </w:t>
            </w:r>
          </w:p>
          <w:p w:rsidR="009F2DFA" w:rsidRPr="00F04CCD" w:rsidP="00780BA6">
            <w:pPr>
              <w:bidi w:val="0"/>
              <w:jc w:val="center"/>
              <w:rPr>
                <w:rFonts w:ascii="Times New Roman" w:hAnsi="Times New Roman"/>
                <w:b/>
              </w:rPr>
            </w:pPr>
            <w:r w:rsidRPr="00042C66">
              <w:rPr>
                <w:rFonts w:ascii="Times New Roman" w:hAnsi="Times New Roman"/>
                <w:b/>
                <w:sz w:val="24"/>
              </w:rPr>
              <w:t xml:space="preserve">(vrátane </w:t>
            </w:r>
            <w:r w:rsidR="00780BA6">
              <w:rPr>
                <w:rFonts w:ascii="Times New Roman" w:hAnsi="Times New Roman"/>
                <w:b/>
                <w:sz w:val="24"/>
              </w:rPr>
              <w:t xml:space="preserve">testu </w:t>
            </w:r>
            <w:r w:rsidRPr="00042C66">
              <w:rPr>
                <w:rFonts w:ascii="Times New Roman" w:hAnsi="Times New Roman"/>
                <w:b/>
                <w:sz w:val="24"/>
              </w:rPr>
              <w:t>MSP)</w:t>
            </w:r>
          </w:p>
        </w:tc>
      </w:tr>
      <w:tr>
        <w:tblPrEx>
          <w:tblW w:w="0" w:type="auto"/>
          <w:tblLook w:val="04A0"/>
        </w:tblPrEx>
        <w:trPr>
          <w:trHeight w:val="567"/>
        </w:trPr>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7B71A4">
            <w:pPr>
              <w:bidi w:val="0"/>
              <w:rPr>
                <w:rFonts w:ascii="Times New Roman" w:hAnsi="Times New Roman"/>
                <w:b/>
                <w:sz w:val="24"/>
              </w:rPr>
            </w:pPr>
            <w:r w:rsidRPr="00042C66">
              <w:rPr>
                <w:rFonts w:ascii="Times New Roman" w:hAnsi="Times New Roman"/>
                <w:b/>
                <w:sz w:val="24"/>
              </w:rPr>
              <w:t>Materiál bude mať vplyv s ohľadom na veľkostnú kategóriu podnikov:</w:t>
            </w:r>
          </w:p>
        </w:tc>
      </w:tr>
      <w:tr>
        <w:tblPrEx>
          <w:tblW w:w="0" w:type="auto"/>
          <w:tblLook w:val="04A0"/>
        </w:tblPrEx>
        <w:trPr>
          <w:trHeight w:val="567"/>
        </w:trPr>
        <w:tc>
          <w:tcPr>
            <w:tcW w:w="906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410"/>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il"/>
                    <w:left w:val="nil"/>
                    <w:bottom w:val="nil"/>
                    <w:right w:val="nil"/>
                  </w:tcBorders>
                  <w:textDirection w:val="lrTb"/>
                  <w:vAlign w:val="top"/>
                </w:tcPr>
                <w:p w:rsidR="009F2DFA" w:rsidRPr="00F04CCD" w:rsidP="007B71A4">
                  <w:pPr>
                    <w:bidi w:val="0"/>
                    <w:spacing w:after="0" w:line="240" w:lineRule="auto"/>
                    <w:jc w:val="center"/>
                    <w:rPr>
                      <w:rFonts w:ascii="Times New Roman" w:hAnsi="Times New Roman"/>
                    </w:rPr>
                  </w:pPr>
                  <w:r w:rsidRPr="00F04CCD">
                    <w:rPr>
                      <w:rFonts w:ascii="Segoe UI Symbol" w:eastAsia="MS Mincho" w:hAnsi="Segoe UI Symbol" w:cs="Segoe UI Symbol" w:hint="default"/>
                    </w:rPr>
                    <w:t>☐</w:t>
                  </w:r>
                </w:p>
              </w:tc>
              <w:tc>
                <w:tcPr>
                  <w:tcW w:w="8545" w:type="dxa"/>
                  <w:tcBorders>
                    <w:top w:val="nil"/>
                    <w:left w:val="nil"/>
                    <w:bottom w:val="nil"/>
                    <w:right w:val="nil"/>
                  </w:tcBorders>
                  <w:textDirection w:val="lrTb"/>
                  <w:vAlign w:val="top"/>
                </w:tcPr>
                <w:p w:rsidR="009F2DFA" w:rsidRPr="00F04CCD" w:rsidP="007B71A4">
                  <w:pPr>
                    <w:bidi w:val="0"/>
                    <w:rPr>
                      <w:rFonts w:ascii="Times New Roman" w:hAnsi="Times New Roman"/>
                      <w:b/>
                    </w:rPr>
                  </w:pPr>
                  <w:r w:rsidRPr="00F04CCD">
                    <w:rPr>
                      <w:rFonts w:ascii="Times New Roman" w:hAnsi="Times New Roman"/>
                      <w:b/>
                    </w:rPr>
                    <w:t xml:space="preserve">iba na MSP (0 - 249 zamestnancov) </w:t>
                  </w:r>
                </w:p>
              </w:tc>
            </w:tr>
            <w:tr>
              <w:tblPrEx>
                <w:tblW w:w="0" w:type="auto"/>
                <w:tblLook w:val="04A0"/>
              </w:tblPrEx>
              <w:tc>
                <w:tcPr>
                  <w:tcW w:w="436" w:type="dxa"/>
                  <w:tcBorders>
                    <w:top w:val="nil"/>
                    <w:left w:val="nil"/>
                    <w:bottom w:val="nil"/>
                    <w:right w:val="nil"/>
                  </w:tcBorders>
                  <w:textDirection w:val="lrTb"/>
                  <w:vAlign w:val="top"/>
                </w:tcPr>
                <w:p w:rsidR="009F2DFA" w:rsidRPr="00F04CCD" w:rsidP="007B71A4">
                  <w:pPr>
                    <w:bidi w:val="0"/>
                    <w:jc w:val="center"/>
                    <w:rPr>
                      <w:rFonts w:ascii="Times New Roman" w:hAnsi="Times New Roman"/>
                    </w:rPr>
                  </w:pPr>
                  <w:r w:rsidRPr="00F04CCD">
                    <w:rPr>
                      <w:rFonts w:ascii="Segoe UI Symbol" w:eastAsia="MS Mincho" w:hAnsi="Segoe UI Symbol" w:cs="Segoe UI Symbol" w:hint="default"/>
                    </w:rPr>
                    <w:t>☐</w:t>
                  </w:r>
                </w:p>
              </w:tc>
              <w:tc>
                <w:tcPr>
                  <w:tcW w:w="8545" w:type="dxa"/>
                  <w:tcBorders>
                    <w:top w:val="nil"/>
                    <w:left w:val="nil"/>
                    <w:bottom w:val="nil"/>
                    <w:right w:val="nil"/>
                  </w:tcBorders>
                  <w:textDirection w:val="lrTb"/>
                  <w:vAlign w:val="top"/>
                </w:tcPr>
                <w:p w:rsidR="009F2DFA" w:rsidRPr="00F04CCD" w:rsidP="007B71A4">
                  <w:pPr>
                    <w:bidi w:val="0"/>
                    <w:rPr>
                      <w:rFonts w:ascii="Times New Roman" w:hAnsi="Times New Roman"/>
                      <w:b/>
                    </w:rPr>
                  </w:pPr>
                  <w:r w:rsidRPr="00F04CCD">
                    <w:rPr>
                      <w:rFonts w:ascii="Times New Roman" w:hAnsi="Times New Roman"/>
                      <w:b/>
                    </w:rPr>
                    <w:t>iba na veľké podniky (250 a viac zamestnancov)</w:t>
                  </w:r>
                </w:p>
              </w:tc>
            </w:tr>
            <w:tr>
              <w:tblPrEx>
                <w:tblW w:w="0" w:type="auto"/>
                <w:tblLook w:val="04A0"/>
              </w:tblPrEx>
              <w:tc>
                <w:tcPr>
                  <w:tcW w:w="436" w:type="dxa"/>
                  <w:tcBorders>
                    <w:top w:val="nil"/>
                    <w:left w:val="nil"/>
                    <w:bottom w:val="nil"/>
                    <w:right w:val="nil"/>
                  </w:tcBorders>
                  <w:textDirection w:val="lrTb"/>
                  <w:vAlign w:val="top"/>
                </w:tcPr>
                <w:p w:rsidR="009F2DFA" w:rsidRPr="00F04CCD" w:rsidP="007B71A4">
                  <w:pPr>
                    <w:bidi w:val="0"/>
                    <w:jc w:val="center"/>
                    <w:rPr>
                      <w:rFonts w:ascii="Times New Roman" w:hAnsi="Times New Roman"/>
                    </w:rPr>
                  </w:pPr>
                  <w:r w:rsidR="000365E8">
                    <w:rPr>
                      <w:rFonts w:ascii="MS Gothic" w:eastAsia="MS Gothic" w:hAnsi="Times New Roman" w:hint="eastAsia"/>
                    </w:rPr>
                    <w:t>☒</w:t>
                  </w:r>
                </w:p>
              </w:tc>
              <w:tc>
                <w:tcPr>
                  <w:tcW w:w="8545" w:type="dxa"/>
                  <w:tcBorders>
                    <w:top w:val="nil"/>
                    <w:left w:val="nil"/>
                    <w:bottom w:val="nil"/>
                    <w:right w:val="nil"/>
                  </w:tcBorders>
                  <w:textDirection w:val="lrTb"/>
                  <w:vAlign w:val="top"/>
                </w:tcPr>
                <w:p w:rsidR="009F2DFA" w:rsidRPr="00F04CCD" w:rsidP="007B71A4">
                  <w:pPr>
                    <w:bidi w:val="0"/>
                    <w:rPr>
                      <w:rFonts w:ascii="Times New Roman" w:hAnsi="Times New Roman"/>
                    </w:rPr>
                  </w:pPr>
                  <w:r w:rsidRPr="00F04CCD">
                    <w:rPr>
                      <w:rFonts w:ascii="Times New Roman" w:hAnsi="Times New Roman"/>
                      <w:b/>
                    </w:rPr>
                    <w:t xml:space="preserve">na všetky </w:t>
                  </w:r>
                  <w:r>
                    <w:rPr>
                      <w:rFonts w:ascii="Times New Roman" w:hAnsi="Times New Roman"/>
                      <w:b/>
                    </w:rPr>
                    <w:t>kategórie</w:t>
                  </w:r>
                  <w:r w:rsidRPr="00F04CCD">
                    <w:rPr>
                      <w:rFonts w:ascii="Times New Roman" w:hAnsi="Times New Roman"/>
                      <w:b/>
                    </w:rPr>
                    <w:t xml:space="preserve"> podnikov</w:t>
                  </w:r>
                </w:p>
              </w:tc>
            </w:tr>
          </w:tbl>
          <w:p w:rsidR="009F2DFA" w:rsidRPr="00F04CCD" w:rsidP="007B71A4">
            <w:pPr>
              <w:bidi w:val="0"/>
              <w:rPr>
                <w:rFonts w:ascii="Times New Roman" w:hAnsi="Times New Roman"/>
                <w:b/>
              </w:rPr>
            </w:pP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7B71A4">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.1 Dotknuté podnikateľské subjekty</w:t>
            </w:r>
          </w:p>
          <w:p w:rsidR="009F2DFA" w:rsidRPr="00F04CCD" w:rsidP="007B71A4">
            <w:pPr>
              <w:bidi w:val="0"/>
              <w:ind w:left="284"/>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rPr>
          <w:trHeight w:val="406"/>
        </w:trPr>
        <w:tc>
          <w:tcPr>
            <w:tcW w:w="9062" w:type="dxa"/>
            <w:tcBorders>
              <w:top w:val="single" w:sz="4" w:space="0" w:color="auto"/>
              <w:left w:val="single" w:sz="4" w:space="0" w:color="auto"/>
              <w:bottom w:val="single" w:sz="4" w:space="0" w:color="auto"/>
              <w:right w:val="single" w:sz="4" w:space="0" w:color="auto"/>
            </w:tcBorders>
            <w:textDirection w:val="lrTb"/>
            <w:vAlign w:val="top"/>
          </w:tcPr>
          <w:p w:rsidR="009F2DFA" w:rsidP="000365E8">
            <w:pPr>
              <w:bidi w:val="0"/>
              <w:rPr>
                <w:rFonts w:ascii="Times New Roman" w:hAnsi="Times New Roman"/>
                <w:i/>
              </w:rPr>
            </w:pPr>
            <w:r w:rsidR="000365E8">
              <w:rPr>
                <w:rFonts w:ascii="Times New Roman" w:hAnsi="Times New Roman"/>
                <w:i/>
              </w:rPr>
              <w:t>Predložený návrh sa dotýka</w:t>
            </w:r>
            <w:r w:rsidRPr="000365E8" w:rsidR="000365E8">
              <w:rPr>
                <w:rFonts w:ascii="Times New Roman" w:hAnsi="Times New Roman"/>
                <w:i/>
              </w:rPr>
              <w:t xml:space="preserve"> všetkých podnikateľských subjektoch vo všetkých odvetviach.</w:t>
            </w:r>
          </w:p>
          <w:p w:rsidR="003C00D0" w:rsidRPr="00F04CCD" w:rsidP="00880BC5">
            <w:pPr>
              <w:bidi w:val="0"/>
              <w:rPr>
                <w:rFonts w:ascii="Times New Roman" w:hAnsi="Times New Roman"/>
                <w:i/>
              </w:rPr>
            </w:pPr>
            <w:r w:rsidRPr="003C00D0">
              <w:rPr>
                <w:rFonts w:ascii="Times New Roman" w:hAnsi="Times New Roman"/>
                <w:i/>
              </w:rPr>
              <w:t>122 750 zamestnávateľov podľa štatistík so zisteným počtom zamestnancov, z toho 122 088 zamestnávateľov v skupine mikro, malých a stredných podnikov</w:t>
            </w:r>
            <w:r>
              <w:rPr>
                <w:rFonts w:ascii="Times New Roman" w:hAnsi="Times New Roman"/>
                <w:i/>
              </w:rPr>
              <w:t>.</w:t>
            </w:r>
          </w:p>
        </w:tc>
      </w:tr>
      <w:tr>
        <w:tblPrEx>
          <w:tblW w:w="0" w:type="auto"/>
          <w:tblLook w:val="04A0"/>
        </w:tblPrEx>
        <w:trPr>
          <w:trHeight w:val="339"/>
        </w:trPr>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7B71A4">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.2 Vyhodnotenie konzultácií</w:t>
            </w:r>
          </w:p>
          <w:p w:rsidR="009F2DFA" w:rsidRPr="00F04CCD" w:rsidP="007B71A4">
            <w:pPr>
              <w:bidi w:val="0"/>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rPr>
          <w:trHeight w:val="440"/>
        </w:trPr>
        <w:tc>
          <w:tcPr>
            <w:tcW w:w="9062" w:type="dxa"/>
            <w:tcBorders>
              <w:top w:val="single" w:sz="4" w:space="0" w:color="auto"/>
              <w:left w:val="single" w:sz="4" w:space="0" w:color="auto"/>
              <w:bottom w:val="single" w:sz="4" w:space="0" w:color="auto"/>
              <w:right w:val="single" w:sz="4" w:space="0" w:color="auto"/>
            </w:tcBorders>
            <w:textDirection w:val="lrTb"/>
            <w:vAlign w:val="top"/>
          </w:tcPr>
          <w:p w:rsidR="009B1F51" w:rsidRPr="0042233D" w:rsidP="009B1F51">
            <w:pPr>
              <w:pStyle w:val="ListParagraph"/>
              <w:numPr>
                <w:numId w:val="13"/>
              </w:numPr>
              <w:bidi w:val="0"/>
              <w:ind w:left="313" w:hanging="284"/>
              <w:jc w:val="both"/>
              <w:rPr>
                <w:rFonts w:ascii="Times New Roman" w:hAnsi="Times New Roman"/>
                <w:i/>
                <w:sz w:val="20"/>
                <w:szCs w:val="20"/>
              </w:rPr>
            </w:pPr>
            <w:r w:rsidRPr="0042233D">
              <w:rPr>
                <w:rFonts w:ascii="Times New Roman" w:hAnsi="Times New Roman"/>
                <w:i/>
                <w:sz w:val="20"/>
                <w:szCs w:val="20"/>
              </w:rPr>
              <w:t>Pracovná skupina za účasti zástupcov partnerov - Ministerstvo práce, sociálnych vecí a rodiny SR, Ministerstvo hospodárstva a výstavby SR, Úrad verejného zdravotníctva SR, Republiková únia zamestnávateľov, Klub 500, Združenie miest a obcí Slovenska, Asociácia zamestnávateľských zväzov a združení SR, Konfederácia odborových zväzov, Slovenský odborový zväz zdravotníctva a sociálnych služieb. Pracovné stretnutie sa uskutočnilo 10.11.2016, kde sa prerokovali všetky body návrhu MZ SR, ako aj stanoviská a pripomienky sociálnych partnerov. Predkladateľ väčšinu pripomienok zapracoval do návrhu.</w:t>
            </w:r>
          </w:p>
          <w:p w:rsidR="009B1F51" w:rsidRPr="0042233D" w:rsidP="009B1F51">
            <w:pPr>
              <w:pStyle w:val="ListParagraph"/>
              <w:numPr>
                <w:numId w:val="13"/>
              </w:numPr>
              <w:bidi w:val="0"/>
              <w:ind w:left="313" w:hanging="284"/>
              <w:jc w:val="both"/>
              <w:rPr>
                <w:rFonts w:ascii="Times New Roman" w:hAnsi="Times New Roman"/>
                <w:i/>
                <w:sz w:val="20"/>
                <w:szCs w:val="20"/>
              </w:rPr>
            </w:pPr>
            <w:r w:rsidRPr="0042233D">
              <w:rPr>
                <w:rFonts w:ascii="Times New Roman" w:hAnsi="Times New Roman"/>
                <w:i/>
                <w:sz w:val="20"/>
                <w:szCs w:val="20"/>
              </w:rPr>
              <w:t>Následne 15. 12. 2016 bolo pracovné stretnutie s odborníkmi v oblasti ochrany zdravie pri práci, ako aj zástupcov pracovných zdravotných služieb, Ministerstva hospodárstva SR, Ministerstva práce, soc. vecí a rodiny SR, ako aj zástupcov Centra pre lepšiu reguláciu (SBA), ktorého cieľom bolo rokovanie o legislatívnom návrhu na základe schváleného materiálu Vládou SR - Návrh riešenia zabezpečenia Pracovnej zdravotnej služby zo strany zamestnávateľa vo väzbe na počet zamestnancov a stupeň zdravotného rizika - informatívny materiál. Na tomto stretnutí bola predložená pracovná verzia návrhu zákona.</w:t>
            </w:r>
          </w:p>
          <w:p w:rsidR="009B1F51" w:rsidRPr="0042233D" w:rsidP="00D81F88">
            <w:pPr>
              <w:pStyle w:val="ListParagraph"/>
              <w:numPr>
                <w:numId w:val="13"/>
              </w:numPr>
              <w:bidi w:val="0"/>
              <w:ind w:left="313" w:hanging="284"/>
              <w:jc w:val="both"/>
              <w:rPr>
                <w:rFonts w:ascii="Times New Roman" w:hAnsi="Times New Roman"/>
                <w:i/>
                <w:sz w:val="20"/>
                <w:szCs w:val="20"/>
              </w:rPr>
            </w:pPr>
            <w:r w:rsidRPr="00D81F88" w:rsidR="00D81F88">
              <w:rPr>
                <w:rFonts w:ascii="Times New Roman" w:hAnsi="Times New Roman"/>
                <w:i/>
                <w:sz w:val="20"/>
                <w:szCs w:val="20"/>
              </w:rPr>
              <w:t>V priebehu decembra 2016 a januára 2017 prebehli rokovania a stretnutia s Centrom pre lepšiu reguláciu v procese prípravy testu malých a stredných podnikov v rámci analýzy vplyvov na podnikateľské prostredie. Prostredníctvom elektronickej komunikácie predkladateľ pripomienkoval jednotlivé časti Analýzy nákladov a prínosov pracovnej zdravotnej služby pre malé a stredné podniky voči zamestnancom prvej a druhej kategórie prác vypracovanej Centrom lepšej regulácie z hľadiska ich vecného obsahu a v súvislosti s aplikačnou praxou.</w:t>
            </w:r>
          </w:p>
          <w:p w:rsidR="009F2DFA" w:rsidRPr="0042233D" w:rsidP="00BB3162">
            <w:pPr>
              <w:pStyle w:val="ListParagraph"/>
              <w:numPr>
                <w:numId w:val="13"/>
              </w:numPr>
              <w:bidi w:val="0"/>
              <w:ind w:left="313" w:hanging="284"/>
              <w:rPr>
                <w:i/>
              </w:rPr>
            </w:pPr>
            <w:r w:rsidRPr="0042233D" w:rsidR="009B1F51">
              <w:rPr>
                <w:rFonts w:ascii="Times New Roman" w:hAnsi="Times New Roman"/>
                <w:i/>
                <w:sz w:val="20"/>
                <w:szCs w:val="20"/>
              </w:rPr>
              <w:t>18.1.2017 sa zišla pracovná skupina so sociálnymi partnermi a zástupcami relevantných rezortov k návrhu zákona, ktorým sa mení a dopĺňa zákon č. 355/2007 Z. z. o ochrane, podpore a rozvoji verejného zdravia a o zmene a doplnení niektorých zákonov v znení neskorších predpisov – PZS a prebehla diskusia k paragrafovému zneniu.</w:t>
            </w:r>
          </w:p>
          <w:p w:rsidR="00BB3162" w:rsidRPr="00BB3162" w:rsidP="00BB3162">
            <w:pPr>
              <w:pStyle w:val="ListParagraph"/>
              <w:numPr>
                <w:numId w:val="13"/>
              </w:numPr>
              <w:bidi w:val="0"/>
              <w:ind w:left="313" w:hanging="284"/>
              <w:rPr>
                <w:i/>
              </w:rPr>
            </w:pPr>
            <w:r w:rsidRPr="0042233D">
              <w:rPr>
                <w:rFonts w:ascii="Times New Roman" w:hAnsi="Times New Roman"/>
                <w:i/>
                <w:sz w:val="20"/>
                <w:szCs w:val="20"/>
              </w:rPr>
              <w:t>Predkladateľ zapracoval väčšinu vecných pripomienok partnerov do návrhu zákona, čo potvrdili aj zástupcovia Centra pre lepšiu reguláciu v spoločnej e-mailovej komunikácii</w:t>
            </w:r>
            <w:r w:rsidRPr="0042233D" w:rsidR="00461352">
              <w:rPr>
                <w:rFonts w:ascii="Times New Roman" w:hAnsi="Times New Roman"/>
                <w:i/>
                <w:sz w:val="20"/>
                <w:szCs w:val="20"/>
              </w:rPr>
              <w:t xml:space="preserve"> a čiastočne vyplýva aj z testu malých a stredných podnikov</w:t>
            </w:r>
            <w:r w:rsidR="00D81F88">
              <w:rPr>
                <w:rFonts w:ascii="Times New Roman" w:hAnsi="Times New Roman"/>
                <w:i/>
                <w:sz w:val="20"/>
                <w:szCs w:val="20"/>
              </w:rPr>
              <w:t>, ktorý je priložený k predkladanému materiálu</w:t>
            </w:r>
            <w:r w:rsidRPr="0042233D">
              <w:rPr>
                <w:rFonts w:ascii="Times New Roman" w:hAnsi="Times New Roman"/>
                <w:i/>
                <w:sz w:val="20"/>
                <w:szCs w:val="20"/>
              </w:rPr>
              <w:t xml:space="preserve">. Nebolo možné akceptovať tie pripomienky zástupcov zamestnávateľských zväzov, ktoré vyplývali z nepochopenia odbornej problematiky </w:t>
            </w:r>
            <w:r w:rsidRPr="0042233D" w:rsidR="00461352">
              <w:rPr>
                <w:rFonts w:ascii="Times New Roman" w:hAnsi="Times New Roman"/>
                <w:i/>
                <w:sz w:val="20"/>
                <w:szCs w:val="20"/>
              </w:rPr>
              <w:t xml:space="preserve">riešenej </w:t>
            </w:r>
            <w:r w:rsidRPr="0042233D">
              <w:rPr>
                <w:rFonts w:ascii="Times New Roman" w:hAnsi="Times New Roman"/>
                <w:i/>
                <w:sz w:val="20"/>
                <w:szCs w:val="20"/>
              </w:rPr>
              <w:t>v návrhu zákona</w:t>
            </w:r>
            <w:r w:rsidRPr="0042233D" w:rsidR="00461352">
              <w:rPr>
                <w:rFonts w:ascii="Times New Roman" w:hAnsi="Times New Roman"/>
                <w:i/>
                <w:sz w:val="20"/>
                <w:szCs w:val="20"/>
              </w:rPr>
              <w:t>, resp. jej legislatívnych súvislostí</w:t>
            </w:r>
            <w:r w:rsidRPr="0042233D">
              <w:rPr>
                <w:rFonts w:ascii="Times New Roman" w:hAnsi="Times New Roman"/>
                <w:i/>
                <w:sz w:val="20"/>
                <w:szCs w:val="20"/>
              </w:rPr>
              <w:t>, teda boli fakticky nesprávne.</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7B71A4">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.3 Náklady regulácie</w:t>
            </w:r>
          </w:p>
          <w:p w:rsidR="009F2DFA" w:rsidRPr="00F04CCD" w:rsidP="007B71A4">
            <w:pPr>
              <w:bidi w:val="0"/>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b/>
                <w:i/>
              </w:rPr>
            </w:pPr>
            <w:r w:rsidR="002B1108">
              <w:rPr>
                <w:rFonts w:ascii="Times New Roman" w:hAnsi="Times New Roman"/>
                <w:b/>
                <w:i/>
              </w:rPr>
              <w:t>3</w:t>
            </w:r>
            <w:r w:rsidRPr="00F04CCD">
              <w:rPr>
                <w:rFonts w:ascii="Times New Roman" w:hAnsi="Times New Roman"/>
                <w:b/>
                <w:i/>
              </w:rPr>
              <w:t>.3.1 Priame finančné náklady</w:t>
            </w:r>
          </w:p>
          <w:p w:rsidR="009F2DFA" w:rsidRPr="00F04CCD" w:rsidP="007B71A4">
            <w:pPr>
              <w:bidi w:val="0"/>
              <w:rPr>
                <w:rFonts w:ascii="Times New Roman" w:hAnsi="Times New Roman"/>
                <w:i/>
              </w:rPr>
            </w:pPr>
            <w:r w:rsidRPr="00F04CCD">
              <w:rPr>
                <w:rFonts w:ascii="Times New Roman" w:hAnsi="Times New Roman"/>
                <w:i/>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D81F88" w:rsidRPr="00F04CCD" w:rsidP="00D81F88">
            <w:pPr>
              <w:bidi w:val="0"/>
              <w:jc w:val="both"/>
              <w:rPr>
                <w:rFonts w:ascii="Times New Roman" w:hAnsi="Times New Roman"/>
                <w:b/>
                <w:i/>
              </w:rPr>
            </w:pP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1A567A">
            <w:pPr>
              <w:bidi w:val="0"/>
              <w:rPr>
                <w:rFonts w:ascii="Times New Roman" w:hAnsi="Times New Roman"/>
                <w:i/>
              </w:rPr>
            </w:pPr>
            <w:r w:rsidR="002B1108">
              <w:rPr>
                <w:rFonts w:ascii="Times New Roman" w:hAnsi="Times New Roman"/>
                <w:b/>
                <w:i/>
              </w:rPr>
              <w:t>3</w:t>
            </w:r>
            <w:r w:rsidRPr="00F04CCD">
              <w:rPr>
                <w:rFonts w:ascii="Times New Roman" w:hAnsi="Times New Roman"/>
                <w:b/>
                <w:i/>
              </w:rPr>
              <w:t>.3.2 Nepriame finančné náklady</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D81F88" w:rsidRPr="005A51AA" w:rsidP="00D81F88">
            <w:pPr>
              <w:bidi w:val="0"/>
              <w:jc w:val="both"/>
              <w:rPr>
                <w:rFonts w:ascii="Times New Roman" w:hAnsi="Times New Roman"/>
                <w:i/>
              </w:rPr>
            </w:pPr>
            <w:r>
              <w:rPr>
                <w:rFonts w:ascii="Times New Roman" w:hAnsi="Times New Roman"/>
                <w:i/>
              </w:rPr>
              <w:t xml:space="preserve">- </w:t>
            </w:r>
            <w:r w:rsidRPr="005A51AA">
              <w:rPr>
                <w:rFonts w:ascii="Times New Roman" w:hAnsi="Times New Roman"/>
                <w:i/>
              </w:rPr>
              <w:t xml:space="preserve">Hlavnou navrhovanou zmenou je skutočnosť, že zamestnávatelia musia zabezpečiť posúdenie zdravotného rizika zamestnancov z expozície faktorom práce a pracovného prostredia v spolupráci s pracovnou zdravotnou službou, a to </w:t>
            </w:r>
            <w:r>
              <w:rPr>
                <w:rFonts w:ascii="Times New Roman" w:hAnsi="Times New Roman"/>
                <w:i/>
              </w:rPr>
              <w:t xml:space="preserve">spravidla </w:t>
            </w:r>
            <w:r w:rsidRPr="005A51AA">
              <w:rPr>
                <w:rFonts w:ascii="Times New Roman" w:hAnsi="Times New Roman"/>
                <w:i/>
              </w:rPr>
              <w:t>jednorazovo s ohľadom na zdravotné riziko</w:t>
            </w:r>
            <w:r w:rsidR="003F7503">
              <w:rPr>
                <w:rFonts w:ascii="Times New Roman" w:hAnsi="Times New Roman"/>
                <w:i/>
              </w:rPr>
              <w:t xml:space="preserve">, pričom </w:t>
            </w:r>
            <w:r w:rsidRPr="005A51AA">
              <w:rPr>
                <w:rFonts w:ascii="Times New Roman" w:hAnsi="Times New Roman"/>
                <w:i/>
              </w:rPr>
              <w:t xml:space="preserve">prioritou kontroly orgánov verejného zdravotníctva pri výkone štátneho zdravotného dozoru na pracovisku </w:t>
            </w:r>
            <w:r w:rsidR="003F7503">
              <w:rPr>
                <w:rFonts w:ascii="Times New Roman" w:hAnsi="Times New Roman"/>
                <w:i/>
              </w:rPr>
              <w:t xml:space="preserve">budú </w:t>
            </w:r>
            <w:r w:rsidRPr="005A51AA">
              <w:rPr>
                <w:rFonts w:ascii="Times New Roman" w:hAnsi="Times New Roman"/>
                <w:i/>
              </w:rPr>
              <w:t>posudky o riziku vypracované v spolupráci s pracovnou zdravotnou službou, nie zmluvy zamestnávateľov s pracovnou zdravotnou službou</w:t>
            </w:r>
            <w:r>
              <w:rPr>
                <w:rFonts w:ascii="Times New Roman" w:hAnsi="Times New Roman"/>
                <w:i/>
              </w:rPr>
              <w:t xml:space="preserve"> = </w:t>
            </w:r>
            <w:r w:rsidRPr="000353D5">
              <w:rPr>
                <w:rFonts w:ascii="Times New Roman" w:hAnsi="Times New Roman"/>
                <w:b/>
                <w:i/>
              </w:rPr>
              <w:t xml:space="preserve">zníženie </w:t>
            </w:r>
            <w:r>
              <w:rPr>
                <w:rFonts w:ascii="Times New Roman" w:hAnsi="Times New Roman"/>
                <w:b/>
                <w:i/>
              </w:rPr>
              <w:t>ne</w:t>
            </w:r>
            <w:r w:rsidRPr="000353D5">
              <w:rPr>
                <w:rFonts w:ascii="Times New Roman" w:hAnsi="Times New Roman"/>
                <w:b/>
                <w:i/>
              </w:rPr>
              <w:t>priamych nákladov</w:t>
            </w:r>
            <w:r>
              <w:rPr>
                <w:rFonts w:ascii="Times New Roman" w:hAnsi="Times New Roman"/>
                <w:b/>
                <w:i/>
              </w:rPr>
              <w:t>, vrátane MSP.</w:t>
            </w:r>
          </w:p>
          <w:p w:rsidR="00D81F88" w:rsidRPr="005A51AA" w:rsidP="00D81F88">
            <w:pPr>
              <w:bidi w:val="0"/>
              <w:jc w:val="both"/>
              <w:rPr>
                <w:rFonts w:ascii="Times New Roman" w:hAnsi="Times New Roman"/>
                <w:i/>
              </w:rPr>
            </w:pPr>
            <w:r>
              <w:rPr>
                <w:rFonts w:ascii="Times New Roman" w:hAnsi="Times New Roman"/>
                <w:i/>
              </w:rPr>
              <w:t xml:space="preserve">- </w:t>
            </w:r>
            <w:r w:rsidRPr="005A51AA">
              <w:rPr>
                <w:rFonts w:ascii="Times New Roman" w:hAnsi="Times New Roman"/>
                <w:i/>
              </w:rPr>
              <w:t>Súčasne sa vypúšťa povinnosť zamestnávateľov hodnotiť zdravotné riziko raz ročne. Posúdenie zdravotného rizika sa vykoná na pracovisku</w:t>
            </w:r>
            <w:r>
              <w:rPr>
                <w:rFonts w:ascii="Times New Roman" w:hAnsi="Times New Roman"/>
                <w:i/>
              </w:rPr>
              <w:t xml:space="preserve"> spravidla </w:t>
            </w:r>
            <w:r w:rsidRPr="005A51AA">
              <w:rPr>
                <w:rFonts w:ascii="Times New Roman" w:hAnsi="Times New Roman"/>
                <w:i/>
              </w:rPr>
              <w:t>jednorazovo s ohľadom na zdravotné riziko lekárom, verejným zdravotníkom alebo tímom pracovnej zdravotnej služby; opakovane sa vykoná pri podstatnej zmene zdravotného rizika v pracovnom prostredí.</w:t>
            </w:r>
            <w:r>
              <w:rPr>
                <w:rFonts w:ascii="Times New Roman" w:hAnsi="Times New Roman"/>
                <w:i/>
              </w:rPr>
              <w:t xml:space="preserve"> </w:t>
            </w:r>
            <w:r w:rsidRPr="00681AF9" w:rsidR="00681AF9">
              <w:rPr>
                <w:rFonts w:ascii="Times New Roman" w:hAnsi="Times New Roman"/>
                <w:i/>
              </w:rPr>
              <w:t>Frekvencia posúdenia zdravotného rizika raz ročne bola ponechaná na pracoviskách, na ktorých zamestnanci vykonávajú rizikové práce. Na pracoviskách, na ktorých zamestnanci vykonávajú práce v kategórii 2, budú zamestnávatelia hodnotiť zdravotné riziko pri práci raz za 18 mesiacov.</w:t>
            </w:r>
            <w:r w:rsidR="00681AF9">
              <w:rPr>
                <w:rFonts w:ascii="Times New Roman" w:hAnsi="Times New Roman"/>
                <w:i/>
              </w:rPr>
              <w:t xml:space="preserve"> </w:t>
            </w:r>
            <w:r>
              <w:rPr>
                <w:rFonts w:ascii="Times New Roman" w:hAnsi="Times New Roman"/>
                <w:i/>
              </w:rPr>
              <w:t xml:space="preserve">= </w:t>
            </w:r>
            <w:r w:rsidRPr="000353D5">
              <w:rPr>
                <w:rFonts w:ascii="Times New Roman" w:hAnsi="Times New Roman"/>
                <w:b/>
                <w:i/>
              </w:rPr>
              <w:t xml:space="preserve">zníženie </w:t>
            </w:r>
            <w:r>
              <w:rPr>
                <w:rFonts w:ascii="Times New Roman" w:hAnsi="Times New Roman"/>
                <w:b/>
                <w:i/>
              </w:rPr>
              <w:t>ne</w:t>
            </w:r>
            <w:r w:rsidRPr="000353D5">
              <w:rPr>
                <w:rFonts w:ascii="Times New Roman" w:hAnsi="Times New Roman"/>
                <w:b/>
                <w:i/>
              </w:rPr>
              <w:t>priamych nákladov</w:t>
            </w:r>
            <w:r>
              <w:rPr>
                <w:rFonts w:ascii="Times New Roman" w:hAnsi="Times New Roman"/>
                <w:b/>
                <w:i/>
              </w:rPr>
              <w:t>, vrátane MSP.</w:t>
            </w:r>
          </w:p>
          <w:p w:rsidR="00D81F88" w:rsidP="0055796A">
            <w:pPr>
              <w:bidi w:val="0"/>
              <w:jc w:val="both"/>
              <w:rPr>
                <w:rFonts w:ascii="Times New Roman" w:hAnsi="Times New Roman"/>
                <w:i/>
              </w:rPr>
            </w:pPr>
            <w:r>
              <w:rPr>
                <w:rFonts w:ascii="Times New Roman" w:hAnsi="Times New Roman"/>
                <w:i/>
              </w:rPr>
              <w:t xml:space="preserve">- </w:t>
            </w:r>
            <w:r w:rsidRPr="005A51AA">
              <w:rPr>
                <w:rFonts w:ascii="Times New Roman" w:hAnsi="Times New Roman"/>
                <w:i/>
              </w:rPr>
              <w:t xml:space="preserve">Povinnosť zamestnávateľov zabezpečiť posúdenie zdravotného rizika v spolupráci so zdravotníckym pracovníkom alebo s tímom pracovnej zdravotnej služby sa nevzťahuje na tých zamestnávateľov, ktorí už v súčasnosti majú posúdené zdravotné riziko, t. j. pred účinnosťou tohto návrhu zákona. </w:t>
            </w:r>
            <w:r>
              <w:rPr>
                <w:rFonts w:ascii="Times New Roman" w:hAnsi="Times New Roman"/>
                <w:i/>
              </w:rPr>
              <w:t xml:space="preserve"> = zachovaný status quo.</w:t>
            </w:r>
          </w:p>
          <w:p w:rsidR="00C546BE" w:rsidP="0055796A">
            <w:pPr>
              <w:bidi w:val="0"/>
              <w:jc w:val="both"/>
              <w:rPr>
                <w:rFonts w:ascii="Times New Roman" w:hAnsi="Times New Roman"/>
                <w:i/>
              </w:rPr>
            </w:pPr>
            <w:r>
              <w:rPr>
                <w:rFonts w:ascii="Times New Roman" w:hAnsi="Times New Roman"/>
                <w:i/>
              </w:rPr>
              <w:t xml:space="preserve">- </w:t>
            </w:r>
            <w:r w:rsidRPr="00C546BE">
              <w:rPr>
                <w:rFonts w:ascii="Times New Roman" w:hAnsi="Times New Roman"/>
                <w:i/>
              </w:rPr>
              <w:t>Poskytovateľ zdravotnej starostlivosti, ktorý je právnickou osobou, si môže zabezpečiť PZS vlastným zamestnancom.</w:t>
            </w:r>
            <w:r>
              <w:rPr>
                <w:rFonts w:ascii="Times New Roman" w:hAnsi="Times New Roman"/>
                <w:i/>
              </w:rPr>
              <w:t xml:space="preserve"> = </w:t>
            </w:r>
            <w:r w:rsidRPr="000353D5">
              <w:rPr>
                <w:rFonts w:ascii="Times New Roman" w:hAnsi="Times New Roman"/>
                <w:b/>
                <w:i/>
              </w:rPr>
              <w:t xml:space="preserve">zníženie </w:t>
            </w:r>
            <w:r>
              <w:rPr>
                <w:rFonts w:ascii="Times New Roman" w:hAnsi="Times New Roman"/>
                <w:b/>
                <w:i/>
              </w:rPr>
              <w:t>ne</w:t>
            </w:r>
            <w:r w:rsidRPr="000353D5">
              <w:rPr>
                <w:rFonts w:ascii="Times New Roman" w:hAnsi="Times New Roman"/>
                <w:b/>
                <w:i/>
              </w:rPr>
              <w:t>priamych nákladov</w:t>
            </w:r>
            <w:r>
              <w:rPr>
                <w:rFonts w:ascii="Times New Roman" w:hAnsi="Times New Roman"/>
                <w:b/>
                <w:i/>
              </w:rPr>
              <w:t>, vrátane MSP.</w:t>
            </w:r>
          </w:p>
          <w:p w:rsidR="00C546BE" w:rsidP="0055796A">
            <w:pPr>
              <w:bidi w:val="0"/>
              <w:jc w:val="both"/>
              <w:rPr>
                <w:rFonts w:ascii="Times New Roman" w:hAnsi="Times New Roman"/>
                <w:i/>
              </w:rPr>
            </w:pPr>
            <w:r>
              <w:rPr>
                <w:rFonts w:ascii="Times New Roman" w:hAnsi="Times New Roman"/>
                <w:i/>
              </w:rPr>
              <w:t xml:space="preserve">- </w:t>
            </w:r>
            <w:r w:rsidRPr="00C546BE">
              <w:rPr>
                <w:rFonts w:ascii="Times New Roman" w:hAnsi="Times New Roman"/>
                <w:i/>
              </w:rPr>
              <w:t>Vypúšťa sa príloha č. 3b k zákonu, ktorá určuje minimálny časový rozsah výkonu pracovnej zdravotnej služby.</w:t>
            </w:r>
            <w:r>
              <w:rPr>
                <w:rFonts w:ascii="Times New Roman" w:hAnsi="Times New Roman"/>
                <w:i/>
              </w:rPr>
              <w:t xml:space="preserve"> = </w:t>
            </w:r>
            <w:r w:rsidRPr="000353D5">
              <w:rPr>
                <w:rFonts w:ascii="Times New Roman" w:hAnsi="Times New Roman"/>
                <w:b/>
                <w:i/>
              </w:rPr>
              <w:t xml:space="preserve">zníženie </w:t>
            </w:r>
            <w:r>
              <w:rPr>
                <w:rFonts w:ascii="Times New Roman" w:hAnsi="Times New Roman"/>
                <w:b/>
                <w:i/>
              </w:rPr>
              <w:t>ne</w:t>
            </w:r>
            <w:r w:rsidRPr="000353D5">
              <w:rPr>
                <w:rFonts w:ascii="Times New Roman" w:hAnsi="Times New Roman"/>
                <w:b/>
                <w:i/>
              </w:rPr>
              <w:t>priamych nákladov</w:t>
            </w:r>
            <w:r>
              <w:rPr>
                <w:rFonts w:ascii="Times New Roman" w:hAnsi="Times New Roman"/>
                <w:b/>
                <w:i/>
              </w:rPr>
              <w:t>, vrátane MSP.</w:t>
            </w:r>
          </w:p>
          <w:p w:rsidR="00C546BE" w:rsidP="0055796A">
            <w:pPr>
              <w:bidi w:val="0"/>
              <w:jc w:val="both"/>
              <w:rPr>
                <w:rFonts w:ascii="Times New Roman" w:hAnsi="Times New Roman"/>
                <w:i/>
              </w:rPr>
            </w:pPr>
            <w:r>
              <w:rPr>
                <w:rFonts w:ascii="Times New Roman" w:hAnsi="Times New Roman"/>
                <w:i/>
              </w:rPr>
              <w:t xml:space="preserve">- </w:t>
            </w:r>
            <w:r w:rsidRPr="00C546BE">
              <w:rPr>
                <w:rFonts w:ascii="Times New Roman" w:hAnsi="Times New Roman"/>
                <w:i/>
              </w:rPr>
              <w:t>Explicitne sa uvádzajú niektoré povinnosti zamestnávateľa, ktoré nie sú nové, ale aplikačná prax ukázala, že ich nedodržiavaním sa zamestnávatelia vystavujú možným sankčným postihom, napr. umožniť pracovnej zdravotnej službe vstup na pracovisko; preradiť zamestnanca na inú prácu, ak je to potrebné, v súlade so záverom lekárskeho posudku o zdravotnej spôsobilosti na prácu; poskytnúť príslušnému orgánu verejného zdravotníctva súčinnosť pri prešetrovaní podozrení na chorobu z povolania a pod.</w:t>
            </w:r>
            <w:r>
              <w:rPr>
                <w:rFonts w:ascii="Times New Roman" w:hAnsi="Times New Roman"/>
                <w:i/>
              </w:rPr>
              <w:t xml:space="preserve"> = </w:t>
            </w:r>
            <w:r w:rsidR="00CB591E">
              <w:rPr>
                <w:rFonts w:ascii="Times New Roman" w:hAnsi="Times New Roman"/>
                <w:b/>
                <w:i/>
              </w:rPr>
              <w:t xml:space="preserve"> </w:t>
            </w:r>
            <w:r w:rsidR="00CB591E">
              <w:rPr>
                <w:rFonts w:ascii="Times New Roman" w:hAnsi="Times New Roman"/>
                <w:i/>
              </w:rPr>
              <w:t>zachovaný status quo.</w:t>
            </w:r>
          </w:p>
          <w:p w:rsidR="003F7503" w:rsidRPr="00681AF9" w:rsidP="0055796A">
            <w:pPr>
              <w:bidi w:val="0"/>
              <w:jc w:val="both"/>
              <w:rPr>
                <w:rFonts w:ascii="Times New Roman" w:hAnsi="Times New Roman"/>
                <w:i/>
              </w:rPr>
            </w:pPr>
            <w:r w:rsidR="0042233D">
              <w:rPr>
                <w:rFonts w:ascii="Times New Roman" w:hAnsi="Times New Roman"/>
                <w:i/>
              </w:rPr>
              <w:t>- Z</w:t>
            </w:r>
            <w:r w:rsidRPr="005A51AA" w:rsidR="0042233D">
              <w:rPr>
                <w:rFonts w:ascii="Times New Roman" w:hAnsi="Times New Roman"/>
                <w:i/>
              </w:rPr>
              <w:t xml:space="preserve">rušuje </w:t>
            </w:r>
            <w:r w:rsidR="0042233D">
              <w:rPr>
                <w:rFonts w:ascii="Times New Roman" w:hAnsi="Times New Roman"/>
                <w:i/>
              </w:rPr>
              <w:t xml:space="preserve">sa </w:t>
            </w:r>
            <w:r w:rsidRPr="003C5252" w:rsidR="0042233D">
              <w:rPr>
                <w:rFonts w:ascii="Times New Roman" w:hAnsi="Times New Roman"/>
                <w:i/>
              </w:rPr>
              <w:t>vykonávanie činnosti pracovnej zdravotnej služby bezpečnostným technikom, autorizovaným bezpečnostným technikom alebo bezpečnostnotechnickou službou pre zamestnancov, ktorí vykonávajú práce zaradené do prvej alebo druhej</w:t>
            </w:r>
            <w:r w:rsidRPr="005A51AA" w:rsidR="0042233D">
              <w:rPr>
                <w:rFonts w:ascii="Times New Roman" w:hAnsi="Times New Roman"/>
                <w:i/>
              </w:rPr>
              <w:t xml:space="preserve"> kategórie, z dôvodu ich nedostatočnej odbornej erudície na vykonávanie </w:t>
            </w:r>
            <w:r w:rsidR="0042233D">
              <w:rPr>
                <w:rFonts w:ascii="Times New Roman" w:hAnsi="Times New Roman"/>
                <w:i/>
              </w:rPr>
              <w:t xml:space="preserve">činnosti pracovnej zdravotnej služby, teda </w:t>
            </w:r>
            <w:r w:rsidRPr="005A51AA" w:rsidR="0042233D">
              <w:rPr>
                <w:rFonts w:ascii="Times New Roman" w:hAnsi="Times New Roman"/>
                <w:i/>
              </w:rPr>
              <w:t>identifikácie a posudzovania zdravotných rizík pri práci v súvislosti s prevenciou chorôb z povolania a ochorení súvisiacich s prácou.</w:t>
            </w:r>
            <w:r w:rsidR="0042233D">
              <w:rPr>
                <w:rFonts w:ascii="Times New Roman" w:hAnsi="Times New Roman"/>
                <w:i/>
              </w:rPr>
              <w:t xml:space="preserve"> = </w:t>
            </w:r>
            <w:r w:rsidRPr="000353D5" w:rsidR="0042233D">
              <w:rPr>
                <w:rFonts w:ascii="Times New Roman" w:hAnsi="Times New Roman"/>
                <w:b/>
                <w:i/>
              </w:rPr>
              <w:t>zníženie nepriamych nákladov</w:t>
            </w:r>
            <w:r w:rsidR="00FF6A7B">
              <w:rPr>
                <w:rFonts w:ascii="Times New Roman" w:hAnsi="Times New Roman"/>
                <w:b/>
                <w:i/>
              </w:rPr>
              <w:t>, vrátane MSP</w:t>
            </w:r>
            <w:r w:rsidR="00CB591E">
              <w:rPr>
                <w:rFonts w:ascii="Times New Roman" w:hAnsi="Times New Roman"/>
                <w:b/>
                <w:i/>
              </w:rPr>
              <w:t xml:space="preserve"> </w:t>
            </w:r>
            <w:r w:rsidR="00CB591E">
              <w:rPr>
                <w:rFonts w:ascii="Times New Roman" w:hAnsi="Times New Roman"/>
                <w:i/>
              </w:rPr>
              <w:t xml:space="preserve"> - o</w:t>
            </w:r>
            <w:r w:rsidR="000353D5">
              <w:rPr>
                <w:rFonts w:ascii="Times New Roman" w:hAnsi="Times New Roman"/>
                <w:i/>
              </w:rPr>
              <w:t xml:space="preserve">dôvodnenie: </w:t>
            </w:r>
            <w:r w:rsidR="0042233D">
              <w:rPr>
                <w:rFonts w:ascii="Times New Roman" w:hAnsi="Times New Roman"/>
                <w:i/>
              </w:rPr>
              <w:t>Vzhľadom na to, že bezpečnostn</w:t>
            </w:r>
            <w:r w:rsidR="00DE50E6">
              <w:rPr>
                <w:rFonts w:ascii="Times New Roman" w:hAnsi="Times New Roman"/>
                <w:i/>
              </w:rPr>
              <w:t>í</w:t>
            </w:r>
            <w:r w:rsidR="0042233D">
              <w:rPr>
                <w:rFonts w:ascii="Times New Roman" w:hAnsi="Times New Roman"/>
                <w:i/>
              </w:rPr>
              <w:t xml:space="preserve"> techni</w:t>
            </w:r>
            <w:r w:rsidR="00DE50E6">
              <w:rPr>
                <w:rFonts w:ascii="Times New Roman" w:hAnsi="Times New Roman"/>
                <w:i/>
              </w:rPr>
              <w:t xml:space="preserve">ci </w:t>
            </w:r>
            <w:r w:rsidR="000353D5">
              <w:rPr>
                <w:rFonts w:ascii="Times New Roman" w:hAnsi="Times New Roman"/>
                <w:i/>
              </w:rPr>
              <w:t>nem</w:t>
            </w:r>
            <w:r w:rsidR="00DE50E6">
              <w:rPr>
                <w:rFonts w:ascii="Times New Roman" w:hAnsi="Times New Roman"/>
                <w:i/>
              </w:rPr>
              <w:t>ajú</w:t>
            </w:r>
            <w:r w:rsidR="000353D5">
              <w:rPr>
                <w:rFonts w:ascii="Times New Roman" w:hAnsi="Times New Roman"/>
                <w:i/>
              </w:rPr>
              <w:t xml:space="preserve"> zdravotnícke vzdelanie, aby vedeli posúdiť </w:t>
            </w:r>
            <w:r w:rsidR="00DE50E6">
              <w:rPr>
                <w:rFonts w:ascii="Times New Roman" w:hAnsi="Times New Roman"/>
                <w:i/>
              </w:rPr>
              <w:t xml:space="preserve">vplyv </w:t>
            </w:r>
            <w:r w:rsidR="000353D5">
              <w:rPr>
                <w:rFonts w:ascii="Times New Roman" w:hAnsi="Times New Roman"/>
                <w:i/>
              </w:rPr>
              <w:t>faktor</w:t>
            </w:r>
            <w:r w:rsidR="00DE50E6">
              <w:rPr>
                <w:rFonts w:ascii="Times New Roman" w:hAnsi="Times New Roman"/>
                <w:i/>
              </w:rPr>
              <w:t>ov</w:t>
            </w:r>
            <w:r w:rsidR="000353D5">
              <w:rPr>
                <w:rFonts w:ascii="Times New Roman" w:hAnsi="Times New Roman"/>
                <w:i/>
              </w:rPr>
              <w:t xml:space="preserve"> práce a pracovného prostredia na zdravie </w:t>
            </w:r>
            <w:r w:rsidR="00DE50E6">
              <w:rPr>
                <w:rFonts w:ascii="Times New Roman" w:hAnsi="Times New Roman"/>
                <w:i/>
              </w:rPr>
              <w:t xml:space="preserve">zamestnancov a často </w:t>
            </w:r>
            <w:r w:rsidR="000353D5">
              <w:rPr>
                <w:rFonts w:ascii="Times New Roman" w:hAnsi="Times New Roman"/>
                <w:i/>
              </w:rPr>
              <w:t>neovláda</w:t>
            </w:r>
            <w:r w:rsidR="00DE50E6">
              <w:rPr>
                <w:rFonts w:ascii="Times New Roman" w:hAnsi="Times New Roman"/>
                <w:i/>
              </w:rPr>
              <w:t>jú</w:t>
            </w:r>
            <w:r w:rsidR="000353D5">
              <w:rPr>
                <w:rFonts w:ascii="Times New Roman" w:hAnsi="Times New Roman"/>
                <w:i/>
              </w:rPr>
              <w:t xml:space="preserve"> ani súvisiace právne predpisy, </w:t>
            </w:r>
            <w:r w:rsidR="00DE50E6">
              <w:rPr>
                <w:rFonts w:ascii="Times New Roman" w:hAnsi="Times New Roman"/>
                <w:i/>
              </w:rPr>
              <w:t>v niektorých prípadoch</w:t>
            </w:r>
            <w:r w:rsidR="000353D5">
              <w:rPr>
                <w:rFonts w:ascii="Times New Roman" w:hAnsi="Times New Roman"/>
                <w:i/>
              </w:rPr>
              <w:t xml:space="preserve"> na odborné splnenie povinnosti zamestnávateľa bezpečnostný technik </w:t>
            </w:r>
            <w:r w:rsidR="00DE50E6">
              <w:rPr>
                <w:rFonts w:ascii="Times New Roman" w:hAnsi="Times New Roman"/>
                <w:i/>
              </w:rPr>
              <w:t>využíval</w:t>
            </w:r>
            <w:r w:rsidR="000353D5">
              <w:rPr>
                <w:rFonts w:ascii="Times New Roman" w:hAnsi="Times New Roman"/>
                <w:i/>
              </w:rPr>
              <w:t xml:space="preserve"> zdravotníckeho pracovníka alebo pracovnú zdravotnú službu, čo v konečnom dôsledku  zvyšovalo zamestnávateľovi náklady na službu. Tí bezpečnostní technici, ktorí sami (neodborne) posudzovali zdravotné riziká pri práci, vzhľadom na neznalosť problematiky buď podhodnotili zdravotné riziká na pracovisku (čo </w:t>
            </w:r>
            <w:r w:rsidR="00DE50E6">
              <w:rPr>
                <w:rFonts w:ascii="Times New Roman" w:hAnsi="Times New Roman"/>
                <w:i/>
              </w:rPr>
              <w:t>môže</w:t>
            </w:r>
            <w:r w:rsidR="000353D5">
              <w:rPr>
                <w:rFonts w:ascii="Times New Roman" w:hAnsi="Times New Roman"/>
                <w:i/>
              </w:rPr>
              <w:t xml:space="preserve"> viesť k poškodeniu zdravia zamestnancov alebo k chorobám z povolania), alebo </w:t>
            </w:r>
            <w:r w:rsidR="00DE50E6">
              <w:rPr>
                <w:rFonts w:ascii="Times New Roman" w:hAnsi="Times New Roman"/>
                <w:i/>
              </w:rPr>
              <w:t xml:space="preserve">navrhovali </w:t>
            </w:r>
            <w:r w:rsidR="000353D5">
              <w:rPr>
                <w:rFonts w:ascii="Times New Roman" w:hAnsi="Times New Roman"/>
                <w:i/>
              </w:rPr>
              <w:t>zamestnávateľom oveľa väčší rozsah opatrení, než im vyplýval z</w:t>
            </w:r>
            <w:r w:rsidR="00CB591E">
              <w:rPr>
                <w:rFonts w:ascii="Times New Roman" w:hAnsi="Times New Roman"/>
                <w:i/>
              </w:rPr>
              <w:t xml:space="preserve"> povinností z </w:t>
            </w:r>
            <w:r w:rsidR="000353D5">
              <w:rPr>
                <w:rFonts w:ascii="Times New Roman" w:hAnsi="Times New Roman"/>
                <w:i/>
              </w:rPr>
              <w:t>právnych predpisov - vo všetkých prípadoch tak zvyšovali zamestnávateľom náklady na službu.</w:t>
            </w:r>
            <w:r w:rsidR="008947DB">
              <w:rPr>
                <w:rFonts w:ascii="Times New Roman" w:hAnsi="Times New Roman"/>
                <w:i/>
              </w:rPr>
              <w:t xml:space="preserve"> Ak technik vykonáva zdravotnícke povolanie, resp. zdravotnícku činnosť (!), nemožno to vykladať ako pozitívny vplyv na podnikateľské prostredie, pretože vzhľadom na absolútne absentujúcu odbornú spôsobilosť (vzdelanie) neodbornými výkonmi zvyšuje zamestnávateľovi náklady na pracovnú zdravotnú službu, administratívne náklady a môže pritom poškodiť/ohroziť  zdravie zamestnancov, pretože vo väčšine prípadov nesprávne posúdenie zdravotného rizika vôbec nesúvisí s konkrétnou pracovnou expozíciou konkrétnych zamestnancov na konkrétnom pracovisku. Bezpečnostní technici robia to čo vedia, teda v dokumente s názvom Posúdenie zdravotného rizika opíšu názvy kapitol podľa príslušných nariadení vlády a v obsahu pojednávajú o bezpečnostných rizikách, pretože iba tie poznajú. Zamestnávateľ tak de facto platí dvakrát za bezpečnostnotechnickú službu s pochybným výsledkom a de facto nemá zabezpečenú/posúdenú ochranu zdravia pri práci</w:t>
            </w:r>
            <w:r w:rsidR="00FA0D18">
              <w:rPr>
                <w:rFonts w:ascii="Times New Roman" w:hAnsi="Times New Roman"/>
                <w:i/>
              </w:rPr>
              <w:t xml:space="preserve"> (povinnosť uvádza rámcovo smernica, všeobecne zákon č. 124/2006 Z. z., konkrétne zákon č. 355/2007 Z. z.)</w:t>
            </w:r>
            <w:r w:rsidR="008947DB">
              <w:rPr>
                <w:rFonts w:ascii="Times New Roman" w:hAnsi="Times New Roman"/>
                <w:i/>
              </w:rPr>
              <w:t>. Naviac</w:t>
            </w:r>
            <w:r w:rsidR="00FA0D18">
              <w:rPr>
                <w:rFonts w:ascii="Times New Roman" w:hAnsi="Times New Roman"/>
                <w:i/>
              </w:rPr>
              <w:t xml:space="preserve"> bezpečnostní technici </w:t>
            </w:r>
            <w:r w:rsidR="008947DB">
              <w:rPr>
                <w:rFonts w:ascii="Times New Roman" w:hAnsi="Times New Roman"/>
                <w:i/>
              </w:rPr>
              <w:t xml:space="preserve"> častokrát zamestnávateľovi odporúčajú lekárske preventívn</w:t>
            </w:r>
            <w:r w:rsidR="00FA0D18">
              <w:rPr>
                <w:rFonts w:ascii="Times New Roman" w:hAnsi="Times New Roman"/>
                <w:i/>
              </w:rPr>
              <w:t>e prehliadky, ktoré nie sú povinné</w:t>
            </w:r>
            <w:r w:rsidR="008947DB">
              <w:rPr>
                <w:rFonts w:ascii="Times New Roman" w:hAnsi="Times New Roman"/>
                <w:i/>
              </w:rPr>
              <w:t xml:space="preserve"> zo zákona. </w:t>
            </w:r>
            <w:r w:rsidR="00FA0D18">
              <w:rPr>
                <w:rFonts w:ascii="Times New Roman" w:hAnsi="Times New Roman"/>
                <w:i/>
              </w:rPr>
              <w:t>Vypustením bezpečnostných technikov z návrhu zákona sa teda odstráni chyba a znížia nepriame náklady, pretože ak technik nebude vykonávať zdravotnícku prácu, možno hovoriť len o znížení nákladov vyplývajúcich z jeho neodbornej činnosti.</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1A567A">
            <w:pPr>
              <w:bidi w:val="0"/>
              <w:rPr>
                <w:rFonts w:ascii="Times New Roman" w:hAnsi="Times New Roman"/>
                <w:i/>
              </w:rPr>
            </w:pPr>
            <w:r w:rsidR="002B1108">
              <w:rPr>
                <w:rFonts w:ascii="Times New Roman" w:hAnsi="Times New Roman"/>
                <w:b/>
                <w:i/>
              </w:rPr>
              <w:t>3</w:t>
            </w:r>
            <w:r w:rsidRPr="00F04CCD">
              <w:rPr>
                <w:rFonts w:ascii="Times New Roman" w:hAnsi="Times New Roman"/>
                <w:b/>
                <w:i/>
              </w:rPr>
              <w:t>.3.3 Administratívne náklady</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9F2DFA" w:rsidP="0055796A">
            <w:pPr>
              <w:bidi w:val="0"/>
              <w:jc w:val="both"/>
              <w:rPr>
                <w:rFonts w:ascii="Times New Roman" w:hAnsi="Times New Roman"/>
                <w:i/>
              </w:rPr>
            </w:pPr>
            <w:r w:rsidR="00C546BE">
              <w:rPr>
                <w:rFonts w:ascii="Times New Roman" w:hAnsi="Times New Roman"/>
                <w:i/>
              </w:rPr>
              <w:t>V</w:t>
            </w:r>
            <w:r w:rsidR="000353D5">
              <w:rPr>
                <w:rFonts w:ascii="Times New Roman" w:hAnsi="Times New Roman"/>
                <w:i/>
              </w:rPr>
              <w:t> porovnaní s aktuálne platným právnym stavom</w:t>
            </w:r>
            <w:r w:rsidR="00B75A87">
              <w:rPr>
                <w:rFonts w:ascii="Times New Roman" w:hAnsi="Times New Roman"/>
                <w:i/>
              </w:rPr>
              <w:t>:</w:t>
            </w:r>
            <w:r w:rsidR="000353D5">
              <w:rPr>
                <w:rFonts w:ascii="Times New Roman" w:hAnsi="Times New Roman"/>
                <w:i/>
              </w:rPr>
              <w:t xml:space="preserve"> </w:t>
            </w:r>
          </w:p>
          <w:p w:rsidR="000353D5" w:rsidP="0055796A">
            <w:pPr>
              <w:bidi w:val="0"/>
              <w:jc w:val="both"/>
              <w:rPr>
                <w:rFonts w:ascii="Times New Roman" w:hAnsi="Times New Roman"/>
                <w:i/>
              </w:rPr>
            </w:pPr>
            <w:r>
              <w:rPr>
                <w:rFonts w:ascii="Times New Roman" w:hAnsi="Times New Roman"/>
                <w:i/>
              </w:rPr>
              <w:t>-</w:t>
            </w:r>
            <w:r w:rsidR="00C546BE">
              <w:rPr>
                <w:rFonts w:ascii="Times New Roman" w:hAnsi="Times New Roman"/>
                <w:i/>
              </w:rPr>
              <w:t xml:space="preserve"> znižuje sa</w:t>
            </w:r>
            <w:r w:rsidR="00F11CC1">
              <w:rPr>
                <w:rFonts w:ascii="Times New Roman" w:hAnsi="Times New Roman"/>
                <w:i/>
              </w:rPr>
              <w:t xml:space="preserve"> v kategórii 1</w:t>
            </w:r>
            <w:r w:rsidR="00C546BE">
              <w:rPr>
                <w:rFonts w:ascii="Times New Roman" w:hAnsi="Times New Roman"/>
                <w:i/>
              </w:rPr>
              <w:t xml:space="preserve"> </w:t>
            </w:r>
            <w:r w:rsidR="00F11CC1">
              <w:rPr>
                <w:rFonts w:ascii="Times New Roman" w:hAnsi="Times New Roman"/>
                <w:i/>
              </w:rPr>
              <w:t xml:space="preserve"> </w:t>
            </w:r>
            <w:r>
              <w:rPr>
                <w:rFonts w:ascii="Times New Roman" w:hAnsi="Times New Roman"/>
                <w:i/>
              </w:rPr>
              <w:t>frekvenci</w:t>
            </w:r>
            <w:r w:rsidR="00F11CC1">
              <w:rPr>
                <w:rFonts w:ascii="Times New Roman" w:hAnsi="Times New Roman"/>
                <w:i/>
              </w:rPr>
              <w:t>a</w:t>
            </w:r>
            <w:r>
              <w:rPr>
                <w:rFonts w:ascii="Times New Roman" w:hAnsi="Times New Roman"/>
                <w:i/>
              </w:rPr>
              <w:t xml:space="preserve"> posúdenia </w:t>
            </w:r>
            <w:r w:rsidR="00B75A87">
              <w:rPr>
                <w:rFonts w:ascii="Times New Roman" w:hAnsi="Times New Roman"/>
                <w:i/>
              </w:rPr>
              <w:t>zdravotných rizík pri práci namiesto doterajšieho raz ročne na navrhované jednorazovo a pri podstatnej zmene pracovných podmienok</w:t>
            </w:r>
            <w:r w:rsidR="00681AF9">
              <w:rPr>
                <w:rFonts w:ascii="Times New Roman" w:hAnsi="Times New Roman"/>
                <w:i/>
              </w:rPr>
              <w:t>, v kategórii 2 raz za 18 mesiacov</w:t>
            </w:r>
            <w:r w:rsidR="00C546BE">
              <w:rPr>
                <w:rFonts w:ascii="Times New Roman" w:hAnsi="Times New Roman"/>
                <w:i/>
              </w:rPr>
              <w:t>.</w:t>
            </w:r>
          </w:p>
          <w:p w:rsidR="00F35013" w:rsidP="0055796A">
            <w:pPr>
              <w:bidi w:val="0"/>
              <w:jc w:val="both"/>
              <w:rPr>
                <w:rFonts w:ascii="Times New Roman" w:hAnsi="Times New Roman"/>
                <w:i/>
              </w:rPr>
            </w:pPr>
            <w:r>
              <w:rPr>
                <w:rFonts w:ascii="Times New Roman" w:hAnsi="Times New Roman"/>
                <w:i/>
              </w:rPr>
              <w:t>- vypúšťa sa</w:t>
            </w:r>
            <w:r w:rsidRPr="00F35013">
              <w:rPr>
                <w:rFonts w:ascii="Times New Roman" w:hAnsi="Times New Roman"/>
                <w:i/>
              </w:rPr>
              <w:t xml:space="preserve"> povinnosť zamestnávateľov viesť záznamy s údajmi o zamestnancoch pri kvalitatívnom a kvantitatívnom zisťovaní (meraní) zdraviu škodlivých faktorov pracovného prostredia</w:t>
            </w:r>
            <w:r>
              <w:rPr>
                <w:rFonts w:ascii="Times New Roman" w:hAnsi="Times New Roman"/>
                <w:i/>
              </w:rPr>
              <w:t>.</w:t>
            </w:r>
            <w:r w:rsidRPr="00F35013">
              <w:rPr>
                <w:rFonts w:ascii="Times New Roman" w:hAnsi="Times New Roman"/>
                <w:i/>
              </w:rPr>
              <w:t xml:space="preserve">  </w:t>
            </w:r>
          </w:p>
          <w:p w:rsidR="00F35013" w:rsidP="0055796A">
            <w:pPr>
              <w:bidi w:val="0"/>
              <w:jc w:val="both"/>
              <w:rPr>
                <w:rFonts w:ascii="Times New Roman" w:hAnsi="Times New Roman"/>
                <w:i/>
              </w:rPr>
            </w:pPr>
            <w:r>
              <w:rPr>
                <w:rFonts w:ascii="Times New Roman" w:hAnsi="Times New Roman"/>
                <w:i/>
              </w:rPr>
              <w:t xml:space="preserve">- vypúšťa sa </w:t>
            </w:r>
            <w:r w:rsidRPr="00F35013">
              <w:rPr>
                <w:rFonts w:ascii="Times New Roman" w:hAnsi="Times New Roman"/>
                <w:i/>
              </w:rPr>
              <w:t>povinnosť zamestnávateľov oznamovať bezodkladne po posúdení zdravotného rizika príslušnému orgánu verejného zdravotníctva každú zmenu podmienok výkonu práce, ktorá by mohla mať vplyv na zvýšenie zdravotného rizika.</w:t>
            </w:r>
          </w:p>
          <w:p w:rsidR="00C546BE" w:rsidP="0055796A">
            <w:pPr>
              <w:bidi w:val="0"/>
              <w:jc w:val="both"/>
              <w:rPr>
                <w:rFonts w:ascii="Times New Roman" w:hAnsi="Times New Roman"/>
                <w:i/>
              </w:rPr>
            </w:pPr>
            <w:r>
              <w:rPr>
                <w:rFonts w:ascii="Times New Roman" w:hAnsi="Times New Roman"/>
                <w:i/>
              </w:rPr>
              <w:t>- z</w:t>
            </w:r>
            <w:r w:rsidRPr="00C546BE">
              <w:rPr>
                <w:rFonts w:ascii="Times New Roman" w:hAnsi="Times New Roman"/>
                <w:i/>
              </w:rPr>
              <w:t>rušuje sa povinnosť zamestnávateľa viesť evidenciu zamestnancov vykonávajúcich práce v kategórii 1.</w:t>
            </w:r>
          </w:p>
          <w:p w:rsidR="00F11CC1" w:rsidRPr="0055796A" w:rsidP="0055796A">
            <w:pPr>
              <w:bidi w:val="0"/>
              <w:jc w:val="both"/>
              <w:rPr>
                <w:rFonts w:ascii="Times New Roman" w:hAnsi="Times New Roman"/>
                <w:i/>
              </w:rPr>
            </w:pPr>
            <w:r w:rsidRPr="0055796A">
              <w:rPr>
                <w:rFonts w:ascii="Times New Roman" w:hAnsi="Times New Roman"/>
                <w:i/>
              </w:rPr>
              <w:t xml:space="preserve">- ustanovuje sa povinnosť zamestnávateľa poskytnúť posudok o riziku s kategorizáciou prác z hľadiska zdravotných rizík (2.-4. kategória prác) zástupcom zamestnancov. Uvedená  povinnosť nepredstavuje administratívnu ani finančnú záťaž (maximálne v cene odoslania na jednu e-mailovú adresu naviac), nakoľko ide o informovanie, nie o prerokovanie (všeobecná povinnosť podľa § 7 zákona č. 124/2006 Z. z.). Explicitne je táto povinnosť </w:t>
            </w:r>
            <w:r w:rsidRPr="0055796A" w:rsidR="00CB591E">
              <w:rPr>
                <w:rFonts w:ascii="Times New Roman" w:hAnsi="Times New Roman"/>
                <w:i/>
              </w:rPr>
              <w:t xml:space="preserve">už </w:t>
            </w:r>
            <w:r w:rsidRPr="0055796A">
              <w:rPr>
                <w:rFonts w:ascii="Times New Roman" w:hAnsi="Times New Roman"/>
                <w:i/>
              </w:rPr>
              <w:t>ustanovená v § 7 ods. 8 písm. a</w:t>
            </w:r>
            <w:r w:rsidRPr="0055796A" w:rsidR="00CB591E">
              <w:rPr>
                <w:rFonts w:ascii="Times New Roman" w:hAnsi="Times New Roman"/>
                <w:i/>
              </w:rPr>
              <w:t xml:space="preserve">) </w:t>
            </w:r>
            <w:r w:rsidRPr="0055796A">
              <w:rPr>
                <w:rFonts w:ascii="Times New Roman" w:hAnsi="Times New Roman"/>
                <w:i/>
              </w:rPr>
              <w:t>zákona č. 124/2006 Z. z. Ak zástupcovia zamestnancov nie sú informovaní o výsledkoch posúdenia pracovných podmienok, teda o posudkoch o riziku, posielajú podnety na regionálne úrady verejného zdravotníctva, ktoré je potrebné prešetrovať štátnym zdravotným dozorom, čo je pre zamestnávateľa oveľa zaťažujúcejšie, s prípadnými dôsledkami. Preto je vplyv na podnikateľské prostredie žiadny, resp. pozitívny (z preventívneho hľadiska).</w:t>
            </w:r>
          </w:p>
          <w:p w:rsidR="00C546BE" w:rsidRPr="00C546BE" w:rsidP="0055796A">
            <w:pPr>
              <w:bidi w:val="0"/>
              <w:jc w:val="both"/>
              <w:rPr>
                <w:rFonts w:ascii="Times New Roman" w:hAnsi="Times New Roman"/>
                <w:i/>
              </w:rPr>
            </w:pPr>
            <w:r>
              <w:rPr>
                <w:rFonts w:ascii="Times New Roman" w:hAnsi="Times New Roman"/>
                <w:i/>
              </w:rPr>
              <w:t>- ú</w:t>
            </w:r>
            <w:r w:rsidRPr="00C546BE">
              <w:rPr>
                <w:rFonts w:ascii="Times New Roman" w:hAnsi="Times New Roman"/>
                <w:i/>
              </w:rPr>
              <w:t>daje z evidencie, týkajúce sa zamestnancov vykonávajúcich prácu zaradenú do druhej kategórie zamestnávateľ oznamuje každoročne k 31. decembru príslušnému orgánu verejného zdravotníctva v elektronickej forme; táto povinnosť má odloženú účinnosť.</w:t>
            </w:r>
            <w:r w:rsidR="00A11496">
              <w:rPr>
                <w:rFonts w:ascii="Times New Roman" w:hAnsi="Times New Roman"/>
                <w:i/>
              </w:rPr>
              <w:t xml:space="preserve"> Údaje, ktoré zamestnávateľ oznamuje, nevytvára na účel oznamovania, už ich eviduje</w:t>
            </w:r>
            <w:r w:rsidR="00CB591E">
              <w:rPr>
                <w:rFonts w:ascii="Times New Roman" w:hAnsi="Times New Roman"/>
                <w:i/>
              </w:rPr>
              <w:t>, napriek tomu možno konštatovať zvýšenie administratívnej záťaže.</w:t>
            </w:r>
          </w:p>
          <w:p w:rsidR="00B75A87" w:rsidP="0055796A">
            <w:pPr>
              <w:bidi w:val="0"/>
              <w:jc w:val="both"/>
              <w:rPr>
                <w:rFonts w:ascii="Times New Roman" w:hAnsi="Times New Roman"/>
                <w:i/>
              </w:rPr>
            </w:pPr>
            <w:r w:rsidR="00C546BE">
              <w:rPr>
                <w:rFonts w:ascii="Times New Roman" w:hAnsi="Times New Roman"/>
                <w:i/>
              </w:rPr>
              <w:t>- z</w:t>
            </w:r>
            <w:r w:rsidRPr="00C546BE" w:rsidR="00C546BE">
              <w:rPr>
                <w:rFonts w:ascii="Times New Roman" w:hAnsi="Times New Roman"/>
                <w:i/>
              </w:rPr>
              <w:t>rušuje sa povinnosť zamestnávateľa písomne oznámiť príslušnému orgánu verejného zdravotníctva skutočnosť, že zabezpečuje vykonávanie pracovnej zdravotnej služby pre svojich zamestnancov vlastnými zamestnancami.</w:t>
            </w:r>
          </w:p>
          <w:p w:rsidR="00D81F88" w:rsidP="0055796A">
            <w:pPr>
              <w:bidi w:val="0"/>
              <w:jc w:val="both"/>
              <w:rPr>
                <w:rFonts w:ascii="Times New Roman" w:hAnsi="Times New Roman"/>
                <w:i/>
              </w:rPr>
            </w:pPr>
          </w:p>
          <w:p w:rsidR="009F2DFA" w:rsidP="0055796A">
            <w:pPr>
              <w:bidi w:val="0"/>
              <w:jc w:val="both"/>
              <w:rPr>
                <w:rFonts w:ascii="Times New Roman" w:hAnsi="Times New Roman"/>
                <w:i/>
              </w:rPr>
            </w:pPr>
            <w:r w:rsidR="00B75A87">
              <w:rPr>
                <w:rFonts w:ascii="Times New Roman" w:hAnsi="Times New Roman"/>
                <w:i/>
              </w:rPr>
              <w:t xml:space="preserve">Vzhľadom na uvedené </w:t>
            </w:r>
            <w:r w:rsidR="00A11496">
              <w:rPr>
                <w:rFonts w:ascii="Times New Roman" w:hAnsi="Times New Roman"/>
                <w:i/>
              </w:rPr>
              <w:t xml:space="preserve">možno konštatovať pomer zvýšenia a zníženia administratívnej záťaže 1 : </w:t>
            </w:r>
            <w:r w:rsidR="00D9537C">
              <w:rPr>
                <w:rFonts w:ascii="Times New Roman" w:hAnsi="Times New Roman"/>
                <w:i/>
              </w:rPr>
              <w:t xml:space="preserve">6 </w:t>
            </w:r>
            <w:r w:rsidR="00A11496">
              <w:rPr>
                <w:rFonts w:ascii="Times New Roman" w:hAnsi="Times New Roman"/>
                <w:i/>
              </w:rPr>
              <w:t>(1</w:t>
            </w:r>
            <w:r w:rsidR="00F35013">
              <w:rPr>
                <w:rFonts w:ascii="Times New Roman" w:hAnsi="Times New Roman"/>
                <w:i/>
              </w:rPr>
              <w:t>x</w:t>
            </w:r>
            <w:r w:rsidR="00A11496">
              <w:rPr>
                <w:rFonts w:ascii="Times New Roman" w:hAnsi="Times New Roman"/>
                <w:i/>
              </w:rPr>
              <w:t xml:space="preserve"> zvýšenie, </w:t>
            </w:r>
            <w:r w:rsidR="00D9537C">
              <w:rPr>
                <w:rFonts w:ascii="Times New Roman" w:hAnsi="Times New Roman"/>
                <w:i/>
              </w:rPr>
              <w:t>6</w:t>
            </w:r>
            <w:r w:rsidR="00F35013">
              <w:rPr>
                <w:rFonts w:ascii="Times New Roman" w:hAnsi="Times New Roman"/>
                <w:i/>
              </w:rPr>
              <w:t xml:space="preserve">x </w:t>
            </w:r>
            <w:r w:rsidR="00A11496">
              <w:rPr>
                <w:rFonts w:ascii="Times New Roman" w:hAnsi="Times New Roman"/>
                <w:i/>
              </w:rPr>
              <w:t xml:space="preserve"> zníženi</w:t>
            </w:r>
            <w:r w:rsidR="00F35013">
              <w:rPr>
                <w:rFonts w:ascii="Times New Roman" w:hAnsi="Times New Roman"/>
                <w:i/>
              </w:rPr>
              <w:t>e</w:t>
            </w:r>
            <w:r w:rsidR="00A11496">
              <w:rPr>
                <w:rFonts w:ascii="Times New Roman" w:hAnsi="Times New Roman"/>
                <w:i/>
              </w:rPr>
              <w:t xml:space="preserve">). </w:t>
            </w:r>
          </w:p>
          <w:p w:rsidR="00D81F88" w:rsidRPr="00F04CCD" w:rsidP="007B71A4">
            <w:pPr>
              <w:bidi w:val="0"/>
              <w:rPr>
                <w:rFonts w:ascii="Times New Roman" w:hAnsi="Times New Roman"/>
                <w:b/>
                <w:i/>
              </w:rPr>
            </w:pPr>
          </w:p>
        </w:tc>
      </w:tr>
      <w:tr>
        <w:tblPrEx>
          <w:tblW w:w="0" w:type="auto"/>
          <w:tblLook w:val="04A0"/>
        </w:tblPrEx>
        <w:trPr>
          <w:trHeight w:val="2080"/>
        </w:trPr>
        <w:tc>
          <w:tcPr>
            <w:tcW w:w="906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002B1108">
              <w:rPr>
                <w:rFonts w:ascii="Times New Roman" w:hAnsi="Times New Roman"/>
                <w:b/>
                <w:i/>
              </w:rPr>
              <w:t>3</w:t>
            </w:r>
            <w:r w:rsidRPr="00F04CCD">
              <w:rPr>
                <w:rFonts w:ascii="Times New Roman" w:hAnsi="Times New Roman"/>
                <w:b/>
                <w:i/>
              </w:rPr>
              <w:t>.3.4 Súhrnná tabuľka nákladov regulácie</w:t>
            </w:r>
          </w:p>
          <w:tbl>
            <w:tblPr>
              <w:tblStyle w:val="TableGrid"/>
              <w:tblW w:w="0" w:type="auto"/>
              <w:tblLook w:val="04A0"/>
            </w:tblPr>
            <w:tblGrid>
              <w:gridCol w:w="2949"/>
              <w:gridCol w:w="2941"/>
              <w:gridCol w:w="2946"/>
            </w:tblGrid>
            <w:tr>
              <w:tblPrEx>
                <w:tblW w:w="0" w:type="auto"/>
                <w:tblLook w:val="04A0"/>
              </w:tblPrEx>
              <w:tc>
                <w:tcPr>
                  <w:tcW w:w="2949"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spacing w:after="0" w:line="240" w:lineRule="auto"/>
                    <w:rPr>
                      <w:rFonts w:ascii="Times New Roman" w:hAnsi="Times New Roman"/>
                      <w:i/>
                    </w:rPr>
                  </w:pPr>
                </w:p>
              </w:tc>
              <w:tc>
                <w:tcPr>
                  <w:tcW w:w="2941"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i/>
                    </w:rPr>
                  </w:pPr>
                  <w:r w:rsidRPr="00F04CCD">
                    <w:rPr>
                      <w:rFonts w:ascii="Times New Roman" w:hAnsi="Times New Roman"/>
                      <w:i/>
                    </w:rPr>
                    <w:t>Náklady na 1 podnikateľa</w:t>
                  </w:r>
                </w:p>
              </w:tc>
              <w:tc>
                <w:tcPr>
                  <w:tcW w:w="2946"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i/>
                    </w:rPr>
                  </w:pPr>
                  <w:r w:rsidRPr="00F04CCD">
                    <w:rPr>
                      <w:rFonts w:ascii="Times New Roman" w:hAnsi="Times New Roman"/>
                      <w:i/>
                    </w:rPr>
                    <w:t>Náklady na celé podnikateľské prostredie</w:t>
                  </w:r>
                </w:p>
              </w:tc>
            </w:tr>
            <w:tr>
              <w:tblPrEx>
                <w:tblW w:w="0" w:type="auto"/>
                <w:tblLook w:val="04A0"/>
              </w:tblPrEx>
              <w:tc>
                <w:tcPr>
                  <w:tcW w:w="2949"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Pr="00F04CCD">
                    <w:rPr>
                      <w:rFonts w:ascii="Times New Roman" w:hAnsi="Times New Roman"/>
                      <w:i/>
                    </w:rPr>
                    <w:t>Priame finančné náklady</w:t>
                  </w:r>
                </w:p>
              </w:tc>
              <w:tc>
                <w:tcPr>
                  <w:tcW w:w="2941"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3C00D0">
                  <w:pPr>
                    <w:bidi w:val="0"/>
                    <w:jc w:val="center"/>
                    <w:rPr>
                      <w:rFonts w:ascii="Times New Roman" w:hAnsi="Times New Roman"/>
                      <w:i/>
                    </w:rPr>
                  </w:pPr>
                  <w:r w:rsidR="003C00D0">
                    <w:rPr>
                      <w:rFonts w:ascii="Times New Roman" w:hAnsi="Times New Roman"/>
                      <w:i/>
                    </w:rPr>
                    <w:t>nevyčíslené</w:t>
                  </w:r>
                </w:p>
              </w:tc>
              <w:tc>
                <w:tcPr>
                  <w:tcW w:w="2946"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i/>
                    </w:rPr>
                  </w:pPr>
                  <w:r w:rsidR="003C00D0">
                    <w:rPr>
                      <w:rFonts w:ascii="Times New Roman" w:hAnsi="Times New Roman"/>
                      <w:i/>
                    </w:rPr>
                    <w:t>nevyčíslené</w:t>
                  </w:r>
                </w:p>
              </w:tc>
            </w:tr>
            <w:tr>
              <w:tblPrEx>
                <w:tblW w:w="0" w:type="auto"/>
                <w:tblLook w:val="04A0"/>
              </w:tblPrEx>
              <w:tc>
                <w:tcPr>
                  <w:tcW w:w="2949"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Pr="00F04CCD">
                    <w:rPr>
                      <w:rFonts w:ascii="Times New Roman" w:hAnsi="Times New Roman"/>
                      <w:i/>
                    </w:rPr>
                    <w:t>Nepriame finančné náklady</w:t>
                  </w:r>
                </w:p>
              </w:tc>
              <w:tc>
                <w:tcPr>
                  <w:tcW w:w="2941"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BB4A1F">
                  <w:pPr>
                    <w:bidi w:val="0"/>
                    <w:jc w:val="center"/>
                    <w:rPr>
                      <w:rFonts w:ascii="Times New Roman" w:hAnsi="Times New Roman"/>
                      <w:i/>
                    </w:rPr>
                  </w:pPr>
                  <w:r w:rsidR="00B75A87">
                    <w:rPr>
                      <w:rFonts w:ascii="Times New Roman" w:hAnsi="Times New Roman"/>
                      <w:i/>
                    </w:rPr>
                    <w:t xml:space="preserve">- </w:t>
                  </w:r>
                  <w:r w:rsidR="00BB4A1F">
                    <w:rPr>
                      <w:rFonts w:ascii="Times New Roman" w:hAnsi="Times New Roman"/>
                      <w:i/>
                    </w:rPr>
                    <w:t>67,6</w:t>
                  </w:r>
                  <w:r w:rsidR="00F237E4">
                    <w:rPr>
                      <w:rFonts w:ascii="Times New Roman" w:hAnsi="Times New Roman"/>
                      <w:i/>
                    </w:rPr>
                    <w:t xml:space="preserve"> </w:t>
                  </w:r>
                  <w:r w:rsidR="00B75A87">
                    <w:rPr>
                      <w:rFonts w:ascii="Times New Roman" w:hAnsi="Times New Roman"/>
                      <w:i/>
                    </w:rPr>
                    <w:t>Eur (úspora)</w:t>
                  </w:r>
                  <w:r w:rsidR="00DB4A50">
                    <w:rPr>
                      <w:rFonts w:ascii="Times New Roman" w:hAnsi="Times New Roman"/>
                      <w:i/>
                    </w:rPr>
                    <w:t>*</w:t>
                  </w:r>
                </w:p>
              </w:tc>
              <w:tc>
                <w:tcPr>
                  <w:tcW w:w="2946"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B75A87">
                  <w:pPr>
                    <w:bidi w:val="0"/>
                    <w:jc w:val="center"/>
                    <w:rPr>
                      <w:rFonts w:ascii="Times New Roman" w:hAnsi="Times New Roman"/>
                      <w:i/>
                    </w:rPr>
                  </w:pPr>
                  <w:r w:rsidR="00B75A87">
                    <w:rPr>
                      <w:rFonts w:ascii="Times New Roman" w:hAnsi="Times New Roman"/>
                      <w:i/>
                    </w:rPr>
                    <w:t xml:space="preserve">- </w:t>
                  </w:r>
                  <w:r w:rsidR="00BB4A1F">
                    <w:rPr>
                      <w:rFonts w:ascii="Times New Roman" w:hAnsi="Times New Roman"/>
                      <w:i/>
                    </w:rPr>
                    <w:t>8,3</w:t>
                  </w:r>
                  <w:r w:rsidR="00B75A87">
                    <w:rPr>
                      <w:rFonts w:ascii="Times New Roman" w:hAnsi="Times New Roman"/>
                      <w:i/>
                    </w:rPr>
                    <w:t xml:space="preserve"> mil. Eur (úspora)</w:t>
                  </w:r>
                  <w:r w:rsidR="00DB4A50">
                    <w:rPr>
                      <w:rFonts w:ascii="Times New Roman" w:hAnsi="Times New Roman"/>
                      <w:i/>
                    </w:rPr>
                    <w:t>*</w:t>
                  </w:r>
                </w:p>
              </w:tc>
            </w:tr>
            <w:tr>
              <w:tblPrEx>
                <w:tblW w:w="0" w:type="auto"/>
                <w:tblLook w:val="04A0"/>
              </w:tblPrEx>
              <w:tc>
                <w:tcPr>
                  <w:tcW w:w="2949"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Pr="00F04CCD">
                    <w:rPr>
                      <w:rFonts w:ascii="Times New Roman" w:hAnsi="Times New Roman"/>
                      <w:i/>
                    </w:rPr>
                    <w:t>Administratívne náklady</w:t>
                  </w:r>
                </w:p>
              </w:tc>
              <w:tc>
                <w:tcPr>
                  <w:tcW w:w="2941"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B75A87">
                  <w:pPr>
                    <w:bidi w:val="0"/>
                    <w:jc w:val="center"/>
                    <w:rPr>
                      <w:rFonts w:ascii="Times New Roman" w:hAnsi="Times New Roman"/>
                      <w:i/>
                    </w:rPr>
                  </w:pPr>
                  <w:r w:rsidR="00B75A87">
                    <w:rPr>
                      <w:rFonts w:ascii="Times New Roman" w:hAnsi="Times New Roman"/>
                      <w:i/>
                    </w:rPr>
                    <w:t>- 6,</w:t>
                  </w:r>
                  <w:r w:rsidR="00BB4A1F">
                    <w:rPr>
                      <w:rFonts w:ascii="Times New Roman" w:hAnsi="Times New Roman"/>
                      <w:i/>
                    </w:rPr>
                    <w:t>4</w:t>
                  </w:r>
                  <w:r w:rsidR="00B75A87">
                    <w:rPr>
                      <w:rFonts w:ascii="Times New Roman" w:hAnsi="Times New Roman"/>
                      <w:i/>
                    </w:rPr>
                    <w:t xml:space="preserve"> Eur (úspora)</w:t>
                  </w:r>
                  <w:r w:rsidR="00DB4A50">
                    <w:rPr>
                      <w:rFonts w:ascii="Times New Roman" w:hAnsi="Times New Roman"/>
                      <w:i/>
                    </w:rPr>
                    <w:t>*</w:t>
                  </w:r>
                </w:p>
              </w:tc>
              <w:tc>
                <w:tcPr>
                  <w:tcW w:w="2946"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F237E4">
                  <w:pPr>
                    <w:bidi w:val="0"/>
                    <w:jc w:val="center"/>
                    <w:rPr>
                      <w:rFonts w:ascii="Times New Roman" w:hAnsi="Times New Roman"/>
                      <w:i/>
                    </w:rPr>
                  </w:pPr>
                  <w:r w:rsidR="00B75A87">
                    <w:rPr>
                      <w:rFonts w:ascii="Times New Roman" w:hAnsi="Times New Roman"/>
                      <w:i/>
                    </w:rPr>
                    <w:t xml:space="preserve">- </w:t>
                  </w:r>
                  <w:r w:rsidR="00BB4A1F">
                    <w:rPr>
                      <w:rFonts w:ascii="Times New Roman" w:hAnsi="Times New Roman"/>
                      <w:i/>
                    </w:rPr>
                    <w:t>787</w:t>
                  </w:r>
                  <w:r w:rsidR="00F237E4">
                    <w:rPr>
                      <w:rFonts w:ascii="Times New Roman" w:hAnsi="Times New Roman"/>
                      <w:i/>
                    </w:rPr>
                    <w:t xml:space="preserve"> </w:t>
                  </w:r>
                  <w:r w:rsidR="00B75A87">
                    <w:rPr>
                      <w:rFonts w:ascii="Times New Roman" w:hAnsi="Times New Roman"/>
                      <w:i/>
                    </w:rPr>
                    <w:t>tis. Eur (úspora)</w:t>
                  </w:r>
                  <w:r w:rsidR="00DB4A50">
                    <w:rPr>
                      <w:rFonts w:ascii="Times New Roman" w:hAnsi="Times New Roman"/>
                      <w:i/>
                    </w:rPr>
                    <w:t>*</w:t>
                  </w:r>
                </w:p>
              </w:tc>
            </w:tr>
            <w:tr>
              <w:tblPrEx>
                <w:tblW w:w="0" w:type="auto"/>
                <w:tblLook w:val="04A0"/>
              </w:tblPrEx>
              <w:tc>
                <w:tcPr>
                  <w:tcW w:w="2949"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b/>
                      <w:i/>
                    </w:rPr>
                  </w:pPr>
                  <w:r w:rsidRPr="00F04CCD">
                    <w:rPr>
                      <w:rFonts w:ascii="Times New Roman" w:hAnsi="Times New Roman"/>
                      <w:b/>
                      <w:i/>
                    </w:rPr>
                    <w:t>Celkové náklady regulácie</w:t>
                  </w:r>
                </w:p>
              </w:tc>
              <w:tc>
                <w:tcPr>
                  <w:tcW w:w="2941"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b/>
                      <w:i/>
                    </w:rPr>
                  </w:pPr>
                </w:p>
              </w:tc>
              <w:tc>
                <w:tcPr>
                  <w:tcW w:w="2946"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b/>
                      <w:i/>
                    </w:rPr>
                  </w:pPr>
                </w:p>
              </w:tc>
            </w:tr>
          </w:tbl>
          <w:p w:rsidR="00FF6A7B" w:rsidP="00FF6A7B">
            <w:pPr>
              <w:bidi w:val="0"/>
              <w:rPr>
                <w:rFonts w:ascii="Times New Roman" w:hAnsi="Times New Roman"/>
                <w:i/>
              </w:rPr>
            </w:pPr>
            <w:r w:rsidR="00DB4A50">
              <w:rPr>
                <w:rFonts w:ascii="Times New Roman" w:hAnsi="Times New Roman"/>
                <w:i/>
              </w:rPr>
              <w:t xml:space="preserve">* </w:t>
            </w:r>
            <w:r>
              <w:rPr>
                <w:rFonts w:ascii="Times New Roman" w:hAnsi="Times New Roman"/>
                <w:i/>
              </w:rPr>
              <w:t xml:space="preserve">na základe vyčíslenia uvedeného v stanovisku </w:t>
            </w:r>
            <w:r w:rsidR="00DB4A50">
              <w:rPr>
                <w:rFonts w:ascii="Times New Roman" w:hAnsi="Times New Roman"/>
                <w:i/>
              </w:rPr>
              <w:t>Stálej pracovnej k</w:t>
            </w:r>
            <w:r>
              <w:rPr>
                <w:rFonts w:ascii="Times New Roman" w:hAnsi="Times New Roman"/>
                <w:i/>
              </w:rPr>
              <w:t>omisie</w:t>
            </w:r>
            <w:r w:rsidR="00DB4A50">
              <w:rPr>
                <w:rFonts w:ascii="Times New Roman" w:hAnsi="Times New Roman"/>
                <w:i/>
              </w:rPr>
              <w:t xml:space="preserve"> LRV SR </w:t>
            </w:r>
            <w:r>
              <w:rPr>
                <w:rFonts w:ascii="Times New Roman" w:hAnsi="Times New Roman"/>
                <w:i/>
              </w:rPr>
              <w:t xml:space="preserve">pre </w:t>
            </w:r>
            <w:r w:rsidR="00DB4A50">
              <w:rPr>
                <w:rFonts w:ascii="Times New Roman" w:hAnsi="Times New Roman"/>
                <w:i/>
              </w:rPr>
              <w:t>posudzovanie vybraných vplyvov</w:t>
            </w:r>
          </w:p>
          <w:p w:rsidR="00FF6A7B" w:rsidRPr="00F04CCD" w:rsidP="00FF6A7B">
            <w:pPr>
              <w:bidi w:val="0"/>
              <w:rPr>
                <w:rFonts w:ascii="Times New Roman" w:hAnsi="Times New Roman"/>
                <w:i/>
              </w:rPr>
            </w:pP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7B71A4">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.4 Konkurencieschopnosť a správanie sa podnikov na trhu</w:t>
            </w:r>
          </w:p>
          <w:p w:rsidR="009F2DFA" w:rsidRPr="00F04CCD" w:rsidP="007B71A4">
            <w:pPr>
              <w:bidi w:val="0"/>
              <w:rPr>
                <w:rFonts w:ascii="Times New Roman" w:hAnsi="Times New Roman"/>
              </w:rPr>
            </w:pPr>
            <w:r w:rsidRPr="00042C66">
              <w:rPr>
                <w:rFonts w:ascii="Times New Roman" w:hAnsi="Times New Roman"/>
                <w:b/>
                <w:sz w:val="24"/>
              </w:rPr>
              <w:t xml:space="preserve">       </w:t>
            </w:r>
            <w:r w:rsidRPr="00042C66">
              <w:rPr>
                <w:rFonts w:ascii="Times New Roman" w:hAnsi="Times New Roman"/>
                <w:sz w:val="24"/>
              </w:rPr>
              <w:t xml:space="preserve">- </w:t>
            </w:r>
            <w:r w:rsidRPr="00042C66">
              <w:rPr>
                <w:rFonts w:ascii="Times New Roman" w:hAnsi="Times New Roman"/>
                <w:b/>
                <w:sz w:val="24"/>
              </w:rPr>
              <w:t>z toho MSP</w:t>
            </w:r>
          </w:p>
        </w:tc>
      </w:tr>
      <w:tr>
        <w:tblPrEx>
          <w:tblW w:w="0" w:type="auto"/>
          <w:tblLook w:val="04A0"/>
        </w:tblPrEx>
        <w:trPr>
          <w:trHeight w:val="656"/>
        </w:trPr>
        <w:tc>
          <w:tcPr>
            <w:tcW w:w="906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00DB4A50">
              <w:rPr>
                <w:rFonts w:ascii="Times New Roman" w:hAnsi="Times New Roman"/>
                <w:i/>
              </w:rPr>
              <w:t>Podľa testu malých a stredných podnikov: „znížená administratívna záťaž a nepriame finančné náklady pri zachovaní ochrany zdravia zamestnancov pri práci“. Vzhľadom na to sa nepredpokladá ovplyvnenie konkurencieschopnosti alebo správanie sa podnikov na trhu.</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7B71A4">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 xml:space="preserve">.5 Inovácie </w:t>
            </w:r>
          </w:p>
          <w:p w:rsidR="009F2DFA" w:rsidRPr="00F04CCD" w:rsidP="007B71A4">
            <w:pPr>
              <w:bidi w:val="0"/>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rPr>
          <w:trHeight w:val="420"/>
        </w:trPr>
        <w:tc>
          <w:tcPr>
            <w:tcW w:w="906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00A91D14">
              <w:rPr>
                <w:rFonts w:ascii="Times New Roman" w:hAnsi="Times New Roman"/>
                <w:i/>
              </w:rPr>
              <w:t xml:space="preserve">Nemá vplyv na inovácie. </w:t>
            </w:r>
          </w:p>
        </w:tc>
      </w:tr>
      <w:tr>
        <w:tblPrEx>
          <w:tblW w:w="0" w:type="auto"/>
          <w:tblLook w:val="04A0"/>
        </w:tblPrEx>
        <w:trPr>
          <w:trHeight w:val="420"/>
        </w:trPr>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EB1D95" w:rsidRPr="00EB1D95" w:rsidP="00846688">
            <w:pPr>
              <w:bidi w:val="0"/>
              <w:rPr>
                <w:rFonts w:ascii="Times New Roman" w:hAnsi="Times New Roman"/>
                <w:b/>
                <w:i/>
              </w:rPr>
            </w:pPr>
            <w:r w:rsidRPr="00EB1D95">
              <w:rPr>
                <w:rFonts w:ascii="Times New Roman" w:hAnsi="Times New Roman"/>
                <w:b/>
                <w:i/>
              </w:rPr>
              <w:t>Správa o výsledkoch testu malých a stredných podnikov tvorí samostatnú prílohu.</w:t>
            </w:r>
          </w:p>
        </w:tc>
      </w:tr>
    </w:tbl>
    <w:p w:rsidR="00CB3623" w:rsidP="00DB4A50">
      <w:pPr>
        <w:bidi w:val="0"/>
        <w:rPr>
          <w:rFonts w:ascii="Times New Roman" w:hAnsi="Times New Roman"/>
        </w:rPr>
      </w:pPr>
    </w:p>
    <w:sectPr>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Yu Gothic UI"/>
    <w:panose1 w:val="02020609040205080304"/>
    <w:charset w:val="80"/>
    <w:family w:val="roman"/>
    <w:pitch w:val="fixed"/>
    <w:sig w:usb0="00000000" w:usb1="00000000" w:usb2="00000000" w:usb3="00000000" w:csb0="00020000"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FF" w:csb1="00000000"/>
  </w:font>
  <w:font w:name="Tahoma">
    <w:altName w:val="Tahoma"/>
    <w:panose1 w:val="00000000000000000000"/>
    <w:charset w:val="EE"/>
    <w:family w:val="swiss"/>
    <w:pitch w:val="variable"/>
    <w:sig w:usb0="00000000" w:usb1="00000000" w:usb2="00000000" w:usb3="00000000" w:csb0="000101FF" w:csb1="00000000"/>
  </w:font>
  <w:font w:name="@MS Gothic">
    <w:panose1 w:val="00000000000000000000"/>
    <w:charset w:val="80"/>
    <w:family w:val="modern"/>
    <w:pitch w:val="fixed"/>
    <w:sig w:usb0="00000000" w:usb1="00000000" w:usb2="00000000" w:usb3="00000000" w:csb0="0002009F" w:csb1="00000000"/>
  </w:font>
  <w:font w:name="@MS Mincho">
    <w:panose1 w:val="02020609040205080304"/>
    <w:charset w:val="80"/>
    <w:family w:val="roman"/>
    <w:pitch w:val="fixed"/>
    <w:sig w:usb0="00000000" w:usb1="00000000" w:usb2="00000000" w:usb3="00000000" w:csb0="00020000" w:csb1="00000000"/>
  </w:font>
  <w:font w:name="Segoe UI Symbol">
    <w:panose1 w:val="020B0502040204020203"/>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DFA">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DF43B3">
      <w:rPr>
        <w:rFonts w:ascii="Times New Roman" w:hAnsi="Times New Roman"/>
        <w:noProof/>
      </w:rPr>
      <w:t>1</w:t>
    </w:r>
    <w:r>
      <w:rPr>
        <w:rFonts w:ascii="Times New Roman" w:hAnsi="Times New Roman"/>
      </w:rPr>
      <w:fldChar w:fldCharType="end"/>
    </w:r>
  </w:p>
  <w:p w:rsidR="009F2DFA">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0D9"/>
    <w:multiLevelType w:val="hybridMultilevel"/>
    <w:tmpl w:val="BE7EA20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nsid w:val="16B66859"/>
    <w:multiLevelType w:val="hybridMultilevel"/>
    <w:tmpl w:val="F4145C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02D65B4"/>
    <w:multiLevelType w:val="hybridMultilevel"/>
    <w:tmpl w:val="05EEF73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3">
    <w:nsid w:val="3A620081"/>
    <w:multiLevelType w:val="hybridMultilevel"/>
    <w:tmpl w:val="EFA415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4">
    <w:nsid w:val="3B2702CF"/>
    <w:multiLevelType w:val="hybridMultilevel"/>
    <w:tmpl w:val="B87C199E"/>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D214EF1"/>
    <w:multiLevelType w:val="hybridMultilevel"/>
    <w:tmpl w:val="608A2016"/>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AA010E5"/>
    <w:multiLevelType w:val="hybridMultilevel"/>
    <w:tmpl w:val="BEF66D34"/>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524C7B1F"/>
    <w:multiLevelType w:val="hybridMultilevel"/>
    <w:tmpl w:val="5D6C5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B0C2D03"/>
    <w:multiLevelType w:val="hybridMultilevel"/>
    <w:tmpl w:val="1EFC29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9">
    <w:nsid w:val="5CCE19A5"/>
    <w:multiLevelType w:val="hybridMultilevel"/>
    <w:tmpl w:val="E66AFDB2"/>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E680BAD"/>
    <w:multiLevelType w:val="hybridMultilevel"/>
    <w:tmpl w:val="41D4CC1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FE46C3F"/>
    <w:multiLevelType w:val="hybridMultilevel"/>
    <w:tmpl w:val="1C9CF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8833080"/>
    <w:multiLevelType w:val="hybridMultilevel"/>
    <w:tmpl w:val="E85A861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B7F06E0"/>
    <w:multiLevelType w:val="hybridMultilevel"/>
    <w:tmpl w:val="33EA1EE4"/>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num w:numId="1">
    <w:abstractNumId w:val="9"/>
  </w:num>
  <w:num w:numId="2">
    <w:abstractNumId w:val="4"/>
  </w:num>
  <w:num w:numId="3">
    <w:abstractNumId w:val="11"/>
  </w:num>
  <w:num w:numId="4">
    <w:abstractNumId w:val="10"/>
  </w:num>
  <w:num w:numId="5">
    <w:abstractNumId w:val="1"/>
  </w:num>
  <w:num w:numId="6">
    <w:abstractNumId w:val="7"/>
  </w:num>
  <w:num w:numId="7">
    <w:abstractNumId w:val="12"/>
  </w:num>
  <w:num w:numId="8">
    <w:abstractNumId w:val="2"/>
  </w:num>
  <w:num w:numId="9">
    <w:abstractNumId w:val="0"/>
  </w:num>
  <w:num w:numId="10">
    <w:abstractNumId w:val="13"/>
  </w:num>
  <w:num w:numId="11">
    <w:abstractNumId w:val="8"/>
  </w:num>
  <w:num w:numId="12">
    <w:abstractNumId w:val="3"/>
  </w:num>
  <w:num w:numId="13">
    <w:abstractNumId w:val="5"/>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trackRevisions/>
  <w:doNotTrackMoves/>
  <w:defaultTabStop w:val="708"/>
  <w:hyphenationZone w:val="425"/>
  <w:characterSpacingControl w:val="doNotCompress"/>
  <w:compat/>
  <w:rsids>
    <w:rsidRoot w:val="00FB5C13"/>
    <w:rsid w:val="00001837"/>
    <w:rsid w:val="000353D5"/>
    <w:rsid w:val="000365E8"/>
    <w:rsid w:val="00042C66"/>
    <w:rsid w:val="001433FF"/>
    <w:rsid w:val="00154881"/>
    <w:rsid w:val="00172800"/>
    <w:rsid w:val="001A567A"/>
    <w:rsid w:val="001B507B"/>
    <w:rsid w:val="002347F4"/>
    <w:rsid w:val="00277144"/>
    <w:rsid w:val="002A2417"/>
    <w:rsid w:val="002B1108"/>
    <w:rsid w:val="002C3F56"/>
    <w:rsid w:val="00326E0C"/>
    <w:rsid w:val="003C00D0"/>
    <w:rsid w:val="003C5252"/>
    <w:rsid w:val="003F7503"/>
    <w:rsid w:val="0042233D"/>
    <w:rsid w:val="00461352"/>
    <w:rsid w:val="004B65AA"/>
    <w:rsid w:val="004B7B34"/>
    <w:rsid w:val="004E5AFE"/>
    <w:rsid w:val="00500ECE"/>
    <w:rsid w:val="0052297F"/>
    <w:rsid w:val="0055796A"/>
    <w:rsid w:val="005A51AA"/>
    <w:rsid w:val="006525C3"/>
    <w:rsid w:val="00681AF9"/>
    <w:rsid w:val="00754941"/>
    <w:rsid w:val="00780BA6"/>
    <w:rsid w:val="007955A9"/>
    <w:rsid w:val="007B71A4"/>
    <w:rsid w:val="00837639"/>
    <w:rsid w:val="00846688"/>
    <w:rsid w:val="00880BC5"/>
    <w:rsid w:val="008947DB"/>
    <w:rsid w:val="008A1252"/>
    <w:rsid w:val="008A45AC"/>
    <w:rsid w:val="008D0B7E"/>
    <w:rsid w:val="00904C9B"/>
    <w:rsid w:val="009B1F51"/>
    <w:rsid w:val="009C2BBA"/>
    <w:rsid w:val="009F2DFA"/>
    <w:rsid w:val="00A11496"/>
    <w:rsid w:val="00A52E41"/>
    <w:rsid w:val="00A91D14"/>
    <w:rsid w:val="00AF461F"/>
    <w:rsid w:val="00B271EE"/>
    <w:rsid w:val="00B31A8E"/>
    <w:rsid w:val="00B75A87"/>
    <w:rsid w:val="00B7719F"/>
    <w:rsid w:val="00B96073"/>
    <w:rsid w:val="00BA073A"/>
    <w:rsid w:val="00BB3162"/>
    <w:rsid w:val="00BB4A1F"/>
    <w:rsid w:val="00C546BE"/>
    <w:rsid w:val="00CB3623"/>
    <w:rsid w:val="00CB591E"/>
    <w:rsid w:val="00D35D5E"/>
    <w:rsid w:val="00D81F88"/>
    <w:rsid w:val="00D9537C"/>
    <w:rsid w:val="00DB4A50"/>
    <w:rsid w:val="00DE50E6"/>
    <w:rsid w:val="00DF43B3"/>
    <w:rsid w:val="00E3094E"/>
    <w:rsid w:val="00E32A41"/>
    <w:rsid w:val="00E86AD1"/>
    <w:rsid w:val="00E93771"/>
    <w:rsid w:val="00EB1D95"/>
    <w:rsid w:val="00F04CCD"/>
    <w:rsid w:val="00F11CC1"/>
    <w:rsid w:val="00F237E4"/>
    <w:rsid w:val="00F35013"/>
    <w:rsid w:val="00F41620"/>
    <w:rsid w:val="00FA0D18"/>
    <w:rsid w:val="00FB5C13"/>
    <w:rsid w:val="00FC390F"/>
    <w:rsid w:val="00FF6A7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DFA"/>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9F2DF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DFA"/>
    <w:pPr>
      <w:spacing w:after="200" w:line="276" w:lineRule="auto"/>
      <w:ind w:left="720"/>
      <w:contextualSpacing/>
      <w:jc w:val="left"/>
    </w:pPr>
    <w:rPr>
      <w:rFonts w:asciiTheme="minorHAnsi" w:hAnsiTheme="minorHAnsi"/>
      <w:sz w:val="22"/>
      <w:szCs w:val="22"/>
      <w:lang w:eastAsia="en-US"/>
    </w:rPr>
  </w:style>
  <w:style w:type="paragraph" w:customStyle="1" w:styleId="BodyText1">
    <w:name w:val="Body Text1"/>
    <w:qFormat/>
    <w:rsid w:val="009F2DFA"/>
    <w:pPr>
      <w:framePr w:wrap="auto"/>
      <w:widowControl/>
      <w:autoSpaceDE/>
      <w:autoSpaceDN/>
      <w:adjustRightInd/>
      <w:spacing w:after="120"/>
      <w:ind w:left="0" w:right="0"/>
      <w:jc w:val="left"/>
      <w:textAlignment w:val="auto"/>
    </w:pPr>
    <w:rPr>
      <w:rFonts w:ascii="Arial" w:hAnsi="Arial" w:cs="Times New Roman"/>
      <w:color w:val="000000"/>
      <w:sz w:val="19"/>
      <w:szCs w:val="48"/>
      <w:rtl w:val="0"/>
      <w:cs w:val="0"/>
      <w:lang w:val="sk-SK" w:eastAsia="en-US" w:bidi="ar-SA"/>
    </w:rPr>
  </w:style>
  <w:style w:type="paragraph" w:styleId="NormalWeb">
    <w:name w:val="Normal (Web)"/>
    <w:basedOn w:val="Normal"/>
    <w:uiPriority w:val="99"/>
    <w:unhideWhenUsed/>
    <w:rsid w:val="009F2DFA"/>
    <w:pPr>
      <w:spacing w:before="100" w:beforeAutospacing="1" w:after="100" w:afterAutospacing="1"/>
      <w:jc w:val="left"/>
    </w:pPr>
    <w:rPr>
      <w:rFonts w:ascii="Times New Roman" w:hAnsi="Times New Roman" w:eastAsiaTheme="minorEastAsia"/>
      <w:sz w:val="24"/>
      <w:szCs w:val="24"/>
      <w:lang w:val="en-US" w:eastAsia="en-US"/>
    </w:rPr>
  </w:style>
  <w:style w:type="paragraph" w:customStyle="1" w:styleId="Deloittebodytext">
    <w:name w:val="Deloitte body text"/>
    <w:qFormat/>
    <w:rsid w:val="009F2DFA"/>
    <w:pPr>
      <w:framePr w:wrap="auto"/>
      <w:widowControl/>
      <w:autoSpaceDE/>
      <w:autoSpaceDN/>
      <w:adjustRightInd/>
      <w:spacing w:after="240" w:line="280" w:lineRule="exact"/>
      <w:ind w:left="0" w:right="0"/>
      <w:jc w:val="both"/>
      <w:textAlignment w:val="auto"/>
    </w:pPr>
    <w:rPr>
      <w:rFonts w:ascii="Arial" w:hAnsi="Arial" w:cs="Times New Roman"/>
      <w:color w:val="000000"/>
      <w:sz w:val="22"/>
      <w:szCs w:val="48"/>
      <w:rtl w:val="0"/>
      <w:cs w:val="0"/>
      <w:lang w:val="sk-SK" w:eastAsia="en-US" w:bidi="ar-SA"/>
    </w:rPr>
  </w:style>
  <w:style w:type="paragraph" w:customStyle="1" w:styleId="TableColumnheader">
    <w:name w:val="Table Column header"/>
    <w:basedOn w:val="Normal"/>
    <w:rsid w:val="009F2DFA"/>
    <w:pPr>
      <w:spacing w:before="80" w:after="80"/>
      <w:jc w:val="left"/>
    </w:pPr>
    <w:rPr>
      <w:rFonts w:ascii="Arial" w:hAnsi="Arial"/>
      <w:b/>
      <w:noProof/>
      <w:color w:val="FFFFFF"/>
      <w:sz w:val="18"/>
      <w:szCs w:val="24"/>
      <w:lang w:val="en-US" w:eastAsia="en-US"/>
    </w:rPr>
  </w:style>
  <w:style w:type="paragraph" w:styleId="BalloonText">
    <w:name w:val="Balloon Text"/>
    <w:basedOn w:val="Normal"/>
    <w:link w:val="TextbublinyChar"/>
    <w:uiPriority w:val="99"/>
    <w:semiHidden/>
    <w:unhideWhenUsed/>
    <w:rsid w:val="009F2DF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F2DFA"/>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9F2DFA"/>
    <w:pPr>
      <w:tabs>
        <w:tab w:val="center" w:pos="4536"/>
        <w:tab w:val="right" w:pos="9072"/>
      </w:tabs>
      <w:jc w:val="left"/>
    </w:pPr>
  </w:style>
  <w:style w:type="character" w:customStyle="1" w:styleId="HlavikaChar">
    <w:name w:val="Hlavička Char"/>
    <w:basedOn w:val="DefaultParagraphFont"/>
    <w:link w:val="Header"/>
    <w:uiPriority w:val="99"/>
    <w:locked/>
    <w:rsid w:val="009F2DFA"/>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9F2DFA"/>
    <w:pPr>
      <w:tabs>
        <w:tab w:val="center" w:pos="4536"/>
        <w:tab w:val="right" w:pos="9072"/>
      </w:tabs>
      <w:jc w:val="left"/>
    </w:pPr>
  </w:style>
  <w:style w:type="character" w:customStyle="1" w:styleId="PtaChar">
    <w:name w:val="Päta Char"/>
    <w:basedOn w:val="DefaultParagraphFont"/>
    <w:link w:val="Footer"/>
    <w:uiPriority w:val="99"/>
    <w:locked/>
    <w:rsid w:val="009F2DFA"/>
    <w:rPr>
      <w:rFonts w:ascii="Times New Roman" w:hAnsi="Times New Roman" w:cs="Times New Roman"/>
      <w:sz w:val="20"/>
      <w:szCs w:val="20"/>
      <w:rtl w:val="0"/>
      <w:cs w:val="0"/>
      <w:lang w:val="x-none" w:eastAsia="sk-SK"/>
    </w:rPr>
  </w:style>
  <w:style w:type="character" w:styleId="CommentReference">
    <w:name w:val="annotation reference"/>
    <w:basedOn w:val="DefaultParagraphFont"/>
    <w:uiPriority w:val="99"/>
    <w:semiHidden/>
    <w:unhideWhenUsed/>
    <w:rsid w:val="00AF461F"/>
    <w:rPr>
      <w:rFonts w:cs="Times New Roman"/>
      <w:sz w:val="16"/>
      <w:szCs w:val="16"/>
      <w:rtl w:val="0"/>
      <w:cs w:val="0"/>
    </w:rPr>
  </w:style>
  <w:style w:type="paragraph" w:styleId="CommentText">
    <w:name w:val="annotation text"/>
    <w:basedOn w:val="Normal"/>
    <w:link w:val="TextkomentraChar"/>
    <w:uiPriority w:val="99"/>
    <w:semiHidden/>
    <w:unhideWhenUsed/>
    <w:rsid w:val="00AF461F"/>
    <w:pPr>
      <w:jc w:val="left"/>
    </w:pPr>
  </w:style>
  <w:style w:type="character" w:customStyle="1" w:styleId="TextkomentraChar">
    <w:name w:val="Text komentára Char"/>
    <w:basedOn w:val="DefaultParagraphFont"/>
    <w:link w:val="CommentText"/>
    <w:uiPriority w:val="99"/>
    <w:semiHidden/>
    <w:locked/>
    <w:rsid w:val="00AF461F"/>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AF461F"/>
    <w:pPr>
      <w:jc w:val="left"/>
    </w:pPr>
    <w:rPr>
      <w:b/>
      <w:bCs/>
    </w:rPr>
  </w:style>
  <w:style w:type="character" w:customStyle="1" w:styleId="PredmetkomentraChar">
    <w:name w:val="Predmet komentára Char"/>
    <w:basedOn w:val="TextkomentraChar"/>
    <w:link w:val="CommentSubject"/>
    <w:uiPriority w:val="99"/>
    <w:semiHidden/>
    <w:locked/>
    <w:rsid w:val="00AF461F"/>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f:fields xmlns:f="http://schemas.fabasoft.com/folio/2007/fields">
  <f:record ref="">
    <f:field ref="objname" par="" edit="true" text="Analyza-vplyvov-podnikatelske-prostredie"/>
    <f:field ref="objsubject" par="" edit="true" text=""/>
    <f:field ref="objcreatedby" par="" text="Vincová, Veronika, Mgr."/>
    <f:field ref="objcreatedat" par="" text="10.2.2017 14:55:08"/>
    <f:field ref="objchangedby" par="" text="Administrator, System"/>
    <f:field ref="objmodifiedat" par="" text="10.2.2017 14:55:0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2A5A8DE-EDAB-4EC4-88FF-CCE49CF0F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Pages>
  <Words>1791</Words>
  <Characters>10209</Characters>
  <Application>Microsoft Office Word</Application>
  <DocSecurity>0</DocSecurity>
  <Lines>0</Lines>
  <Paragraphs>0</Paragraphs>
  <ScaleCrop>false</ScaleCrop>
  <Company/>
  <LinksUpToDate>false</LinksUpToDate>
  <CharactersWithSpaces>11977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Vincová Veronika</cp:lastModifiedBy>
  <cp:revision>2</cp:revision>
  <cp:lastPrinted>2017-08-14T07:12:00Z</cp:lastPrinted>
  <dcterms:created xsi:type="dcterms:W3CDTF">2017-08-14T07:15:00Z</dcterms:created>
  <dcterms:modified xsi:type="dcterms:W3CDTF">2017-08-14T07:15:00Z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COO.2145.1000.3.1823080</vt:lpwstr>
  </property>
  <property fmtid="{D5CDD505-2E9C-101B-9397-08002B2CF9AE}" pid="3" name="FSC#FSCFOLIO@1.1001:docpropproject">
    <vt:lpwstr/>
  </property>
  <property fmtid="{D5CDD505-2E9C-101B-9397-08002B2CF9AE}" pid="4" name="FSC#SKEDITIONSLOVLEX@103.510:aktualnyrok">
    <vt:lpwstr>2017</vt:lpwstr>
  </property>
  <property fmtid="{D5CDD505-2E9C-101B-9397-08002B2CF9AE}" pid="5" name="FSC#SKEDITIONSLOVLEX@103.510:AttrDateDocPropUkonceniePKK">
    <vt:lpwstr/>
  </property>
  <property fmtid="{D5CDD505-2E9C-101B-9397-08002B2CF9AE}" pid="6" name="FSC#SKEDITIONSLOVLEX@103.510:AttrDateDocPropZaciatokPKK">
    <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Pozitívne</vt:lpwstr>
  </property>
  <property fmtid="{D5CDD505-2E9C-101B-9397-08002B2CF9AE}" pid="10" name="FSC#SKEDITIONSLOVLEX@103.510:AttrStrDocPropVplyvRozpocetVS">
    <vt:lpwstr>Žiadne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Nie sú.</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zdravotníctva Slovenskej republiky</vt:lpwstr>
  </property>
  <property fmtid="{D5CDD505-2E9C-101B-9397-08002B2CF9AE}" pid="15" name="FSC#SKEDITIONSLOVLEX@103.510:AttrStrListDocPropInfoUzPreberanePP">
    <vt:lpwstr>smernica Rady 89/391/EHS z 12. júna 1989 o zavádzaní opatrení na podporu zlepšenia bezpečnosti a zdravia pracovníkov pri práci (Mimoriadne vydanie Ú. v. EÚ, kap. 05/zv. 1) v platnom znení – článok 7 _x000D__x000D_– v zákone č. 124/2006 Z. z. o bezpečnosti a ochrane z</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Lehota na prebratie smernice Rady 89/391/EHS z 12. júna 1989 o zavádzaní opatrení na podporu zlepšenia bezpečnosti a zdravia pracovníkov pri práci (Mimoriadne vydanie Ú. v. EÚ, kap. 05/zv. 1) bola 1. mája 2004. _x000D__x000D__x000D__x000D_Lehota na prebratie smernice Rady 74/556</vt:lpwstr>
  </property>
  <property fmtid="{D5CDD505-2E9C-101B-9397-08002B2CF9AE}" pid="21" name="FSC#SKEDITIONSLOVLEX@103.510:AttrStrListDocPropNazovPredpisuEU">
    <vt:lpwstr>European Commission against Federal Republic of Germany, C 319/05, _x000D__x000D_Criminal proceedings against Johannes Stephanus, C-219/91, _x000D__x000D_Upjohn Company and Upjohn NV v Farzoo Inc. and J. Kortmann, C-112/89, _x000D__x000D_Criminal proceedings against Jean Monteil and Daniel </vt:lpwstr>
  </property>
  <property fmtid="{D5CDD505-2E9C-101B-9397-08002B2CF9AE}" pid="22" name="FSC#SKEDITIONSLOVLEX@103.510:AttrStrListDocPropPoznamkaVplyv">
    <vt:lpwstr>Predložený návrh zákona nemá vplyv na rozpočet verejnej správy, sociálne vplyvy, vplyv na životné prostredie, vplyv na informatizáciu spoločnosti ani vplyv na služby verejnej správy pre občana. Predpokladá sa pozitívny vplyv na podnikateľské prostredie.</vt:lpwstr>
  </property>
  <property fmtid="{D5CDD505-2E9C-101B-9397-08002B2CF9AE}" pid="23" name="FSC#SKEDITIONSLOVLEX@103.510:AttrStrListDocPropPrimarnePravoEU">
    <vt:lpwstr>čl. 151 Zmluvy o fungovaní Európskej únie v platnom znení, podľa ktorého Európska únia a členské štáty majú za cieľ zlepšovať životné a pracovné podmienky tak, aby sa dosiahlo ich zosúladenie pri zachovaní dosiahnutej úrovne._x000D__x000D_čl. 153 ods. 1 písm. a) a b)</vt:lpwstr>
  </property>
  <property fmtid="{D5CDD505-2E9C-101B-9397-08002B2CF9AE}" pid="24" name="FSC#SKEDITIONSLOVLEX@103.510:AttrStrListDocPropProblematikaPPa">
    <vt:lpwstr>je upravená v práve Európskej únie</vt:lpwstr>
  </property>
  <property fmtid="{D5CDD505-2E9C-101B-9397-08002B2CF9AE}" pid="25" name="FSC#SKEDITIONSLOVLEX@103.510:AttrStrListDocPropProblematikaPPb">
    <vt:lpwstr>je obsiahnutá v judikatúre Súdneho dvora Európskej únie</vt:lpwstr>
  </property>
  <property fmtid="{D5CDD505-2E9C-101B-9397-08002B2CF9AE}" pid="26" name="FSC#SKEDITIONSLOVLEX@103.510:AttrStrListDocPropSekundarneLegPravoDO">
    <vt:lpwstr>smernica Rady 89/391/EHS z 12. júna 1989 o zavádzaní opatrení na podporu zlepšenia bezpečnosti a zdravia pracovníkov pri práci (Mimoriadne vydanie Ú. v. EÚ, kap. 05/zv. 1) v platnom znení - článok 7,_x000D__x000D_smernica Rady 74/556/EHS zo 4. júna 1974, ktorou sa st</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Komisia pre posudzovanie vybraných vplyvov z PPK zaslala stanovisko č. 009/2017 zo dňa 26.01.2017, ktorého pripomienky predkladateľ promptne zapracoval. Následne Komisia pre posudzovanie vybraných vplyvov zaslala stanovisko č. 009_2/2017 zo dňa 03.02.2017</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z ...... 2017, ktorým sa mení a dopĺňa zákon č. 355/2007 Z. z. o ochrane, podpore a rozvoji verejného zdravia a o zmene a doplnení niektorých zá</vt:lpwstr>
  </property>
  <property fmtid="{D5CDD505-2E9C-101B-9397-08002B2CF9AE}" pid="32" name="FSC#SKEDITIONSLOVLEX@103.510:AttrStrListDocPropTextPredklSpravy">
    <vt:lpwstr>&lt;p&gt;Návrh zákona, ktorým sa mení a dopĺňa zákon č. 355/2007 Z. z. o ochrane, podpore a rozvoji verejného zdravia a o zmene a doplnení niektorých zákonov v znení neskorších predpisov sa predkladá na základe uznesenia vlády SR č. 453 z 5. októbra 2016 k Návr</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republiky_x000D__x000D_minister zdravotníctva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LP/2017/32</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 zdravotníctva Slovenskej republiky</vt:lpwstr>
  </property>
  <property fmtid="{D5CDD505-2E9C-101B-9397-08002B2CF9AE}" pid="122" name="FSC#SKEDITIONSLOVLEX@103.510:funkciaZodpPredAkuzativ">
    <vt:lpwstr>ministerovi zdravotníctva Slovenskej republiky</vt:lpwstr>
  </property>
  <property fmtid="{D5CDD505-2E9C-101B-9397-08002B2CF9AE}" pid="123" name="FSC#SKEDITIONSLOVLEX@103.510:funkciaZodpPredDativ">
    <vt:lpwstr>ministera zdravotníctva Slovenskej republiky</vt:lpwstr>
  </property>
  <property fmtid="{D5CDD505-2E9C-101B-9397-08002B2CF9AE}" pid="124" name="FSC#SKEDITIONSLOVLEX@103.510:legoblast">
    <vt:lpwstr>Správne právo</vt:lpwstr>
  </property>
  <property fmtid="{D5CDD505-2E9C-101B-9397-08002B2CF9AE}" pid="125" name="FSC#SKEDITIONSLOVLEX@103.510:nazovpredpis">
    <vt:lpwstr> z ...... 2017, ktorým sa mení a dopĺňa zákon č. 355/2007 Z. z. o ochrane, podpore a rozvoji verejného zdravia a o zmene a doplnení niektorých zákonov v znení neskorších predpisov </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z ...... 2017, ktorým sa mení a dopĺňa zákon č. 355/2007 Z. z. o ochrane, podpore a rozvoji verejného zdravia a o zmene a doplnení niektorých zákonov v znení neskorších predpisov </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Uznesenie vlády SR č. 453 z 5. októbra 2016 </vt:lpwstr>
  </property>
  <property fmtid="{D5CDD505-2E9C-101B-9397-08002B2CF9AE}" pid="136" name="FSC#SKEDITIONSLOVLEX@103.510:povodpredpis">
    <vt:lpwstr>Slovlex (eLeg)</vt:lpwstr>
  </property>
  <property fmtid="{D5CDD505-2E9C-101B-9397-08002B2CF9AE}" pid="137" name="FSC#SKEDITIONSLOVLEX@103.510:predkladatel">
    <vt:lpwstr>Mgr. Veronika Vincová</vt:lpwstr>
  </property>
  <property fmtid="{D5CDD505-2E9C-101B-9397-08002B2CF9AE}" pid="138" name="FSC#SKEDITIONSLOVLEX@103.510:predkladateliaObalSD">
    <vt:lpwstr>Tomáš Drucker_x000D__x000D_minister zdravotníctva Slovenskej republiky</vt:lpwstr>
  </property>
  <property fmtid="{D5CDD505-2E9C-101B-9397-08002B2CF9AE}" pid="139" name="FSC#SKEDITIONSLOVLEX@103.510:pripomienkovatelia">
    <vt:lpwstr/>
  </property>
  <property fmtid="{D5CDD505-2E9C-101B-9397-08002B2CF9AE}" pid="140" name="FSC#SKEDITIONSLOVLEX@103.510:rezortcislopredpis">
    <vt:lpwstr>S00294-OL-2017</vt:lpwstr>
  </property>
  <property fmtid="{D5CDD505-2E9C-101B-9397-08002B2CF9AE}" pid="141" name="FSC#SKEDITIONSLOVLEX@103.510:spiscislouv">
    <vt:lpwstr/>
  </property>
  <property fmtid="{D5CDD505-2E9C-101B-9397-08002B2CF9AE}" pid="142" name="FSC#SKEDITIONSLOVLEX@103.510:spravaucastverej">
    <vt:lpwstr>&lt;p style="text-align: justify;"&gt;Po zverejnení predbežnej informácie v&amp;nbsp;decembri 2016 bol záujem zo strany verejnosti byť účastníkom procesov, ktoré viedli k&amp;nbsp;legislatívnemu návrhu riešenia zabezpečenia Pracovnej zdravotnej služby zo strany zamestn</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Doložka vplyvov</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zdravotníctva Slovenskej republiky</vt:lpwstr>
  </property>
  <property fmtid="{D5CDD505-2E9C-101B-9397-08002B2CF9AE}" pid="151" name="FSC#SKEDITIONSLOVLEX@103.510:zodppredkladatel">
    <vt:lpwstr>Tomáš Drucker</vt:lpwstr>
  </property>
</Properties>
</file>