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4E8" w:rsidRPr="00F36C07" w:rsidP="00F36C0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C07">
        <w:rPr>
          <w:rFonts w:ascii="Times New Roman" w:hAnsi="Times New Roman"/>
          <w:b/>
          <w:sz w:val="24"/>
          <w:szCs w:val="24"/>
        </w:rPr>
        <w:t>Dôvodová správa</w:t>
      </w: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74E8" w:rsidRPr="00F36C07" w:rsidP="00B05149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rozširuje možnosť poberania príspevku za osobnú asistenciu aj pre </w:t>
      </w:r>
      <w:r>
        <w:rPr>
          <w:rFonts w:ascii="Times New Roman" w:hAnsi="Times New Roman"/>
          <w:color w:val="000000"/>
          <w:sz w:val="24"/>
          <w:szCs w:val="24"/>
        </w:rPr>
        <w:t xml:space="preserve">manžela, manželku, rodičov alebo fyzickú osobu, ktorá prevzala dieťa do starostlivosti nahrádzajúcej starostlivosť rodičov na základe rozhodnutia súdu, alebo fyzickú osobu, ktorú súd ustanovil za opatrovníka fyzickej osoby s ťažkým zdravotným postihnutím, deti, starých rodičov, vnúčatá, súrodencov, nevestu, zaťa, svokoru a svokra, teda o osoby, ktoré sa v širšom slova zmysle považujú za rodinu. </w:t>
      </w:r>
    </w:p>
    <w:p w:rsidR="00F17B95" w:rsidRPr="00F17B95" w:rsidP="00F17B95">
      <w:pPr>
        <w:bidi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F17B95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Osobná asistencia má pomôcť osobe s ťažkým zdravotným  postihnutím v činnostiach, ktoré zlepšia kvalitu jej života, podporujú jej vlastnú aktivitu a dávajú šancu na lepšie uplatnenie pri vykonávaní jej funkcie v rodine, pri vzdelávaní, v zamestnaní alebo pri záujmoch vo voľnom čase.  Túto pomoc dostávajú najmä z prostredia rodiny  v širšom slova zmysle, preto je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cieľom návrhu zákona rozšíriť možnosť poberania príspevku za osobnú asistenciu aj pre členov tzv. širšej rodiny, ktorí tieto asistenčné služby aj reálne každodenne vykonávajú, t.</w:t>
      </w:r>
      <w:r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 xml:space="preserve">j. </w:t>
      </w:r>
      <w:r w:rsidRPr="00F17B95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manžel, manželka, rodia alebo fyzická osoba, ktorá prevzala dieťa do starostlivosti nahrádzajúcej starostlivosť rodičov na základe rozhodnutia súdu, alebo fyzická osoba, ktorú súd ustanovil za opatrovníka fyzickej osoby s ťažkým zdravotným postihnutím, deti, starí rodičia, vnúčatá, súrodenci, nevesta, zať, svokra a svokru. </w:t>
      </w: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17B95" w:rsidP="000B1FF5">
      <w:pPr>
        <w:bidi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0B1FF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B95" w:rsidP="00F17B95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Rozširuje možnosť poberania príspevku za osobnú asistenciu aj pre </w:t>
      </w:r>
      <w:r>
        <w:rPr>
          <w:rFonts w:ascii="Times New Roman" w:hAnsi="Times New Roman"/>
          <w:color w:val="000000"/>
          <w:sz w:val="24"/>
          <w:szCs w:val="24"/>
        </w:rPr>
        <w:t xml:space="preserve">manžela, manželku, rodičov alebo fyzickú osobu, ktorá prevzala dieťa do starostlivosti nahrádzajúcej starostlivosť rodičov na základe rozhodnutia súdu, alebo fyzickú osobu, ktorú súd ustanovil za opatrovníka fyzickej osoby s ťažkým zdravotným postihnutím, deti, starých rodičov, vnúčatá, súrodencov, nevestu, zaťa, svokoru a svokra. 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F17B95" w:rsidP="00F17B9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B95" w:rsidP="00F17B95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Navrhuje sa ú</w:t>
      </w:r>
      <w:r w:rsidR="00EE7717">
        <w:rPr>
          <w:rFonts w:ascii="Times New Roman" w:hAnsi="Times New Roman"/>
          <w:sz w:val="24"/>
          <w:szCs w:val="24"/>
        </w:rPr>
        <w:t xml:space="preserve">činnosť zákona k 1. </w:t>
      </w:r>
      <w:r w:rsidR="00DA79F1">
        <w:rPr>
          <w:rFonts w:ascii="Times New Roman" w:hAnsi="Times New Roman"/>
          <w:sz w:val="24"/>
          <w:szCs w:val="24"/>
        </w:rPr>
        <w:t>decembru</w:t>
      </w:r>
      <w:r w:rsidR="00EE7717">
        <w:rPr>
          <w:rFonts w:ascii="Times New Roman" w:hAnsi="Times New Roman"/>
          <w:sz w:val="24"/>
          <w:szCs w:val="24"/>
        </w:rPr>
        <w:t xml:space="preserve"> 201</w:t>
      </w:r>
      <w:r w:rsidR="00DA79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F17B95" w:rsidP="00F17B95">
      <w:pPr>
        <w:bidi w:val="0"/>
        <w:spacing w:after="0" w:line="360" w:lineRule="auto"/>
        <w:jc w:val="both"/>
      </w:pPr>
    </w:p>
    <w:p w:rsidR="00587A1F" w:rsidP="00F17B95">
      <w:pPr>
        <w:bidi w:val="0"/>
        <w:spacing w:after="0" w:line="360" w:lineRule="auto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F2F"/>
    <w:multiLevelType w:val="multilevel"/>
    <w:tmpl w:val="1EBC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44337"/>
    <w:multiLevelType w:val="multilevel"/>
    <w:tmpl w:val="C43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AA74E8"/>
    <w:rsid w:val="000B1FF5"/>
    <w:rsid w:val="003E0EDF"/>
    <w:rsid w:val="00587A1F"/>
    <w:rsid w:val="006D7B9D"/>
    <w:rsid w:val="009B41E8"/>
    <w:rsid w:val="00AA74E8"/>
    <w:rsid w:val="00B05149"/>
    <w:rsid w:val="00B86B69"/>
    <w:rsid w:val="00C51183"/>
    <w:rsid w:val="00D62A2E"/>
    <w:rsid w:val="00DA79F1"/>
    <w:rsid w:val="00EE7717"/>
    <w:rsid w:val="00F17B95"/>
    <w:rsid w:val="00F36C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E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4E8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character" w:styleId="Hyperlink">
    <w:name w:val="Hyperlink"/>
    <w:basedOn w:val="DefaultParagraphFont"/>
    <w:uiPriority w:val="99"/>
    <w:semiHidden/>
    <w:unhideWhenUsed/>
    <w:rsid w:val="006D7B9D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1F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1FF5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332</Words>
  <Characters>1899</Characters>
  <Application>Microsoft Office Word</Application>
  <DocSecurity>0</DocSecurity>
  <Lines>0</Lines>
  <Paragraphs>0</Paragraphs>
  <ScaleCrop>false</ScaleCrop>
  <Company>Kancelaria NR SR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2016-07-27T12:42:00Z</cp:lastPrinted>
  <dcterms:created xsi:type="dcterms:W3CDTF">2017-08-15T09:18:00Z</dcterms:created>
  <dcterms:modified xsi:type="dcterms:W3CDTF">2017-08-15T09:18:00Z</dcterms:modified>
</cp:coreProperties>
</file>