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DDB" w:rsidRPr="001B5762">
      <w:pPr>
        <w:bidi w:val="0"/>
        <w:spacing w:after="0" w:line="240" w:lineRule="auto"/>
        <w:jc w:val="center"/>
        <w:rPr>
          <w:rFonts w:ascii="Times New Roman" w:hAnsi="Times New Roman"/>
          <w:b/>
          <w:bCs/>
          <w:caps/>
          <w:spacing w:val="30"/>
          <w:sz w:val="24"/>
          <w:szCs w:val="24"/>
          <w:lang w:val="sk-SK"/>
        </w:rPr>
      </w:pPr>
      <w:r w:rsidRPr="001B5762">
        <w:rPr>
          <w:rFonts w:ascii="Times New Roman" w:hAnsi="Times New Roman"/>
          <w:b/>
          <w:bCs/>
          <w:caps/>
          <w:spacing w:val="30"/>
          <w:sz w:val="24"/>
          <w:szCs w:val="24"/>
          <w:lang w:val="sk-SK"/>
        </w:rPr>
        <w:t>Doložka zlučiteľnosti</w:t>
      </w:r>
    </w:p>
    <w:p w:rsidR="00961DDB" w:rsidRPr="001B5762">
      <w:pPr>
        <w:bidi w:val="0"/>
        <w:spacing w:after="0" w:line="240" w:lineRule="auto"/>
        <w:jc w:val="center"/>
        <w:rPr>
          <w:rFonts w:ascii="Times New Roman" w:hAnsi="Times New Roman" w:cs="Verdana"/>
          <w:b/>
          <w:bCs/>
          <w:sz w:val="24"/>
          <w:szCs w:val="24"/>
          <w:lang w:val="sk-SK"/>
        </w:rPr>
      </w:pPr>
      <w:r w:rsidRPr="001B5762" w:rsidR="00113283">
        <w:rPr>
          <w:rFonts w:ascii="Times New Roman" w:hAnsi="Times New Roman"/>
          <w:b/>
          <w:bCs/>
          <w:sz w:val="24"/>
          <w:szCs w:val="24"/>
          <w:lang w:val="sk-SK"/>
        </w:rPr>
        <w:t>právneho predpisu s právom Európskej únie</w:t>
      </w:r>
      <w:r w:rsidRPr="001B5762">
        <w:rPr>
          <w:rFonts w:ascii="Times New Roman" w:hAnsi="Times New Roman" w:cs="Verdana"/>
          <w:b/>
          <w:bCs/>
          <w:sz w:val="24"/>
          <w:szCs w:val="24"/>
          <w:lang w:val="sk-SK"/>
        </w:rPr>
        <w:t> </w:t>
      </w:r>
    </w:p>
    <w:p w:rsidR="00961DDB" w:rsidRPr="001B5762">
      <w:pPr>
        <w:bidi w:val="0"/>
        <w:spacing w:after="0" w:line="240" w:lineRule="auto"/>
        <w:rPr>
          <w:rFonts w:ascii="Times New Roman" w:hAnsi="Times New Roman" w:cs="Verdana"/>
          <w:sz w:val="24"/>
          <w:szCs w:val="24"/>
          <w:lang w:val="sk-SK"/>
        </w:rPr>
      </w:pPr>
    </w:p>
    <w:p w:rsidR="00961DDB" w:rsidRPr="001B5762">
      <w:pPr>
        <w:bidi w:val="0"/>
        <w:spacing w:after="0" w:line="240" w:lineRule="auto"/>
        <w:rPr>
          <w:rFonts w:ascii="Times New Roman" w:hAnsi="Times New Roman" w:cs="Verdana"/>
          <w:sz w:val="24"/>
          <w:szCs w:val="24"/>
          <w:lang w:val="sk-SK"/>
        </w:rPr>
      </w:pPr>
    </w:p>
    <w:p w:rsidR="00961DDB" w:rsidRPr="001B5762">
      <w:pPr>
        <w:bidi w:val="0"/>
        <w:spacing w:after="0" w:line="240" w:lineRule="auto"/>
        <w:ind w:left="360" w:hanging="360"/>
        <w:rPr>
          <w:rFonts w:ascii="Times New Roman" w:hAnsi="Times New Roman" w:cs="Verdana"/>
          <w:b/>
          <w:bCs/>
          <w:sz w:val="24"/>
          <w:szCs w:val="24"/>
          <w:lang w:val="sk-SK"/>
        </w:rPr>
      </w:pPr>
      <w:r w:rsidRPr="001B5762">
        <w:rPr>
          <w:rFonts w:ascii="Times New Roman" w:hAnsi="Times New Roman"/>
          <w:b/>
          <w:bCs/>
          <w:sz w:val="24"/>
          <w:szCs w:val="24"/>
          <w:lang w:val="sk-SK"/>
        </w:rPr>
        <w:t>1.</w:t>
        <w:tab/>
        <w:t>Predkladateľ právneho predpisu:</w:t>
      </w:r>
      <w:r w:rsidRPr="001B5762">
        <w:rPr>
          <w:rFonts w:ascii="Times New Roman" w:hAnsi="Times New Roman"/>
          <w:sz w:val="24"/>
          <w:szCs w:val="24"/>
          <w:lang w:val="sk-SK"/>
        </w:rPr>
        <w:t xml:space="preserve"> </w:t>
      </w:r>
      <w:r w:rsidRPr="001B5762" w:rsidR="00500C3D">
        <w:rPr>
          <w:rFonts w:ascii="Times New Roman" w:hAnsi="Times New Roman"/>
          <w:sz w:val="24"/>
          <w:szCs w:val="24"/>
          <w:lang w:val="sk-SK"/>
        </w:rPr>
        <w:t>poslan</w:t>
      </w:r>
      <w:r w:rsidRPr="001B5762" w:rsidR="004207DC">
        <w:rPr>
          <w:rFonts w:ascii="Times New Roman" w:hAnsi="Times New Roman"/>
          <w:sz w:val="24"/>
          <w:szCs w:val="24"/>
          <w:lang w:val="sk-SK"/>
        </w:rPr>
        <w:t>c</w:t>
      </w:r>
      <w:r w:rsidRPr="001B5762" w:rsidR="00500C3D">
        <w:rPr>
          <w:rFonts w:ascii="Times New Roman" w:hAnsi="Times New Roman"/>
          <w:sz w:val="24"/>
          <w:szCs w:val="24"/>
          <w:lang w:val="sk-SK"/>
        </w:rPr>
        <w:t>i</w:t>
      </w:r>
      <w:r w:rsidRPr="001B5762" w:rsidR="00BD61B2">
        <w:rPr>
          <w:rFonts w:ascii="Times New Roman" w:hAnsi="Times New Roman"/>
          <w:sz w:val="24"/>
          <w:szCs w:val="24"/>
          <w:lang w:val="sk-SK"/>
        </w:rPr>
        <w:t xml:space="preserve"> Národnej rady</w:t>
      </w:r>
      <w:r w:rsidRPr="001B5762">
        <w:rPr>
          <w:rFonts w:ascii="Times New Roman" w:hAnsi="Times New Roman"/>
          <w:sz w:val="24"/>
          <w:szCs w:val="24"/>
          <w:lang w:val="sk-SK"/>
        </w:rPr>
        <w:t xml:space="preserve"> Slovenskej republiky </w:t>
      </w:r>
    </w:p>
    <w:p w:rsidR="00961DDB" w:rsidRPr="001B5762">
      <w:pPr>
        <w:tabs>
          <w:tab w:val="left" w:pos="360"/>
        </w:tabs>
        <w:bidi w:val="0"/>
        <w:spacing w:after="0" w:line="240" w:lineRule="auto"/>
        <w:ind w:left="360"/>
        <w:rPr>
          <w:rFonts w:ascii="Times New Roman" w:hAnsi="Times New Roman"/>
          <w:sz w:val="24"/>
          <w:szCs w:val="24"/>
          <w:lang w:val="sk-SK"/>
        </w:rPr>
      </w:pPr>
      <w:r w:rsidRPr="001B5762">
        <w:rPr>
          <w:rFonts w:ascii="Times New Roman" w:hAnsi="Times New Roman"/>
          <w:sz w:val="24"/>
          <w:szCs w:val="24"/>
          <w:lang w:val="sk-SK"/>
        </w:rPr>
        <w:t xml:space="preserve"> </w:t>
      </w:r>
    </w:p>
    <w:p w:rsidR="00500C3D" w:rsidRPr="001B5762" w:rsidP="00C75753">
      <w:pPr>
        <w:pStyle w:val="titulok"/>
        <w:bidi w:val="0"/>
        <w:jc w:val="both"/>
        <w:rPr>
          <w:rFonts w:ascii="Times New Roman" w:hAnsi="Times New Roman" w:cs="Times New Roman"/>
          <w:b w:val="0"/>
          <w:color w:val="auto"/>
        </w:rPr>
      </w:pPr>
      <w:r w:rsidRPr="001B5762" w:rsidR="00961DDB">
        <w:rPr>
          <w:rFonts w:ascii="Times New Roman" w:hAnsi="Times New Roman"/>
          <w:bCs w:val="0"/>
          <w:color w:val="auto"/>
        </w:rPr>
        <w:t>2.</w:t>
      </w:r>
      <w:r w:rsidRPr="001B5762" w:rsidR="00DC5240">
        <w:rPr>
          <w:rFonts w:ascii="Times New Roman" w:hAnsi="Times New Roman"/>
          <w:bCs w:val="0"/>
          <w:color w:val="auto"/>
        </w:rPr>
        <w:t xml:space="preserve">   </w:t>
      </w:r>
      <w:r w:rsidRPr="001B5762" w:rsidR="00961DDB">
        <w:rPr>
          <w:rFonts w:ascii="Times New Roman" w:hAnsi="Times New Roman"/>
          <w:bCs w:val="0"/>
          <w:color w:val="auto"/>
        </w:rPr>
        <w:t>Názov návrhu právneho predpisu:</w:t>
      </w:r>
      <w:r w:rsidRPr="001B5762" w:rsidR="00961DDB">
        <w:rPr>
          <w:rFonts w:ascii="Times New Roman" w:hAnsi="Times New Roman"/>
          <w:color w:val="auto"/>
        </w:rPr>
        <w:t xml:space="preserve"> </w:t>
      </w:r>
      <w:r w:rsidRPr="001B5762">
        <w:rPr>
          <w:rFonts w:ascii="Times New Roman" w:hAnsi="Times New Roman" w:cs="Times New Roman"/>
          <w:b w:val="0"/>
          <w:color w:val="auto"/>
        </w:rPr>
        <w:t xml:space="preserve">Návrh zákona, </w:t>
      </w:r>
      <w:r w:rsidRPr="001B5762" w:rsidR="00AC29E7">
        <w:rPr>
          <w:rFonts w:ascii="Times New Roman" w:hAnsi="Times New Roman" w:cs="Times New Roman"/>
          <w:b w:val="0"/>
          <w:color w:val="auto"/>
        </w:rPr>
        <w:t xml:space="preserve">ktorým sa mení a dopĺňa zákon                     </w:t>
      </w:r>
      <w:r w:rsidRPr="001B5762" w:rsidR="00AC29E7">
        <w:rPr>
          <w:rFonts w:ascii="Times New Roman" w:hAnsi="Times New Roman" w:cs="Times New Roman"/>
          <w:b w:val="0"/>
          <w:bCs w:val="0"/>
          <w:color w:val="auto"/>
        </w:rPr>
        <w:t>č. 222/2004 Z. z. o dani z pridanej hodnoty v znení neskorších predpisov</w:t>
      </w:r>
    </w:p>
    <w:p w:rsidR="00961DDB" w:rsidRPr="001B5762" w:rsidP="00500C3D">
      <w:pPr>
        <w:pStyle w:val="titulok"/>
        <w:bidi w:val="0"/>
        <w:jc w:val="left"/>
        <w:rPr>
          <w:rFonts w:ascii="Times New Roman" w:hAnsi="Times New Roman"/>
          <w:bCs w:val="0"/>
          <w:color w:val="auto"/>
        </w:rPr>
      </w:pPr>
      <w:r w:rsidRPr="001B5762" w:rsidR="00500C3D">
        <w:rPr>
          <w:rFonts w:ascii="Times New Roman" w:hAnsi="Times New Roman"/>
          <w:bCs w:val="0"/>
          <w:color w:val="auto"/>
        </w:rPr>
        <w:t xml:space="preserve">3.   </w:t>
      </w:r>
      <w:r w:rsidRPr="001B5762">
        <w:rPr>
          <w:rFonts w:ascii="Times New Roman" w:hAnsi="Times New Roman"/>
          <w:bCs w:val="0"/>
          <w:color w:val="auto"/>
        </w:rPr>
        <w:t>Problematika návrhu právneho predpisu:</w:t>
      </w:r>
    </w:p>
    <w:p w:rsidR="00961DDB" w:rsidRPr="001B5762">
      <w:pPr>
        <w:bidi w:val="0"/>
        <w:spacing w:after="0" w:line="240" w:lineRule="auto"/>
        <w:ind w:firstLine="360"/>
        <w:rPr>
          <w:rFonts w:ascii="Times New Roman" w:hAnsi="Times New Roman"/>
          <w:sz w:val="24"/>
          <w:szCs w:val="24"/>
          <w:lang w:val="sk-SK"/>
        </w:rPr>
      </w:pPr>
    </w:p>
    <w:p w:rsidR="00961DDB" w:rsidRPr="001B5762" w:rsidP="00E5752D">
      <w:pPr>
        <w:bidi w:val="0"/>
        <w:spacing w:after="0" w:line="240" w:lineRule="auto"/>
        <w:ind w:left="709" w:hanging="349"/>
        <w:rPr>
          <w:rFonts w:ascii="Times New Roman" w:hAnsi="Times New Roman" w:cs="Verdana"/>
          <w:sz w:val="24"/>
          <w:szCs w:val="24"/>
          <w:lang w:val="sk-SK"/>
        </w:rPr>
      </w:pPr>
      <w:r w:rsidRPr="001B5762">
        <w:rPr>
          <w:rFonts w:ascii="Times New Roman" w:hAnsi="Times New Roman"/>
          <w:sz w:val="24"/>
          <w:szCs w:val="24"/>
          <w:lang w:val="sk-SK"/>
        </w:rPr>
        <w:t>a)</w:t>
        <w:tab/>
      </w:r>
      <w:r w:rsidRPr="001B5762" w:rsidR="00E5752D">
        <w:rPr>
          <w:rFonts w:ascii="Times New Roman" w:hAnsi="Times New Roman"/>
          <w:sz w:val="24"/>
          <w:szCs w:val="24"/>
          <w:lang w:val="sk-SK"/>
        </w:rPr>
        <w:t xml:space="preserve">nie </w:t>
      </w:r>
      <w:r w:rsidRPr="001B5762">
        <w:rPr>
          <w:rFonts w:ascii="Times New Roman" w:hAnsi="Times New Roman"/>
          <w:sz w:val="24"/>
          <w:szCs w:val="24"/>
          <w:lang w:val="sk-SK"/>
        </w:rPr>
        <w:t>je upravená v práve Európskej únie</w:t>
      </w:r>
    </w:p>
    <w:p w:rsidR="00961DDB" w:rsidRPr="001B5762">
      <w:pPr>
        <w:bidi w:val="0"/>
        <w:spacing w:after="0" w:line="240" w:lineRule="auto"/>
        <w:ind w:firstLine="360"/>
        <w:rPr>
          <w:rFonts w:ascii="Times New Roman" w:hAnsi="Times New Roman"/>
          <w:sz w:val="24"/>
          <w:szCs w:val="24"/>
          <w:lang w:val="sk-SK"/>
        </w:rPr>
      </w:pPr>
    </w:p>
    <w:p w:rsidR="00961DDB" w:rsidRPr="001B5762" w:rsidP="00961DDB">
      <w:pPr>
        <w:bidi w:val="0"/>
        <w:spacing w:after="0" w:line="240" w:lineRule="auto"/>
        <w:ind w:left="709" w:hanging="349"/>
        <w:rPr>
          <w:rFonts w:ascii="Times New Roman" w:hAnsi="Times New Roman"/>
          <w:sz w:val="24"/>
          <w:szCs w:val="24"/>
          <w:lang w:val="sk-SK"/>
        </w:rPr>
      </w:pPr>
      <w:r w:rsidRPr="001B5762">
        <w:rPr>
          <w:rFonts w:ascii="Times New Roman" w:hAnsi="Times New Roman"/>
          <w:sz w:val="24"/>
          <w:szCs w:val="24"/>
          <w:lang w:val="sk-SK"/>
        </w:rPr>
        <w:t>b)</w:t>
        <w:tab/>
      </w:r>
      <w:r w:rsidRPr="001B5762" w:rsidR="00E5752D">
        <w:rPr>
          <w:rFonts w:ascii="Times New Roman" w:hAnsi="Times New Roman"/>
          <w:sz w:val="24"/>
          <w:szCs w:val="24"/>
          <w:lang w:val="sk-SK"/>
        </w:rPr>
        <w:t xml:space="preserve">nie </w:t>
      </w:r>
      <w:r w:rsidRPr="001B5762">
        <w:rPr>
          <w:rFonts w:ascii="Times New Roman" w:hAnsi="Times New Roman"/>
          <w:sz w:val="24"/>
          <w:szCs w:val="24"/>
          <w:lang w:val="sk-SK"/>
        </w:rPr>
        <w:t>je obsiahnutá v judikatúre Súdneho dvora Európskej únie.</w:t>
      </w:r>
    </w:p>
    <w:p w:rsidR="00961DDB" w:rsidRPr="001B5762" w:rsidP="00961DDB">
      <w:pPr>
        <w:bidi w:val="0"/>
        <w:spacing w:after="0" w:line="240" w:lineRule="auto"/>
        <w:ind w:left="709" w:hanging="349"/>
        <w:rPr>
          <w:rFonts w:ascii="Times New Roman" w:hAnsi="Times New Roman" w:cs="Verdana"/>
          <w:sz w:val="24"/>
          <w:szCs w:val="24"/>
          <w:lang w:val="sk-SK"/>
        </w:rPr>
      </w:pPr>
    </w:p>
    <w:p w:rsidR="00961DDB" w:rsidRPr="001B5762" w:rsidP="00961DDB">
      <w:pPr>
        <w:bidi w:val="0"/>
        <w:spacing w:after="0" w:line="240" w:lineRule="auto"/>
        <w:ind w:left="360" w:hanging="360"/>
        <w:rPr>
          <w:rFonts w:ascii="Times New Roman" w:hAnsi="Times New Roman"/>
          <w:b/>
          <w:bCs/>
          <w:sz w:val="24"/>
          <w:szCs w:val="24"/>
          <w:lang w:val="sk-SK"/>
        </w:rPr>
      </w:pPr>
      <w:r w:rsidRPr="001B5762">
        <w:rPr>
          <w:rFonts w:ascii="Times New Roman" w:hAnsi="Times New Roman"/>
          <w:b/>
          <w:bCs/>
          <w:sz w:val="24"/>
          <w:szCs w:val="24"/>
          <w:lang w:val="sk-SK"/>
        </w:rPr>
        <w:t>4.</w:t>
        <w:tab/>
        <w:t xml:space="preserve">Záväzky Slovenskej republiky vo vzťahu k Európskej únii: </w:t>
      </w:r>
    </w:p>
    <w:p w:rsidR="00961DDB" w:rsidRPr="001B5762" w:rsidP="00E5752D">
      <w:pPr>
        <w:bidi w:val="0"/>
        <w:spacing w:after="0" w:line="240" w:lineRule="auto"/>
        <w:rPr>
          <w:rFonts w:ascii="Times New Roman" w:hAnsi="Times New Roman" w:cs="Verdana"/>
          <w:sz w:val="24"/>
          <w:szCs w:val="24"/>
          <w:lang w:val="sk-SK"/>
        </w:rPr>
      </w:pPr>
    </w:p>
    <w:p w:rsidR="00961DDB" w:rsidRPr="001B5762" w:rsidP="000D01BA">
      <w:pPr>
        <w:bidi w:val="0"/>
        <w:spacing w:after="0" w:line="240" w:lineRule="auto"/>
        <w:rPr>
          <w:rFonts w:ascii="Times New Roman" w:hAnsi="Times New Roman"/>
          <w:sz w:val="24"/>
          <w:szCs w:val="24"/>
          <w:lang w:val="sk-SK"/>
        </w:rPr>
      </w:pPr>
      <w:r w:rsidRPr="001B5762" w:rsidR="000D01BA">
        <w:rPr>
          <w:rFonts w:ascii="Times New Roman" w:hAnsi="Times New Roman"/>
          <w:sz w:val="24"/>
          <w:szCs w:val="24"/>
          <w:lang w:val="sk-SK"/>
        </w:rPr>
        <w:t xml:space="preserve">      B</w:t>
      </w:r>
      <w:r w:rsidRPr="001B5762">
        <w:rPr>
          <w:rFonts w:ascii="Times New Roman" w:hAnsi="Times New Roman"/>
          <w:sz w:val="24"/>
          <w:szCs w:val="24"/>
          <w:lang w:val="sk-SK"/>
        </w:rPr>
        <w:t>ezpredmetné </w:t>
      </w:r>
    </w:p>
    <w:p w:rsidR="00961DDB" w:rsidRPr="001B5762">
      <w:pPr>
        <w:bidi w:val="0"/>
        <w:spacing w:after="0" w:line="240" w:lineRule="auto"/>
        <w:ind w:firstLine="708"/>
        <w:rPr>
          <w:rFonts w:ascii="Times New Roman" w:hAnsi="Times New Roman"/>
          <w:sz w:val="24"/>
          <w:szCs w:val="24"/>
          <w:lang w:val="sk-SK"/>
        </w:rPr>
      </w:pPr>
    </w:p>
    <w:p w:rsidR="00961DDB" w:rsidRPr="001B5762" w:rsidP="00961DDB">
      <w:pPr>
        <w:bidi w:val="0"/>
        <w:spacing w:after="0" w:line="240" w:lineRule="auto"/>
        <w:ind w:left="360" w:hanging="360"/>
        <w:rPr>
          <w:rFonts w:ascii="Times New Roman" w:hAnsi="Times New Roman"/>
          <w:b/>
          <w:bCs/>
          <w:sz w:val="24"/>
          <w:szCs w:val="24"/>
          <w:lang w:val="sk-SK"/>
        </w:rPr>
      </w:pPr>
      <w:r w:rsidRPr="001B5762">
        <w:rPr>
          <w:rFonts w:ascii="Times New Roman" w:hAnsi="Times New Roman"/>
          <w:b/>
          <w:bCs/>
          <w:sz w:val="24"/>
          <w:szCs w:val="24"/>
          <w:lang w:val="sk-SK"/>
        </w:rPr>
        <w:t>5.</w:t>
        <w:tab/>
        <w:t>Stupeň zlučiteľnosti návrhu právneho predpisu s právom Európskej únie:</w:t>
      </w:r>
    </w:p>
    <w:p w:rsidR="00961DDB" w:rsidRPr="001B5762">
      <w:pPr>
        <w:bidi w:val="0"/>
        <w:spacing w:after="0" w:line="240" w:lineRule="auto"/>
        <w:rPr>
          <w:rFonts w:ascii="Times New Roman" w:hAnsi="Times New Roman" w:cs="Verdana"/>
          <w:sz w:val="24"/>
          <w:szCs w:val="24"/>
          <w:lang w:val="sk-SK"/>
        </w:rPr>
      </w:pPr>
    </w:p>
    <w:p w:rsidR="00961DDB" w:rsidRPr="001B5762">
      <w:pPr>
        <w:bidi w:val="0"/>
        <w:spacing w:after="0" w:line="240" w:lineRule="auto"/>
        <w:ind w:firstLine="360"/>
        <w:rPr>
          <w:rFonts w:ascii="Times New Roman" w:hAnsi="Times New Roman"/>
          <w:sz w:val="24"/>
          <w:szCs w:val="24"/>
          <w:lang w:val="sk-SK"/>
        </w:rPr>
      </w:pPr>
      <w:r w:rsidRPr="001B5762">
        <w:rPr>
          <w:rFonts w:ascii="Times New Roman" w:hAnsi="Times New Roman"/>
          <w:sz w:val="24"/>
          <w:szCs w:val="24"/>
          <w:lang w:val="sk-SK"/>
        </w:rPr>
        <w:t>Stupeň zlučiteľnosti - úplný </w:t>
      </w:r>
    </w:p>
    <w:p w:rsidR="00551D2C" w:rsidRPr="001B5762">
      <w:pPr>
        <w:bidi w:val="0"/>
        <w:spacing w:after="0" w:line="240" w:lineRule="auto"/>
        <w:ind w:firstLine="360"/>
        <w:rPr>
          <w:rFonts w:ascii="Times New Roman" w:hAnsi="Times New Roman"/>
          <w:sz w:val="24"/>
          <w:szCs w:val="24"/>
          <w:lang w:val="sk-SK"/>
        </w:rPr>
      </w:pPr>
    </w:p>
    <w:p w:rsidR="00551D2C"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pPr>
        <w:bidi w:val="0"/>
        <w:spacing w:after="0" w:line="240" w:lineRule="auto"/>
        <w:ind w:firstLine="360"/>
        <w:rPr>
          <w:rFonts w:ascii="Times New Roman" w:hAnsi="Times New Roman"/>
          <w:sz w:val="24"/>
          <w:szCs w:val="24"/>
          <w:lang w:val="sk-SK"/>
        </w:rPr>
      </w:pPr>
    </w:p>
    <w:p w:rsidR="000153CB" w:rsidRPr="001B5762" w:rsidP="00AA471A">
      <w:pPr>
        <w:pStyle w:val="NormalWeb"/>
        <w:bidi w:val="0"/>
        <w:spacing w:before="0" w:beforeAutospacing="0" w:after="0" w:afterAutospacing="0"/>
        <w:rPr>
          <w:rFonts w:ascii="Times New Roman" w:hAnsi="Times New Roman"/>
          <w:lang w:eastAsia="en-US"/>
        </w:rPr>
      </w:pPr>
    </w:p>
    <w:p w:rsidR="00AA471A" w:rsidRPr="001B5762" w:rsidP="00AA471A">
      <w:pPr>
        <w:pStyle w:val="NormalWeb"/>
        <w:bidi w:val="0"/>
        <w:spacing w:before="0" w:beforeAutospacing="0" w:after="0" w:afterAutospacing="0"/>
        <w:rPr>
          <w:rFonts w:ascii="Times New Roman" w:hAnsi="Times New Roman"/>
          <w:lang w:eastAsia="en-US"/>
        </w:rPr>
      </w:pPr>
    </w:p>
    <w:p w:rsidR="00AA471A" w:rsidRPr="001B5762" w:rsidP="00AA471A">
      <w:pPr>
        <w:pStyle w:val="NormalWeb"/>
        <w:bidi w:val="0"/>
        <w:spacing w:before="0" w:beforeAutospacing="0" w:after="0" w:afterAutospacing="0"/>
        <w:rPr>
          <w:rFonts w:ascii="Times New Roman" w:hAnsi="Times New Roman"/>
          <w:b/>
          <w:bCs/>
          <w:sz w:val="28"/>
          <w:szCs w:val="28"/>
        </w:rPr>
      </w:pPr>
    </w:p>
    <w:p w:rsidR="00F378AD" w:rsidRPr="001B5762" w:rsidP="00AA471A">
      <w:pPr>
        <w:pStyle w:val="NormalWeb"/>
        <w:bidi w:val="0"/>
        <w:spacing w:before="0" w:beforeAutospacing="0" w:after="0" w:afterAutospacing="0"/>
        <w:rPr>
          <w:rFonts w:ascii="Times New Roman" w:hAnsi="Times New Roman"/>
          <w:b/>
          <w:bCs/>
          <w:sz w:val="28"/>
          <w:szCs w:val="28"/>
        </w:rPr>
      </w:pPr>
    </w:p>
    <w:p w:rsidR="0047737C" w:rsidRPr="001B5762" w:rsidP="00551D2C">
      <w:pPr>
        <w:pStyle w:val="NormalWeb"/>
        <w:bidi w:val="0"/>
        <w:spacing w:before="0" w:beforeAutospacing="0" w:after="0" w:afterAutospacing="0"/>
        <w:jc w:val="center"/>
        <w:rPr>
          <w:rFonts w:ascii="Times New Roman" w:hAnsi="Times New Roman"/>
          <w:b/>
          <w:bCs/>
          <w:sz w:val="28"/>
          <w:szCs w:val="28"/>
        </w:rPr>
      </w:pPr>
    </w:p>
    <w:p w:rsidR="00551D2C" w:rsidRPr="001B5762" w:rsidP="00551D2C">
      <w:pPr>
        <w:pStyle w:val="NormalWeb"/>
        <w:bidi w:val="0"/>
        <w:spacing w:before="0" w:beforeAutospacing="0" w:after="0" w:afterAutospacing="0"/>
        <w:jc w:val="center"/>
        <w:rPr>
          <w:rFonts w:ascii="Times New Roman" w:hAnsi="Times New Roman"/>
          <w:b/>
          <w:bCs/>
          <w:sz w:val="28"/>
          <w:szCs w:val="28"/>
        </w:rPr>
      </w:pPr>
      <w:r w:rsidRPr="001B5762">
        <w:rPr>
          <w:rFonts w:ascii="Times New Roman" w:hAnsi="Times New Roman"/>
          <w:b/>
          <w:bCs/>
          <w:sz w:val="28"/>
          <w:szCs w:val="28"/>
        </w:rPr>
        <w:t>Doložka vybraných vplyvov</w:t>
      </w:r>
    </w:p>
    <w:p w:rsidR="00551D2C" w:rsidRPr="001B5762" w:rsidP="00551D2C">
      <w:pPr>
        <w:pStyle w:val="NormalWeb"/>
        <w:bidi w:val="0"/>
        <w:spacing w:before="0" w:beforeAutospacing="0" w:after="0" w:afterAutospacing="0"/>
        <w:jc w:val="center"/>
        <w:rPr>
          <w:rFonts w:ascii="Times New Roman" w:hAnsi="Times New Roman"/>
          <w:b/>
          <w:bCs/>
          <w:sz w:val="28"/>
          <w:szCs w:val="28"/>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51"/>
        <w:gridCol w:w="1875"/>
        <w:gridCol w:w="1875"/>
        <w:gridCol w:w="187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1.  Základné údaje</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Názov materiálu</w:t>
            </w:r>
          </w:p>
        </w:tc>
      </w:tr>
      <w:tr>
        <w:tblPrEx>
          <w:tblW w:w="5000" w:type="pct"/>
          <w:jc w:val="center"/>
          <w:tblCellMar>
            <w:left w:w="0" w:type="dxa"/>
            <w:right w:w="0" w:type="dxa"/>
          </w:tblCellMar>
          <w:tblLook w:val="04A0"/>
        </w:tblPrEx>
        <w:trPr>
          <w:trHeight w:val="3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1B5762">
            <w:pPr>
              <w:pStyle w:val="titulok"/>
              <w:bidi w:val="0"/>
              <w:jc w:val="left"/>
              <w:rPr>
                <w:rFonts w:ascii="Times New Roman" w:hAnsi="Times New Roman"/>
                <w:b w:val="0"/>
                <w:bCs w:val="0"/>
                <w:color w:val="auto"/>
                <w:sz w:val="20"/>
                <w:szCs w:val="20"/>
              </w:rPr>
            </w:pPr>
            <w:r w:rsidRPr="001B5762" w:rsidR="00500C3D">
              <w:rPr>
                <w:rFonts w:ascii="Times New Roman" w:hAnsi="Times New Roman"/>
                <w:b w:val="0"/>
                <w:bCs w:val="0"/>
                <w:color w:val="auto"/>
                <w:sz w:val="20"/>
                <w:szCs w:val="20"/>
              </w:rPr>
              <w:t xml:space="preserve">Návrh zákona, </w:t>
            </w:r>
            <w:r w:rsidRPr="001B5762" w:rsidR="00AC29E7">
              <w:rPr>
                <w:rFonts w:ascii="Times New Roman" w:hAnsi="Times New Roman" w:cs="Times New Roman"/>
                <w:b w:val="0"/>
                <w:color w:val="auto"/>
                <w:sz w:val="20"/>
                <w:szCs w:val="20"/>
              </w:rPr>
              <w:t xml:space="preserve">ktorým sa mení a dopĺňa zákon   </w:t>
            </w:r>
            <w:r w:rsidRPr="001B5762" w:rsidR="00AC29E7">
              <w:rPr>
                <w:rFonts w:ascii="Times New Roman" w:hAnsi="Times New Roman" w:cs="Times New Roman"/>
                <w:b w:val="0"/>
                <w:bCs w:val="0"/>
                <w:color w:val="auto"/>
                <w:sz w:val="20"/>
                <w:szCs w:val="20"/>
              </w:rPr>
              <w:t>č. 222/2004 Z. z. o dani z pridanej hodnoty v znení neskorších predpisov</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w:hAnsi="Times" w:cs="Times"/>
                <w:sz w:val="20"/>
                <w:szCs w:val="20"/>
                <w:lang w:val="sk-SK"/>
              </w:rPr>
            </w:pPr>
            <w:r w:rsidRPr="001B5762" w:rsidR="00500C3D">
              <w:rPr>
                <w:rFonts w:ascii="Times" w:hAnsi="Times" w:cs="Times"/>
                <w:sz w:val="20"/>
                <w:szCs w:val="20"/>
                <w:lang w:val="sk-SK"/>
              </w:rPr>
              <w:t>Poslanci</w:t>
            </w:r>
            <w:r w:rsidRPr="001B5762">
              <w:rPr>
                <w:rFonts w:ascii="Times" w:hAnsi="Times" w:cs="Times"/>
                <w:sz w:val="20"/>
                <w:szCs w:val="20"/>
                <w:lang w:val="sk-SK"/>
              </w:rPr>
              <w:t xml:space="preserve"> Národnej rady Slovenskej republiky</w:t>
            </w:r>
          </w:p>
        </w:tc>
      </w:tr>
      <w:tr>
        <w:tblPrEx>
          <w:tblW w:w="5000" w:type="pct"/>
          <w:jc w:val="center"/>
          <w:tblCellMar>
            <w:left w:w="0" w:type="dxa"/>
            <w:right w:w="0" w:type="dxa"/>
          </w:tblCellMar>
          <w:tblLook w:val="04A0"/>
        </w:tblPrEx>
        <w:trPr>
          <w:trHeight w:val="255"/>
          <w:jc w:val="center"/>
        </w:trPr>
        <w:tc>
          <w:tcPr>
            <w:tcW w:w="3000" w:type="pct"/>
            <w:gridSpan w:val="2"/>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B5762" w:rsidP="00692A58">
            <w:pPr>
              <w:bidi w:val="0"/>
              <w:jc w:val="center"/>
              <w:rPr>
                <w:rFonts w:ascii="Times" w:hAnsi="Times" w:cs="Times"/>
                <w:b/>
                <w:bCs/>
                <w:sz w:val="20"/>
                <w:szCs w:val="20"/>
                <w:lang w:val="sk-SK"/>
              </w:rPr>
            </w:pPr>
            <w:r w:rsidRPr="001B5762">
              <w:rPr>
                <w:rFonts w:ascii="Times" w:hAnsi="Times" w:cs="Times"/>
                <w:b/>
                <w:bCs/>
                <w:sz w:val="20"/>
                <w:szCs w:val="20"/>
                <w:lang w:val="sk-SK"/>
              </w:rPr>
              <w:t>Charakter predkladaného materiálu</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w:t>
            </w:r>
            <w:r w:rsidRPr="001B5762">
              <w:rPr>
                <w:rFonts w:ascii="Wingdings 2" w:hAnsi="Wingdings 2" w:cs="Times"/>
                <w:sz w:val="20"/>
                <w:szCs w:val="20"/>
                <w:lang w:val="sk-SK"/>
              </w:rPr>
              <w:t>*</w:t>
            </w:r>
            <w:r w:rsidRPr="001B5762">
              <w:rPr>
                <w:rFonts w:ascii="Times" w:hAnsi="Times" w:cs="Times"/>
                <w:sz w:val="20"/>
                <w:szCs w:val="20"/>
                <w:lang w:val="sk-SK"/>
              </w:rPr>
              <w:t>  Materiál nelegislatívnej povahy</w:t>
            </w:r>
          </w:p>
        </w:tc>
      </w:tr>
      <w:tr>
        <w:tblPrEx>
          <w:tblW w:w="5000" w:type="pct"/>
          <w:jc w:val="center"/>
          <w:tblCellMar>
            <w:left w:w="0" w:type="dxa"/>
            <w:right w:w="0" w:type="dxa"/>
          </w:tblCellMar>
          <w:tblLook w:val="04A0"/>
        </w:tblPrEx>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b/>
                <w:bCs/>
                <w:sz w:val="20"/>
                <w:szCs w:val="20"/>
                <w:lang w:val="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w:t>
            </w:r>
            <w:r w:rsidRPr="001B5762">
              <w:rPr>
                <w:rFonts w:ascii="Wingdings 2" w:hAnsi="Wingdings 2" w:cs="Times"/>
                <w:sz w:val="20"/>
                <w:szCs w:val="20"/>
                <w:lang w:val="sk-SK"/>
              </w:rPr>
              <w:t>S</w:t>
            </w:r>
            <w:r w:rsidRPr="001B5762">
              <w:rPr>
                <w:rFonts w:ascii="Times" w:hAnsi="Times" w:cs="Times"/>
                <w:sz w:val="20"/>
                <w:szCs w:val="20"/>
                <w:lang w:val="sk-SK"/>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b/>
                <w:bCs/>
                <w:sz w:val="20"/>
                <w:szCs w:val="20"/>
                <w:lang w:val="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w:t>
            </w:r>
            <w:r w:rsidRPr="001B5762">
              <w:rPr>
                <w:rFonts w:ascii="Wingdings 2" w:hAnsi="Wingdings 2" w:cs="Times"/>
                <w:sz w:val="20"/>
                <w:szCs w:val="20"/>
                <w:lang w:val="sk-SK"/>
              </w:rPr>
              <w:t>*</w:t>
            </w:r>
            <w:r w:rsidRPr="001B5762">
              <w:rPr>
                <w:rFonts w:ascii="Times" w:hAnsi="Times" w:cs="Times"/>
                <w:sz w:val="20"/>
                <w:szCs w:val="20"/>
                <w:lang w:val="sk-SK"/>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w:hAnsi="Times" w:cs="Times"/>
                <w:sz w:val="20"/>
                <w:szCs w:val="20"/>
                <w:lang w:val="sk-SK"/>
              </w:rPr>
            </w:pPr>
          </w:p>
        </w:tc>
      </w:tr>
      <w:tr>
        <w:tblPrEx>
          <w:tblW w:w="5000" w:type="pct"/>
          <w:jc w:val="center"/>
          <w:tblCellMar>
            <w:left w:w="0" w:type="dxa"/>
            <w:right w:w="0" w:type="dxa"/>
          </w:tblCellMar>
          <w:tblLook w:val="04A0"/>
        </w:tblPrEx>
        <w:trPr>
          <w:trHeight w:val="275"/>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Termín začiatku a ukončenia PPK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New Roman" w:hAnsi="Times New Roman"/>
                <w:sz w:val="20"/>
                <w:szCs w:val="20"/>
                <w:lang w:val="sk-SK"/>
              </w:rPr>
            </w:pPr>
            <w:r w:rsidRPr="001B5762">
              <w:rPr>
                <w:rFonts w:ascii="Times New Roman" w:hAnsi="Times New Roman"/>
                <w:bCs/>
                <w:sz w:val="20"/>
                <w:szCs w:val="20"/>
                <w:lang w:val="sk-SK"/>
              </w:rPr>
              <w:t>Materiál nebol predmetom PPK</w:t>
            </w:r>
          </w:p>
        </w:tc>
      </w:tr>
      <w:tr>
        <w:tblPrEx>
          <w:tblW w:w="5000" w:type="pct"/>
          <w:jc w:val="center"/>
          <w:tblCellMar>
            <w:left w:w="0" w:type="dxa"/>
            <w:right w:w="0" w:type="dxa"/>
          </w:tblCellMar>
          <w:tblLook w:val="04A0"/>
        </w:tblPrEx>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Predpokladaný termín predloženia na MPK*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New Roman" w:hAnsi="Times New Roman"/>
                <w:sz w:val="20"/>
                <w:szCs w:val="20"/>
                <w:lang w:val="sk-SK"/>
              </w:rPr>
            </w:pPr>
            <w:r w:rsidRPr="001B5762">
              <w:rPr>
                <w:rFonts w:ascii="Times New Roman" w:hAnsi="Times New Roman"/>
                <w:bCs/>
                <w:sz w:val="20"/>
                <w:szCs w:val="20"/>
                <w:lang w:val="sk-SK"/>
              </w:rPr>
              <w:t>Materiál nebol predmetom MPK</w:t>
            </w:r>
          </w:p>
        </w:tc>
      </w:tr>
      <w:tr>
        <w:tblPrEx>
          <w:tblW w:w="5000" w:type="pct"/>
          <w:jc w:val="center"/>
          <w:tblCellMar>
            <w:left w:w="0" w:type="dxa"/>
            <w:right w:w="0" w:type="dxa"/>
          </w:tblCellMar>
          <w:tblLook w:val="04A0"/>
        </w:tblPrEx>
        <w:trPr>
          <w:trHeight w:val="152"/>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Predpokladaný termín predloženia na Rokovanie vlády</w:t>
              <w:br/>
              <w:t>  SR*</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New Roman" w:hAnsi="Times New Roman"/>
                <w:sz w:val="20"/>
                <w:szCs w:val="20"/>
                <w:lang w:val="sk-SK"/>
              </w:rPr>
            </w:pPr>
            <w:r w:rsidRPr="001B5762">
              <w:rPr>
                <w:rFonts w:ascii="Times New Roman" w:hAnsi="Times New Roman"/>
                <w:sz w:val="20"/>
                <w:szCs w:val="20"/>
                <w:lang w:val="sk-SK"/>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2.  Definícia problému</w:t>
            </w:r>
          </w:p>
        </w:tc>
      </w:tr>
      <w:tr>
        <w:tblPrEx>
          <w:tblW w:w="5000" w:type="pct"/>
          <w:jc w:val="center"/>
          <w:tblCellMar>
            <w:left w:w="0" w:type="dxa"/>
            <w:right w:w="0" w:type="dxa"/>
          </w:tblCellMar>
          <w:tblLook w:val="04A0"/>
        </w:tblPrEx>
        <w:trPr>
          <w:trHeight w:val="55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C75753" w:rsidRPr="001B5762" w:rsidP="00AC29E7">
            <w:pPr>
              <w:autoSpaceDE w:val="0"/>
              <w:autoSpaceDN w:val="0"/>
              <w:bidi w:val="0"/>
              <w:spacing w:after="0" w:line="240" w:lineRule="auto"/>
              <w:jc w:val="both"/>
              <w:rPr>
                <w:rFonts w:ascii="Times" w:hAnsi="Times" w:cs="Times"/>
                <w:sz w:val="20"/>
                <w:szCs w:val="20"/>
                <w:lang w:val="sk-SK"/>
              </w:rPr>
            </w:pPr>
            <w:r w:rsidRPr="001B5762" w:rsidR="00AC29E7">
              <w:rPr>
                <w:rFonts w:ascii="Times New Roman" w:hAnsi="Times New Roman"/>
                <w:sz w:val="20"/>
                <w:szCs w:val="20"/>
                <w:lang w:val="sk-SK" w:eastAsia="sk-SK"/>
              </w:rPr>
              <w:t xml:space="preserve">Pri vzniku nadmerného odpočtu sa v mnohých prípadoch rozhodne daňový úrad vykonať kontrolu, pričom táto kontrola môže trvať aj jeden rok (§ 46 ods. 10 zákona č. 563/2009 Z. z.). Lehota na vrátenie nadmerného odpočtu je </w:t>
            </w:r>
            <w:r w:rsidRPr="001B5762" w:rsidR="00AC29E7">
              <w:rPr>
                <w:rFonts w:ascii="Times New Roman" w:hAnsi="Times New Roman"/>
                <w:sz w:val="20"/>
                <w:szCs w:val="20"/>
                <w:shd w:val="clear" w:color="auto" w:fill="FFFFFF"/>
                <w:lang w:val="sk-SK"/>
              </w:rPr>
              <w:t xml:space="preserve">desať dní od skončenia daňovej kontroly (§ 79 ods. 6 zák. č. 222/2004 Z. z.). </w:t>
            </w:r>
            <w:r w:rsidRPr="001B5762" w:rsidR="00AC29E7">
              <w:rPr>
                <w:rFonts w:ascii="Times New Roman" w:hAnsi="Times New Roman"/>
                <w:sz w:val="20"/>
                <w:szCs w:val="20"/>
                <w:lang w:val="sk-SK" w:eastAsia="sk-SK"/>
              </w:rPr>
              <w:t>Súčasná úprava pôsobí likvidačne na tých podnikateľov, ktorých podnikanie je založené na veľkých obratoch a malých maržiach, keďže títo  podnikatelia nemajú možnosť dostať sa k zdrojom nevyhnutým na ďalšie fungovanie chodu firmy.</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AC29E7" w:rsidRPr="001B5762" w:rsidP="00AC29E7">
            <w:pPr>
              <w:bidi w:val="0"/>
              <w:spacing w:after="0" w:line="240" w:lineRule="auto"/>
              <w:ind w:firstLine="708"/>
              <w:jc w:val="both"/>
              <w:rPr>
                <w:rFonts w:ascii="Times New Roman" w:hAnsi="Times New Roman"/>
                <w:sz w:val="20"/>
                <w:szCs w:val="20"/>
                <w:lang w:val="sk-SK" w:eastAsia="sk-SK"/>
              </w:rPr>
            </w:pPr>
            <w:r w:rsidRPr="001B5762">
              <w:rPr>
                <w:rFonts w:ascii="Times New Roman" w:hAnsi="Times New Roman"/>
                <w:sz w:val="20"/>
                <w:szCs w:val="20"/>
                <w:lang w:val="sk-SK" w:eastAsia="sk-SK"/>
              </w:rPr>
              <w:t>Návrh zákona predovšetkým:</w:t>
            </w:r>
          </w:p>
          <w:p w:rsidR="00AC29E7" w:rsidRPr="001B5762" w:rsidP="00AC29E7">
            <w:pPr>
              <w:widowControl/>
              <w:numPr>
                <w:numId w:val="4"/>
              </w:numPr>
              <w:bidi w:val="0"/>
              <w:adjustRightInd/>
              <w:spacing w:after="0" w:line="240" w:lineRule="auto"/>
              <w:jc w:val="both"/>
              <w:rPr>
                <w:rFonts w:ascii="Times New Roman" w:hAnsi="Times New Roman"/>
                <w:strike/>
                <w:sz w:val="20"/>
                <w:szCs w:val="20"/>
                <w:lang w:val="sk-SK" w:eastAsia="sk-SK"/>
              </w:rPr>
            </w:pPr>
            <w:r w:rsidRPr="001B5762">
              <w:rPr>
                <w:rFonts w:ascii="Times New Roman" w:hAnsi="Times New Roman"/>
                <w:sz w:val="20"/>
                <w:szCs w:val="20"/>
                <w:lang w:val="sk-SK" w:eastAsia="sk-SK"/>
              </w:rPr>
              <w:t>skracuje lehotu na vrátenie nadmerného odpočtu na štyri mesiace od začatia daňovej kontroly, pričom ak sa nepreukáže neoprávnenosť nároku na nadmerný odpočet, je daňový úrad povinný platiteľovi bezodkladne vrátiť nadmerný odpočet spolu s úrokom z nadmerného odpočtu,</w:t>
            </w:r>
          </w:p>
          <w:p w:rsidR="00AC29E7" w:rsidRPr="001B5762" w:rsidP="00AC29E7">
            <w:pPr>
              <w:widowControl/>
              <w:numPr>
                <w:numId w:val="4"/>
              </w:numPr>
              <w:bidi w:val="0"/>
              <w:adjustRightInd/>
              <w:spacing w:after="0" w:line="240" w:lineRule="auto"/>
              <w:rPr>
                <w:rFonts w:ascii="Times New Roman" w:hAnsi="Times New Roman"/>
                <w:sz w:val="20"/>
                <w:szCs w:val="20"/>
                <w:lang w:val="sk-SK" w:eastAsia="sk-SK"/>
              </w:rPr>
            </w:pPr>
            <w:r w:rsidRPr="001B5762">
              <w:rPr>
                <w:rFonts w:ascii="Times New Roman" w:hAnsi="Times New Roman"/>
                <w:sz w:val="20"/>
                <w:szCs w:val="20"/>
                <w:lang w:val="sk-SK" w:eastAsia="sk-SK"/>
              </w:rPr>
              <w:t>zavádza podmienku, že daňový úrad je oprávnený zadržiavať nadmerný odpočet najviac do výšky spornej sumy,</w:t>
            </w:r>
          </w:p>
          <w:p w:rsidR="00551D2C" w:rsidRPr="001B5762" w:rsidP="005146B4">
            <w:pPr>
              <w:widowControl/>
              <w:numPr>
                <w:numId w:val="4"/>
              </w:numPr>
              <w:bidi w:val="0"/>
              <w:adjustRightInd/>
              <w:spacing w:after="0" w:line="240" w:lineRule="auto"/>
              <w:rPr>
                <w:rFonts w:ascii="Times New Roman" w:hAnsi="Times New Roman"/>
                <w:sz w:val="20"/>
                <w:szCs w:val="20"/>
                <w:lang w:val="sk-SK"/>
              </w:rPr>
            </w:pPr>
            <w:r w:rsidRPr="001B5762" w:rsidR="00AC29E7">
              <w:rPr>
                <w:rFonts w:ascii="Times New Roman" w:hAnsi="Times New Roman"/>
                <w:sz w:val="20"/>
                <w:szCs w:val="20"/>
                <w:lang w:val="sk-SK" w:eastAsia="sk-SK"/>
              </w:rPr>
              <w:t xml:space="preserve">upravuje spôsob výpočtu úroku z nadmerného odpočtu obdobne ako  je upravený výpočet úrokov pri odklade platenia dane a povolenia splátok podľa § 57 ods. 5 zákona č. 563/2009 Z. z.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4.  Dotknuté subjekty</w:t>
            </w:r>
          </w:p>
        </w:tc>
      </w:tr>
      <w:tr>
        <w:tblPrEx>
          <w:tblW w:w="5000" w:type="pct"/>
          <w:jc w:val="center"/>
          <w:tblCellMar>
            <w:left w:w="0" w:type="dxa"/>
            <w:right w:w="0" w:type="dxa"/>
          </w:tblCellMar>
          <w:tblLook w:val="04A0"/>
        </w:tblPrEx>
        <w:trPr>
          <w:trHeight w:val="319"/>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B95C1E">
            <w:pPr>
              <w:bidi w:val="0"/>
              <w:rPr>
                <w:rFonts w:ascii="Times" w:hAnsi="Times" w:cs="Times"/>
                <w:sz w:val="20"/>
                <w:szCs w:val="20"/>
                <w:lang w:val="sk-SK"/>
              </w:rPr>
            </w:pPr>
            <w:r w:rsidRPr="001B5762" w:rsidR="00AC29E7">
              <w:rPr>
                <w:rFonts w:ascii="Times" w:hAnsi="Times" w:cs="Times"/>
                <w:sz w:val="20"/>
                <w:szCs w:val="20"/>
                <w:lang w:val="sk-SK"/>
              </w:rPr>
              <w:t>Daňové úrady, daňové subjekty</w:t>
            </w:r>
          </w:p>
        </w:tc>
      </w:tr>
      <w:tr>
        <w:tblPrEx>
          <w:tblW w:w="5000" w:type="pct"/>
          <w:jc w:val="center"/>
          <w:tblCellMar>
            <w:left w:w="0" w:type="dxa"/>
            <w:right w:w="0" w:type="dxa"/>
          </w:tblCellMar>
          <w:tblLook w:val="04A0"/>
        </w:tblPrEx>
        <w:trPr>
          <w:trHeight w:val="12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trHeight w:val="114"/>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6.  Vykonávacie predpisy</w:t>
            </w:r>
          </w:p>
        </w:tc>
      </w:tr>
      <w:tr>
        <w:tblPrEx>
          <w:tblW w:w="5000" w:type="pct"/>
          <w:jc w:val="center"/>
          <w:tblCellMar>
            <w:left w:w="0" w:type="dxa"/>
            <w:right w:w="0" w:type="dxa"/>
          </w:tblCellMar>
          <w:tblLook w:val="04A0"/>
        </w:tblPrEx>
        <w:trPr>
          <w:trHeight w:val="1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Predpokladá sa prijatie/zmena vykonávacích predpisov?                          </w:t>
            </w:r>
            <w:r w:rsidRPr="001B5762">
              <w:rPr>
                <w:rFonts w:ascii="Wingdings 2" w:hAnsi="Wingdings 2" w:cs="Times"/>
                <w:sz w:val="20"/>
                <w:szCs w:val="20"/>
                <w:lang w:val="sk-SK"/>
              </w:rPr>
              <w:t>*</w:t>
            </w:r>
            <w:r w:rsidRPr="001B5762">
              <w:rPr>
                <w:rFonts w:ascii="Times" w:hAnsi="Times" w:cs="Times"/>
                <w:sz w:val="20"/>
                <w:szCs w:val="20"/>
                <w:lang w:val="sk-SK"/>
              </w:rPr>
              <w:t xml:space="preserve">   Áno            </w:t>
            </w:r>
            <w:r w:rsidRPr="001B5762">
              <w:rPr>
                <w:rFonts w:ascii="Wingdings 2" w:hAnsi="Wingdings 2" w:cs="Times"/>
                <w:sz w:val="20"/>
                <w:szCs w:val="20"/>
                <w:lang w:val="sk-SK"/>
              </w:rPr>
              <w:t>S</w:t>
            </w:r>
            <w:r w:rsidRPr="001B5762">
              <w:rPr>
                <w:rFonts w:ascii="Times" w:hAnsi="Times" w:cs="Times"/>
                <w:sz w:val="20"/>
                <w:szCs w:val="20"/>
                <w:lang w:val="sk-SK"/>
              </w:rPr>
              <w:t>  Nie</w:t>
            </w:r>
          </w:p>
        </w:tc>
      </w:tr>
      <w:tr>
        <w:tblPrEx>
          <w:tblW w:w="5000" w:type="pct"/>
          <w:jc w:val="center"/>
          <w:tblCellMar>
            <w:left w:w="0" w:type="dxa"/>
            <w:right w:w="0" w:type="dxa"/>
          </w:tblCellMar>
          <w:tblLook w:val="04A0"/>
        </w:tblPrEx>
        <w:trPr>
          <w:trHeight w:val="172"/>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8.  Preskúmanie účelnosti**</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b/>
                <w:bCs/>
                <w:sz w:val="20"/>
                <w:szCs w:val="20"/>
                <w:lang w:val="sk-SK"/>
              </w:rPr>
              <w:t>  Vplyvy na rozpočet verejnej správy</w:t>
            </w:r>
            <w:r w:rsidRPr="001B5762">
              <w:rPr>
                <w:rFonts w:ascii="Times" w:hAnsi="Times" w:cs="Times"/>
                <w:sz w:val="20"/>
                <w:szCs w:val="20"/>
                <w:lang w:val="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F7753E">
            <w:pPr>
              <w:bidi w:val="0"/>
              <w:rPr>
                <w:rFonts w:ascii="Times" w:hAnsi="Times" w:cs="Times"/>
                <w:sz w:val="20"/>
                <w:szCs w:val="20"/>
                <w:lang w:val="sk-SK"/>
              </w:rPr>
            </w:pPr>
            <w:r w:rsidRPr="001B5762">
              <w:rPr>
                <w:rFonts w:ascii="Times" w:hAnsi="Times" w:cs="Times"/>
                <w:sz w:val="20"/>
                <w:szCs w:val="20"/>
                <w:lang w:val="sk-SK"/>
              </w:rPr>
              <w:t> </w:t>
            </w:r>
            <w:r w:rsidRPr="001B5762" w:rsidR="00F7753E">
              <w:rPr>
                <w:rFonts w:ascii="Times" w:hAnsi="Times" w:cs="Times"/>
                <w:sz w:val="20"/>
                <w:szCs w:val="20"/>
                <w:lang w:val="sk-SK"/>
              </w:rPr>
              <w:t xml:space="preserve"> </w:t>
            </w:r>
            <w:r w:rsidRPr="001B5762" w:rsidR="00F7753E">
              <w:rPr>
                <w:rFonts w:ascii="Wingdings 2" w:hAnsi="Wingdings 2" w:cs="Times"/>
                <w:sz w:val="20"/>
                <w:szCs w:val="20"/>
                <w:lang w:val="sk-SK"/>
              </w:rPr>
              <w:t>*</w:t>
            </w:r>
            <w:r w:rsidRPr="001B5762" w:rsidR="00F7753E">
              <w:rPr>
                <w:rFonts w:ascii="Times" w:hAnsi="Times" w:cs="Times"/>
                <w:sz w:val="20"/>
                <w:szCs w:val="20"/>
                <w:lang w:val="sk-SK"/>
              </w:rPr>
              <w:t xml:space="preserve">  </w:t>
            </w:r>
            <w:r w:rsidRPr="001B5762" w:rsidR="00AA471A">
              <w:rPr>
                <w:rFonts w:ascii="Times" w:hAnsi="Times" w:cs="Times"/>
                <w:sz w:val="20"/>
                <w:szCs w:val="20"/>
                <w:lang w:val="sk-SK"/>
              </w:rPr>
              <w:t xml:space="preserve"> </w:t>
            </w:r>
            <w:r w:rsidRPr="001B5762">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AA471A">
            <w:pPr>
              <w:bidi w:val="0"/>
              <w:rPr>
                <w:rFonts w:ascii="Times" w:hAnsi="Times" w:cs="Times"/>
                <w:sz w:val="20"/>
                <w:szCs w:val="20"/>
                <w:lang w:val="sk-SK"/>
              </w:rPr>
            </w:pPr>
            <w:r w:rsidRPr="001B5762">
              <w:rPr>
                <w:rFonts w:ascii="Times" w:hAnsi="Times" w:cs="Times"/>
                <w:sz w:val="20"/>
                <w:szCs w:val="20"/>
                <w:lang w:val="sk-SK"/>
              </w:rPr>
              <w:t> </w:t>
            </w:r>
            <w:r w:rsidRPr="001B5762" w:rsidR="00B95C1E">
              <w:rPr>
                <w:rFonts w:ascii="Times" w:hAnsi="Times" w:cs="Times"/>
                <w:sz w:val="20"/>
                <w:szCs w:val="20"/>
                <w:lang w:val="sk-SK"/>
              </w:rPr>
              <w:t xml:space="preserve"> </w:t>
            </w:r>
            <w:r w:rsidRPr="001B5762" w:rsidR="00B95C1E">
              <w:rPr>
                <w:rFonts w:ascii="Wingdings 2" w:hAnsi="Wingdings 2" w:cs="Times"/>
                <w:sz w:val="20"/>
                <w:szCs w:val="20"/>
                <w:lang w:val="sk-SK"/>
              </w:rPr>
              <w:t>S</w:t>
            </w:r>
            <w:r w:rsidRPr="001B5762" w:rsidR="00AA471A">
              <w:rPr>
                <w:rFonts w:ascii="Wingdings 2" w:hAnsi="Wingdings 2" w:cs="Times"/>
                <w:sz w:val="20"/>
                <w:szCs w:val="20"/>
                <w:lang w:val="sk-SK"/>
              </w:rPr>
              <w:t xml:space="preserve"> </w:t>
            </w:r>
            <w:r w:rsidRPr="001B5762">
              <w:rPr>
                <w:rFonts w:ascii="Times" w:hAnsi="Times" w:cs="Times"/>
                <w:sz w:val="20"/>
                <w:szCs w:val="20"/>
                <w:lang w:val="sk-SK"/>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w:t>
            </w:r>
            <w:r w:rsidRPr="001B5762" w:rsidR="00B95C1E">
              <w:rPr>
                <w:rFonts w:ascii="Times" w:hAnsi="Times" w:cs="Times"/>
                <w:sz w:val="20"/>
                <w:szCs w:val="20"/>
                <w:lang w:val="sk-SK"/>
              </w:rPr>
              <w:t xml:space="preserve"> </w:t>
            </w:r>
            <w:r w:rsidRPr="001B5762" w:rsidR="00B95C1E">
              <w:rPr>
                <w:rFonts w:ascii="Wingdings 2" w:hAnsi="Wingdings 2" w:cs="Times"/>
                <w:sz w:val="20"/>
                <w:szCs w:val="20"/>
                <w:lang w:val="sk-SK"/>
              </w:rPr>
              <w:t>*</w:t>
            </w:r>
            <w:r w:rsidRPr="001B5762">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xml:space="preserve">  </w:t>
            </w:r>
            <w:r w:rsidRPr="001B5762">
              <w:rPr>
                <w:rFonts w:ascii="Wingdings 2" w:hAnsi="Wingdings 2" w:cs="Times"/>
                <w:sz w:val="20"/>
                <w:szCs w:val="20"/>
                <w:lang w:val="sk-SK"/>
              </w:rPr>
              <w:t>*</w:t>
            </w:r>
            <w:r w:rsidRPr="001B5762">
              <w:rPr>
                <w:rFonts w:ascii="Times" w:hAnsi="Times" w:cs="Times"/>
                <w:sz w:val="20"/>
                <w:szCs w:val="20"/>
                <w:lang w:val="sk-SK"/>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w:t>
            </w:r>
            <w:r w:rsidRPr="001B5762" w:rsidR="00945F72">
              <w:rPr>
                <w:rFonts w:ascii="Times" w:hAnsi="Times" w:cs="Times"/>
                <w:sz w:val="20"/>
                <w:szCs w:val="20"/>
                <w:lang w:val="sk-SK"/>
              </w:rPr>
              <w:t xml:space="preserve"> </w:t>
            </w:r>
            <w:r w:rsidRPr="001B5762" w:rsidR="00945F72">
              <w:rPr>
                <w:rFonts w:ascii="Wingdings 2" w:hAnsi="Wingdings 2" w:cs="Times"/>
                <w:sz w:val="20"/>
                <w:szCs w:val="20"/>
                <w:lang w:val="sk-SK"/>
              </w:rPr>
              <w:t>S</w:t>
            </w:r>
            <w:r w:rsidRPr="001B5762">
              <w:rPr>
                <w:rFonts w:ascii="Times" w:hAnsi="Times" w:cs="Times"/>
                <w:sz w:val="20"/>
                <w:szCs w:val="20"/>
                <w:lang w:val="sk-SK"/>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sidR="00945F72">
              <w:rPr>
                <w:rFonts w:ascii="Times" w:hAnsi="Times" w:cs="Times"/>
                <w:sz w:val="20"/>
                <w:szCs w:val="20"/>
                <w:lang w:val="sk-SK"/>
              </w:rPr>
              <w:t xml:space="preserve"> </w:t>
            </w:r>
            <w:r w:rsidRPr="001B5762">
              <w:rPr>
                <w:rFonts w:ascii="Times" w:hAnsi="Times" w:cs="Times"/>
                <w:sz w:val="20"/>
                <w:szCs w:val="20"/>
                <w:lang w:val="sk-SK"/>
              </w:rPr>
              <w:t> </w:t>
            </w:r>
            <w:r w:rsidRPr="001B5762" w:rsidR="00945F72">
              <w:rPr>
                <w:rFonts w:ascii="Wingdings 2" w:hAnsi="Wingdings 2" w:cs="Times"/>
                <w:sz w:val="20"/>
                <w:szCs w:val="20"/>
                <w:lang w:val="sk-SK"/>
              </w:rPr>
              <w:t>*</w:t>
            </w:r>
            <w:r w:rsidRPr="001B5762">
              <w:rPr>
                <w:rFonts w:ascii="Times" w:hAnsi="Times" w:cs="Times"/>
                <w:sz w:val="20"/>
                <w:szCs w:val="20"/>
                <w:lang w:val="sk-SK"/>
              </w:rPr>
              <w:t>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b/>
                <w:bCs/>
                <w:sz w:val="20"/>
                <w:szCs w:val="20"/>
                <w:lang w:val="sk-SK"/>
              </w:rPr>
              <w:t>  Vplyvy na podnikateľské prostredie</w:t>
            </w:r>
            <w:r w:rsidRPr="001B5762">
              <w:rPr>
                <w:rFonts w:ascii="Times" w:hAnsi="Times" w:cs="Times"/>
                <w:sz w:val="20"/>
                <w:szCs w:val="20"/>
                <w:lang w:val="sk-SK"/>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5146B4">
            <w:pPr>
              <w:bidi w:val="0"/>
              <w:rPr>
                <w:rFonts w:ascii="Times" w:hAnsi="Times" w:cs="Times"/>
                <w:sz w:val="20"/>
                <w:szCs w:val="20"/>
                <w:lang w:val="sk-SK"/>
              </w:rPr>
            </w:pPr>
            <w:r w:rsidRPr="001B5762">
              <w:rPr>
                <w:rFonts w:ascii="Times" w:hAnsi="Times" w:cs="Times"/>
                <w:sz w:val="20"/>
                <w:szCs w:val="20"/>
                <w:lang w:val="sk-SK"/>
              </w:rPr>
              <w:t>  </w:t>
            </w:r>
            <w:r w:rsidRPr="001B5762" w:rsidR="005146B4">
              <w:rPr>
                <w:rFonts w:ascii="Wingdings 2" w:hAnsi="Wingdings 2" w:cs="Times"/>
                <w:sz w:val="20"/>
                <w:szCs w:val="20"/>
                <w:lang w:val="sk-SK"/>
              </w:rPr>
              <w:t>S</w:t>
            </w:r>
            <w:r w:rsidRPr="001B5762">
              <w:rPr>
                <w:rFonts w:ascii="Times" w:hAnsi="Times" w:cs="Times"/>
                <w:sz w:val="20"/>
                <w:szCs w:val="20"/>
                <w:lang w:val="sk-SK"/>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5146B4">
            <w:pPr>
              <w:bidi w:val="0"/>
              <w:rPr>
                <w:rFonts w:ascii="Times" w:hAnsi="Times" w:cs="Times"/>
                <w:sz w:val="20"/>
                <w:szCs w:val="20"/>
                <w:lang w:val="sk-SK"/>
              </w:rPr>
            </w:pPr>
            <w:r w:rsidRPr="001B5762" w:rsidR="00E079F7">
              <w:rPr>
                <w:rFonts w:ascii="Times" w:hAnsi="Times" w:cs="Times"/>
                <w:sz w:val="20"/>
                <w:szCs w:val="20"/>
                <w:lang w:val="sk-SK"/>
              </w:rPr>
              <w:t xml:space="preserve"> </w:t>
            </w:r>
            <w:r w:rsidRPr="001B5762">
              <w:rPr>
                <w:rFonts w:ascii="Times" w:hAnsi="Times" w:cs="Times"/>
                <w:sz w:val="20"/>
                <w:szCs w:val="20"/>
                <w:lang w:val="sk-SK"/>
              </w:rPr>
              <w:t xml:space="preserve">  </w:t>
            </w:r>
            <w:r w:rsidRPr="001B5762" w:rsidR="005146B4">
              <w:rPr>
                <w:rFonts w:ascii="Wingdings 2" w:hAnsi="Wingdings 2" w:cs="Times"/>
                <w:sz w:val="20"/>
                <w:szCs w:val="20"/>
                <w:lang w:val="sk-SK"/>
              </w:rPr>
              <w:t>*</w:t>
            </w:r>
            <w:r w:rsidRPr="001B5762">
              <w:rPr>
                <w:rFonts w:ascii="Times" w:hAnsi="Times" w:cs="Times"/>
                <w:sz w:val="20"/>
                <w:szCs w:val="20"/>
                <w:lang w:val="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w:t>
            </w:r>
            <w:r w:rsidRPr="001B5762" w:rsidR="00B95C1E">
              <w:rPr>
                <w:rFonts w:ascii="Times" w:hAnsi="Times" w:cs="Times"/>
                <w:sz w:val="20"/>
                <w:szCs w:val="20"/>
                <w:lang w:val="sk-SK"/>
              </w:rPr>
              <w:t xml:space="preserve"> </w:t>
            </w:r>
            <w:r w:rsidRPr="001B5762" w:rsidR="00B95C1E">
              <w:rPr>
                <w:rFonts w:ascii="Wingdings 2" w:hAnsi="Wingdings 2" w:cs="Times"/>
                <w:sz w:val="20"/>
                <w:szCs w:val="20"/>
                <w:lang w:val="sk-SK"/>
              </w:rPr>
              <w:t>*</w:t>
            </w:r>
            <w:r w:rsidRPr="001B5762">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5146B4">
            <w:pPr>
              <w:bidi w:val="0"/>
              <w:rPr>
                <w:rFonts w:ascii="Times" w:hAnsi="Times" w:cs="Times"/>
                <w:sz w:val="20"/>
                <w:szCs w:val="20"/>
                <w:lang w:val="sk-SK"/>
              </w:rPr>
            </w:pPr>
            <w:r w:rsidRPr="001B5762">
              <w:rPr>
                <w:rFonts w:ascii="Times" w:hAnsi="Times" w:cs="Times"/>
                <w:sz w:val="20"/>
                <w:szCs w:val="20"/>
                <w:lang w:val="sk-SK"/>
              </w:rPr>
              <w:t>  </w:t>
            </w:r>
            <w:r w:rsidRPr="001B5762" w:rsidR="005146B4">
              <w:rPr>
                <w:rFonts w:ascii="Wingdings 2" w:hAnsi="Wingdings 2" w:cs="Times"/>
                <w:sz w:val="20"/>
                <w:szCs w:val="20"/>
                <w:lang w:val="sk-SK"/>
              </w:rPr>
              <w:t>S</w:t>
            </w:r>
            <w:r w:rsidRPr="001B5762">
              <w:rPr>
                <w:rFonts w:ascii="Times" w:hAnsi="Times" w:cs="Times"/>
                <w:sz w:val="20"/>
                <w:szCs w:val="20"/>
                <w:lang w:val="sk-SK"/>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5146B4">
            <w:pPr>
              <w:bidi w:val="0"/>
              <w:rPr>
                <w:rFonts w:ascii="Times" w:hAnsi="Times" w:cs="Times"/>
                <w:sz w:val="20"/>
                <w:szCs w:val="20"/>
                <w:lang w:val="sk-SK"/>
              </w:rPr>
            </w:pPr>
            <w:r w:rsidRPr="001B5762">
              <w:rPr>
                <w:rFonts w:ascii="Times" w:hAnsi="Times" w:cs="Times"/>
                <w:sz w:val="20"/>
                <w:szCs w:val="20"/>
                <w:lang w:val="sk-SK"/>
              </w:rPr>
              <w:t>   </w:t>
            </w:r>
            <w:r w:rsidRPr="001B5762" w:rsidR="005146B4">
              <w:rPr>
                <w:rFonts w:ascii="Wingdings 2" w:hAnsi="Wingdings 2" w:cs="Times"/>
                <w:sz w:val="20"/>
                <w:szCs w:val="20"/>
                <w:lang w:val="sk-SK"/>
              </w:rPr>
              <w:t>*</w:t>
            </w:r>
            <w:r w:rsidRPr="001B5762">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w:t>
            </w:r>
            <w:r w:rsidRPr="001B5762" w:rsidR="00B95C1E">
              <w:rPr>
                <w:rFonts w:ascii="Times" w:hAnsi="Times" w:cs="Times"/>
                <w:sz w:val="20"/>
                <w:szCs w:val="20"/>
                <w:lang w:val="sk-SK"/>
              </w:rPr>
              <w:t xml:space="preserve"> </w:t>
            </w:r>
            <w:r w:rsidRPr="001B5762" w:rsidR="00B95C1E">
              <w:rPr>
                <w:rFonts w:ascii="Wingdings 2" w:hAnsi="Wingdings 2" w:cs="Times"/>
                <w:sz w:val="20"/>
                <w:szCs w:val="20"/>
                <w:lang w:val="sk-SK"/>
              </w:rPr>
              <w:t>*</w:t>
            </w:r>
            <w:r w:rsidRPr="001B5762">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b/>
                <w:bCs/>
                <w:sz w:val="20"/>
                <w:szCs w:val="20"/>
                <w:lang w:val="sk-SK"/>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xml:space="preserve">  </w:t>
            </w:r>
            <w:r w:rsidRPr="001B5762">
              <w:rPr>
                <w:rFonts w:ascii="Wingdings 2" w:hAnsi="Wingdings 2" w:cs="Times"/>
                <w:sz w:val="20"/>
                <w:szCs w:val="20"/>
                <w:lang w:val="sk-SK"/>
              </w:rPr>
              <w:t>*</w:t>
            </w:r>
            <w:r w:rsidRPr="001B5762">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w:t>
            </w:r>
            <w:r w:rsidRPr="001B5762" w:rsidR="00B95C1E">
              <w:rPr>
                <w:rFonts w:ascii="Times" w:hAnsi="Times" w:cs="Times"/>
                <w:sz w:val="20"/>
                <w:szCs w:val="20"/>
                <w:lang w:val="sk-SK"/>
              </w:rPr>
              <w:t xml:space="preserve"> </w:t>
            </w:r>
            <w:r w:rsidRPr="001B5762" w:rsidR="00B95C1E">
              <w:rPr>
                <w:rFonts w:ascii="Wingdings 2" w:hAnsi="Wingdings 2" w:cs="Times"/>
                <w:sz w:val="20"/>
                <w:szCs w:val="20"/>
                <w:lang w:val="sk-SK"/>
              </w:rPr>
              <w:t>S</w:t>
            </w:r>
            <w:r w:rsidRPr="001B5762">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w:t>
            </w:r>
            <w:r w:rsidRPr="001B5762" w:rsidR="00B95C1E">
              <w:rPr>
                <w:rFonts w:ascii="Times" w:hAnsi="Times" w:cs="Times"/>
                <w:sz w:val="20"/>
                <w:szCs w:val="20"/>
                <w:lang w:val="sk-SK"/>
              </w:rPr>
              <w:t xml:space="preserve"> </w:t>
            </w:r>
            <w:r w:rsidRPr="001B5762" w:rsidR="00B95C1E">
              <w:rPr>
                <w:rFonts w:ascii="Wingdings 2" w:hAnsi="Wingdings 2" w:cs="Times"/>
                <w:sz w:val="20"/>
                <w:szCs w:val="20"/>
                <w:lang w:val="sk-SK"/>
              </w:rPr>
              <w:t>*</w:t>
            </w:r>
            <w:r w:rsidRPr="001B5762">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b/>
                <w:bCs/>
                <w:sz w:val="20"/>
                <w:szCs w:val="20"/>
                <w:lang w:val="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258CB">
            <w:pPr>
              <w:bidi w:val="0"/>
              <w:rPr>
                <w:rFonts w:ascii="Times" w:hAnsi="Times" w:cs="Times"/>
                <w:sz w:val="20"/>
                <w:szCs w:val="20"/>
                <w:lang w:val="sk-SK"/>
              </w:rPr>
            </w:pPr>
            <w:r w:rsidRPr="001B5762">
              <w:rPr>
                <w:rFonts w:ascii="Times" w:hAnsi="Times" w:cs="Times"/>
                <w:sz w:val="20"/>
                <w:szCs w:val="20"/>
                <w:lang w:val="sk-SK"/>
              </w:rPr>
              <w:t> </w:t>
            </w:r>
            <w:r w:rsidRPr="001B5762" w:rsidR="006258CB">
              <w:rPr>
                <w:rFonts w:ascii="Times" w:hAnsi="Times" w:cs="Times"/>
                <w:sz w:val="20"/>
                <w:szCs w:val="20"/>
                <w:lang w:val="sk-SK"/>
              </w:rPr>
              <w:t xml:space="preserve"> </w:t>
            </w:r>
            <w:r w:rsidRPr="001B5762" w:rsidR="006258CB">
              <w:rPr>
                <w:rFonts w:ascii="Wingdings 2" w:hAnsi="Wingdings 2" w:cs="Times"/>
                <w:sz w:val="20"/>
                <w:szCs w:val="20"/>
                <w:lang w:val="sk-SK"/>
              </w:rPr>
              <w:t>*</w:t>
            </w:r>
            <w:r w:rsidRPr="001B5762" w:rsidR="006258CB">
              <w:rPr>
                <w:rFonts w:ascii="Times" w:hAnsi="Times" w:cs="Times"/>
                <w:sz w:val="20"/>
                <w:szCs w:val="20"/>
                <w:lang w:val="sk-SK"/>
              </w:rPr>
              <w:t xml:space="preserve">    </w:t>
            </w:r>
            <w:r w:rsidRPr="001B5762">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0153CB">
            <w:pPr>
              <w:bidi w:val="0"/>
              <w:rPr>
                <w:rFonts w:ascii="Times" w:hAnsi="Times" w:cs="Times"/>
                <w:sz w:val="20"/>
                <w:szCs w:val="20"/>
                <w:lang w:val="sk-SK"/>
              </w:rPr>
            </w:pPr>
            <w:r w:rsidRPr="001B5762">
              <w:rPr>
                <w:rFonts w:ascii="Times" w:hAnsi="Times" w:cs="Times"/>
                <w:sz w:val="20"/>
                <w:szCs w:val="20"/>
                <w:lang w:val="sk-SK"/>
              </w:rPr>
              <w:t> </w:t>
            </w:r>
            <w:r w:rsidRPr="001B5762" w:rsidR="00B95C1E">
              <w:rPr>
                <w:rFonts w:ascii="Times" w:hAnsi="Times" w:cs="Times"/>
                <w:sz w:val="20"/>
                <w:szCs w:val="20"/>
                <w:lang w:val="sk-SK"/>
              </w:rPr>
              <w:t xml:space="preserve"> </w:t>
            </w:r>
            <w:r w:rsidRPr="001B5762" w:rsidR="00B95C1E">
              <w:rPr>
                <w:rFonts w:ascii="Wingdings 2" w:hAnsi="Wingdings 2" w:cs="Times"/>
                <w:sz w:val="20"/>
                <w:szCs w:val="20"/>
                <w:lang w:val="sk-SK"/>
              </w:rPr>
              <w:t>S</w:t>
            </w:r>
            <w:r w:rsidRPr="001B5762">
              <w:rPr>
                <w:rFonts w:ascii="Times" w:hAnsi="Times" w:cs="Times"/>
                <w:sz w:val="20"/>
                <w:szCs w:val="20"/>
                <w:lang w:val="sk-SK"/>
              </w:rPr>
              <w:t xml:space="preserve">  </w:t>
            </w:r>
            <w:r w:rsidRPr="001B5762" w:rsidR="00AA471A">
              <w:rPr>
                <w:rFonts w:ascii="Times" w:hAnsi="Times" w:cs="Times"/>
                <w:sz w:val="20"/>
                <w:szCs w:val="20"/>
                <w:lang w:val="sk-SK"/>
              </w:rPr>
              <w:t xml:space="preserve">  </w:t>
            </w:r>
            <w:r w:rsidRPr="001B5762">
              <w:rPr>
                <w:rFonts w:ascii="Times" w:hAnsi="Times" w:cs="Times"/>
                <w:sz w:val="20"/>
                <w:szCs w:val="20"/>
                <w:lang w:val="sk-SK"/>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sidR="00E079F7">
              <w:rPr>
                <w:rFonts w:ascii="Times" w:hAnsi="Times" w:cs="Times"/>
                <w:sz w:val="20"/>
                <w:szCs w:val="20"/>
                <w:lang w:val="sk-SK"/>
              </w:rPr>
              <w:t xml:space="preserve"> </w:t>
            </w:r>
            <w:r w:rsidRPr="001B5762">
              <w:rPr>
                <w:rFonts w:ascii="Times" w:hAnsi="Times" w:cs="Times"/>
                <w:sz w:val="20"/>
                <w:szCs w:val="20"/>
                <w:lang w:val="sk-SK"/>
              </w:rPr>
              <w:t> </w:t>
            </w:r>
            <w:r w:rsidRPr="001B5762" w:rsidR="00B95C1E">
              <w:rPr>
                <w:rFonts w:ascii="Wingdings 2" w:hAnsi="Wingdings 2" w:cs="Times"/>
                <w:sz w:val="20"/>
                <w:szCs w:val="20"/>
                <w:lang w:val="sk-SK"/>
              </w:rPr>
              <w:t>*</w:t>
            </w:r>
            <w:r w:rsidRPr="001B5762">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b/>
                <w:bCs/>
                <w:sz w:val="20"/>
                <w:szCs w:val="20"/>
                <w:lang w:val="sk-SK"/>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xml:space="preserve">  </w:t>
            </w:r>
            <w:r w:rsidRPr="001B5762">
              <w:rPr>
                <w:rFonts w:ascii="Wingdings 2" w:hAnsi="Wingdings 2" w:cs="Times"/>
                <w:sz w:val="20"/>
                <w:szCs w:val="20"/>
                <w:lang w:val="sk-SK"/>
              </w:rPr>
              <w:t>*</w:t>
            </w:r>
            <w:r w:rsidRPr="001B5762">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xml:space="preserve">  </w:t>
            </w:r>
            <w:r w:rsidRPr="001B5762">
              <w:rPr>
                <w:rFonts w:ascii="Wingdings 2" w:hAnsi="Wingdings 2" w:cs="Times"/>
                <w:sz w:val="20"/>
                <w:szCs w:val="20"/>
                <w:lang w:val="sk-SK"/>
              </w:rPr>
              <w:t>S</w:t>
            </w:r>
            <w:r w:rsidRPr="001B5762">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xml:space="preserve">  </w:t>
            </w:r>
            <w:r w:rsidRPr="001B5762">
              <w:rPr>
                <w:rFonts w:ascii="Wingdings 2" w:hAnsi="Wingdings 2" w:cs="Times"/>
                <w:sz w:val="20"/>
                <w:szCs w:val="20"/>
                <w:lang w:val="sk-SK"/>
              </w:rPr>
              <w:t>*</w:t>
            </w:r>
            <w:r w:rsidRPr="001B5762">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b/>
                <w:bCs/>
                <w:sz w:val="20"/>
                <w:szCs w:val="20"/>
                <w:lang w:val="sk-SK"/>
              </w:rPr>
              <w:t>  Vplyvy na služby pre občana z toho</w:t>
            </w:r>
            <w:r w:rsidRPr="001B5762">
              <w:rPr>
                <w:rFonts w:ascii="Times" w:hAnsi="Times" w:cs="Times"/>
                <w:sz w:val="20"/>
                <w:szCs w:val="20"/>
                <w:lang w:val="sk-SK"/>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5146B4">
            <w:pPr>
              <w:bidi w:val="0"/>
              <w:rPr>
                <w:rFonts w:ascii="Times" w:hAnsi="Times" w:cs="Times"/>
                <w:sz w:val="20"/>
                <w:szCs w:val="20"/>
                <w:lang w:val="sk-SK"/>
              </w:rPr>
            </w:pPr>
            <w:r w:rsidRPr="001B5762">
              <w:rPr>
                <w:rFonts w:ascii="Times" w:hAnsi="Times" w:cs="Times"/>
                <w:sz w:val="20"/>
                <w:szCs w:val="20"/>
                <w:lang w:val="sk-SK"/>
              </w:rPr>
              <w:br/>
              <w:t>  </w:t>
            </w:r>
            <w:r w:rsidRPr="001B5762" w:rsidR="005146B4">
              <w:rPr>
                <w:rFonts w:ascii="Wingdings 2" w:hAnsi="Wingdings 2" w:cs="Times"/>
                <w:sz w:val="20"/>
                <w:szCs w:val="20"/>
                <w:lang w:val="sk-SK"/>
              </w:rPr>
              <w:t>*</w:t>
            </w:r>
            <w:r w:rsidRPr="001B5762">
              <w:rPr>
                <w:rFonts w:ascii="Times" w:hAnsi="Times" w:cs="Times"/>
                <w:sz w:val="20"/>
                <w:szCs w:val="20"/>
                <w:lang w:val="sk-SK"/>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AA471A">
            <w:pPr>
              <w:bidi w:val="0"/>
              <w:rPr>
                <w:rFonts w:ascii="Times" w:hAnsi="Times" w:cs="Times"/>
                <w:sz w:val="20"/>
                <w:szCs w:val="20"/>
                <w:lang w:val="sk-SK"/>
              </w:rPr>
            </w:pPr>
            <w:r w:rsidRPr="001B5762">
              <w:rPr>
                <w:rFonts w:ascii="Times" w:hAnsi="Times" w:cs="Times"/>
                <w:sz w:val="20"/>
                <w:szCs w:val="20"/>
                <w:lang w:val="sk-SK"/>
              </w:rPr>
              <w:br/>
              <w:t> </w:t>
            </w:r>
            <w:r w:rsidRPr="001B5762" w:rsidR="00AA471A">
              <w:rPr>
                <w:rFonts w:ascii="Times" w:hAnsi="Times" w:cs="Times"/>
                <w:sz w:val="20"/>
                <w:szCs w:val="20"/>
                <w:lang w:val="sk-SK"/>
              </w:rPr>
              <w:t xml:space="preserve"> </w:t>
            </w:r>
            <w:r w:rsidRPr="001B5762" w:rsidR="00AC6C00">
              <w:rPr>
                <w:rFonts w:ascii="Wingdings 2" w:hAnsi="Wingdings 2" w:cs="Times"/>
                <w:sz w:val="20"/>
                <w:szCs w:val="20"/>
                <w:lang w:val="sk-SK"/>
              </w:rPr>
              <w:t>S</w:t>
            </w:r>
            <w:r w:rsidRPr="001B5762">
              <w:rPr>
                <w:rFonts w:ascii="Times" w:hAnsi="Times" w:cs="Times"/>
                <w:sz w:val="20"/>
                <w:szCs w:val="20"/>
                <w:lang w:val="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br/>
              <w:t xml:space="preserve">  </w:t>
            </w:r>
            <w:r w:rsidRPr="001B5762">
              <w:rPr>
                <w:rFonts w:ascii="Wingdings 2" w:hAnsi="Wingdings 2" w:cs="Times"/>
                <w:sz w:val="20"/>
                <w:szCs w:val="20"/>
                <w:lang w:val="sk-SK"/>
              </w:rPr>
              <w:t>*</w:t>
            </w:r>
            <w:r w:rsidRPr="001B5762">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5146B4">
            <w:pPr>
              <w:bidi w:val="0"/>
              <w:rPr>
                <w:rFonts w:ascii="Times" w:hAnsi="Times" w:cs="Times"/>
                <w:sz w:val="20"/>
                <w:szCs w:val="20"/>
                <w:lang w:val="sk-SK"/>
              </w:rPr>
            </w:pPr>
            <w:r w:rsidRPr="001B5762">
              <w:rPr>
                <w:rFonts w:ascii="Times" w:hAnsi="Times" w:cs="Times"/>
                <w:sz w:val="20"/>
                <w:szCs w:val="20"/>
                <w:lang w:val="sk-SK"/>
              </w:rPr>
              <w:t>  </w:t>
            </w:r>
            <w:r w:rsidRPr="001B5762" w:rsidR="005146B4">
              <w:rPr>
                <w:rFonts w:ascii="Wingdings 2" w:hAnsi="Wingdings 2" w:cs="Times"/>
                <w:sz w:val="20"/>
                <w:szCs w:val="20"/>
                <w:lang w:val="sk-SK"/>
              </w:rPr>
              <w:t>*</w:t>
            </w:r>
            <w:r w:rsidRPr="001B5762">
              <w:rPr>
                <w:rFonts w:ascii="Times" w:hAnsi="Times" w:cs="Times"/>
                <w:sz w:val="20"/>
                <w:szCs w:val="20"/>
                <w:lang w:val="sk-SK"/>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xml:space="preserve">  </w:t>
            </w:r>
            <w:r w:rsidRPr="001B5762">
              <w:rPr>
                <w:rFonts w:ascii="Wingdings 2" w:hAnsi="Wingdings 2" w:cs="Times"/>
                <w:sz w:val="20"/>
                <w:szCs w:val="20"/>
                <w:lang w:val="sk-SK"/>
              </w:rPr>
              <w:t>S</w:t>
            </w:r>
            <w:r w:rsidRPr="001B5762">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B5762" w:rsidP="00692A58">
            <w:pPr>
              <w:bidi w:val="0"/>
              <w:rPr>
                <w:rFonts w:ascii="Times" w:hAnsi="Times" w:cs="Times"/>
                <w:sz w:val="20"/>
                <w:szCs w:val="20"/>
                <w:lang w:val="sk-SK"/>
              </w:rPr>
            </w:pPr>
            <w:r w:rsidRPr="001B5762">
              <w:rPr>
                <w:rFonts w:ascii="Times" w:hAnsi="Times" w:cs="Times"/>
                <w:sz w:val="20"/>
                <w:szCs w:val="20"/>
                <w:lang w:val="sk-SK"/>
              </w:rPr>
              <w:t xml:space="preserve">  </w:t>
            </w:r>
            <w:r w:rsidRPr="001B5762">
              <w:rPr>
                <w:rFonts w:ascii="Wingdings 2" w:hAnsi="Wingdings 2" w:cs="Times"/>
                <w:sz w:val="20"/>
                <w:szCs w:val="20"/>
                <w:lang w:val="sk-SK"/>
              </w:rPr>
              <w:t>*</w:t>
            </w:r>
            <w:r w:rsidRPr="001B5762">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sidR="00B2032E">
              <w:rPr>
                <w:rFonts w:ascii="Times" w:hAnsi="Times" w:cs="Times"/>
                <w:b/>
                <w:bCs/>
                <w:sz w:val="20"/>
                <w:szCs w:val="20"/>
                <w:lang w:val="sk-SK"/>
              </w:rPr>
              <w:t xml:space="preserve"> </w:t>
            </w:r>
            <w:r w:rsidRPr="001B5762">
              <w:rPr>
                <w:rFonts w:ascii="Times" w:hAnsi="Times" w:cs="Times"/>
                <w:b/>
                <w:bCs/>
                <w:sz w:val="20"/>
                <w:szCs w:val="20"/>
                <w:lang w:val="sk-SK"/>
              </w:rPr>
              <w:t xml:space="preserve">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B95C1E">
            <w:pPr>
              <w:autoSpaceDE w:val="0"/>
              <w:autoSpaceDN w:val="0"/>
              <w:bidi w:val="0"/>
              <w:spacing w:after="0" w:line="240" w:lineRule="auto"/>
              <w:jc w:val="both"/>
              <w:rPr>
                <w:rFonts w:ascii="Times New Roman" w:hAnsi="Times New Roman"/>
                <w:bCs/>
                <w:sz w:val="20"/>
                <w:szCs w:val="20"/>
                <w:lang w:val="sk-SK" w:eastAsia="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B95C1E">
            <w:pPr>
              <w:bidi w:val="0"/>
              <w:rPr>
                <w:rFonts w:ascii="Times" w:hAnsi="Times" w:cs="Times"/>
                <w:sz w:val="20"/>
                <w:szCs w:val="20"/>
                <w:lang w:val="sk-SK"/>
              </w:rPr>
            </w:pPr>
            <w:r w:rsidRPr="001B5762" w:rsidR="00AC29E7">
              <w:rPr>
                <w:rFonts w:ascii="Times" w:hAnsi="Times" w:cs="Times"/>
                <w:sz w:val="20"/>
                <w:szCs w:val="20"/>
                <w:lang w:val="sk-SK"/>
              </w:rPr>
              <w:t>jana_kissova</w:t>
            </w:r>
            <w:r w:rsidRPr="001B5762" w:rsidR="00E079F7">
              <w:rPr>
                <w:rFonts w:ascii="Times" w:hAnsi="Times" w:cs="Times"/>
                <w:sz w:val="20"/>
                <w:szCs w:val="20"/>
                <w:lang w:val="sk-SK"/>
              </w:rPr>
              <w:t>@</w:t>
            </w:r>
            <w:r w:rsidRPr="001B5762" w:rsidR="00B95C1E">
              <w:rPr>
                <w:rFonts w:ascii="Times" w:hAnsi="Times" w:cs="Times"/>
                <w:sz w:val="20"/>
                <w:szCs w:val="20"/>
                <w:lang w:val="sk-SK"/>
              </w:rPr>
              <w:t>nrsr.sk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B5762" w:rsidP="00692A58">
            <w:pPr>
              <w:bidi w:val="0"/>
              <w:rPr>
                <w:rFonts w:ascii="Times" w:hAnsi="Times" w:cs="Times"/>
                <w:b/>
                <w:bCs/>
                <w:sz w:val="20"/>
                <w:szCs w:val="20"/>
                <w:lang w:val="sk-SK"/>
              </w:rPr>
            </w:pPr>
            <w:r w:rsidRPr="001B5762">
              <w:rPr>
                <w:rFonts w:ascii="Times" w:hAnsi="Times" w:cs="Times"/>
                <w:b/>
                <w:bCs/>
                <w:sz w:val="20"/>
                <w:szCs w:val="20"/>
                <w:lang w:val="sk-SK"/>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B5762" w:rsidP="00692A58">
            <w:pPr>
              <w:bidi w:val="0"/>
              <w:rPr>
                <w:rFonts w:ascii="Times" w:hAnsi="Times" w:cs="Times"/>
                <w:bCs/>
                <w:sz w:val="20"/>
                <w:szCs w:val="20"/>
                <w:lang w:val="sk-SK"/>
              </w:rPr>
            </w:pPr>
            <w:r w:rsidRPr="001B5762">
              <w:rPr>
                <w:rFonts w:ascii="Times" w:hAnsi="Times" w:cs="Times"/>
                <w:bCs/>
                <w:sz w:val="20"/>
                <w:szCs w:val="20"/>
                <w:lang w:val="sk-SK"/>
              </w:rPr>
              <w:t>Materiál nebol predmetom PPK</w:t>
            </w:r>
          </w:p>
        </w:tc>
      </w:tr>
    </w:tbl>
    <w:p w:rsidR="00551D2C" w:rsidRPr="001B5762" w:rsidP="0047737C">
      <w:pPr>
        <w:bidi w:val="0"/>
        <w:spacing w:after="0" w:line="240" w:lineRule="auto"/>
        <w:rPr>
          <w:rFonts w:ascii="Times New Roman" w:hAnsi="Times New Roman"/>
          <w:b/>
          <w:sz w:val="20"/>
          <w:szCs w:val="20"/>
          <w:lang w:val="sk-SK"/>
        </w:rPr>
      </w:pPr>
    </w:p>
    <w:sectPr>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Verdana">
    <w:panose1 w:val="00000000000000000000"/>
    <w:charset w:val="EE"/>
    <w:family w:val="swiss"/>
    <w:pitch w:val="variable"/>
    <w:sig w:usb0="00000000" w:usb1="00000000" w:usb2="00000000" w:usb3="00000000" w:csb0="0000019F" w:csb1="00000000"/>
  </w:font>
  <w:font w:name="Wingdings 2">
    <w:panose1 w:val="00000000000000000000"/>
    <w:charset w:val="02"/>
    <w:family w:val="roman"/>
    <w:pitch w:val="variable"/>
    <w:sig w:usb0="00000000" w:usb1="00000000" w:usb2="00000000" w:usb3="00000000" w:csb0="80000000" w:csb1="00000000"/>
  </w:font>
  <w:font w:name="Times">
    <w:panose1 w:val="00000000000000000000"/>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A93"/>
    <w:multiLevelType w:val="hybridMultilevel"/>
    <w:tmpl w:val="AD5C3E74"/>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56AF4A0C"/>
    <w:multiLevelType w:val="hybridMultilevel"/>
    <w:tmpl w:val="3486871A"/>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3">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46DDA"/>
    <w:rsid w:val="000153CB"/>
    <w:rsid w:val="00047966"/>
    <w:rsid w:val="000B2E04"/>
    <w:rsid w:val="000D01BA"/>
    <w:rsid w:val="00103D80"/>
    <w:rsid w:val="001066BB"/>
    <w:rsid w:val="00113283"/>
    <w:rsid w:val="00126482"/>
    <w:rsid w:val="00142425"/>
    <w:rsid w:val="00197276"/>
    <w:rsid w:val="001A3DDF"/>
    <w:rsid w:val="001B5762"/>
    <w:rsid w:val="00222BF9"/>
    <w:rsid w:val="002270FC"/>
    <w:rsid w:val="002C07B8"/>
    <w:rsid w:val="003111CA"/>
    <w:rsid w:val="00354077"/>
    <w:rsid w:val="00363EF5"/>
    <w:rsid w:val="003A295D"/>
    <w:rsid w:val="003D3CD5"/>
    <w:rsid w:val="003E2C59"/>
    <w:rsid w:val="00417AAA"/>
    <w:rsid w:val="004207DC"/>
    <w:rsid w:val="00475913"/>
    <w:rsid w:val="0047737C"/>
    <w:rsid w:val="004C3411"/>
    <w:rsid w:val="00500C3D"/>
    <w:rsid w:val="005068C9"/>
    <w:rsid w:val="005146B4"/>
    <w:rsid w:val="00551D2C"/>
    <w:rsid w:val="00584C21"/>
    <w:rsid w:val="00584FFE"/>
    <w:rsid w:val="005B7011"/>
    <w:rsid w:val="00613621"/>
    <w:rsid w:val="006258CB"/>
    <w:rsid w:val="00653D95"/>
    <w:rsid w:val="00684710"/>
    <w:rsid w:val="00692A58"/>
    <w:rsid w:val="006B2D7A"/>
    <w:rsid w:val="007137B0"/>
    <w:rsid w:val="00746DDA"/>
    <w:rsid w:val="00747E1F"/>
    <w:rsid w:val="00777977"/>
    <w:rsid w:val="007C4BD9"/>
    <w:rsid w:val="008003CB"/>
    <w:rsid w:val="00824000"/>
    <w:rsid w:val="00841FA5"/>
    <w:rsid w:val="00855C29"/>
    <w:rsid w:val="00875C2E"/>
    <w:rsid w:val="008F6977"/>
    <w:rsid w:val="00921D3D"/>
    <w:rsid w:val="00922803"/>
    <w:rsid w:val="00935EBF"/>
    <w:rsid w:val="00945F72"/>
    <w:rsid w:val="00961DDB"/>
    <w:rsid w:val="00A16C94"/>
    <w:rsid w:val="00AA471A"/>
    <w:rsid w:val="00AB2B3D"/>
    <w:rsid w:val="00AC29E7"/>
    <w:rsid w:val="00AC516A"/>
    <w:rsid w:val="00AC6C00"/>
    <w:rsid w:val="00AE359E"/>
    <w:rsid w:val="00B2032E"/>
    <w:rsid w:val="00B47BCE"/>
    <w:rsid w:val="00B81752"/>
    <w:rsid w:val="00B95C1E"/>
    <w:rsid w:val="00BB417B"/>
    <w:rsid w:val="00BB44C3"/>
    <w:rsid w:val="00BD61B2"/>
    <w:rsid w:val="00BD6A46"/>
    <w:rsid w:val="00C33769"/>
    <w:rsid w:val="00C60A22"/>
    <w:rsid w:val="00C75753"/>
    <w:rsid w:val="00D314FF"/>
    <w:rsid w:val="00D40690"/>
    <w:rsid w:val="00DB75EA"/>
    <w:rsid w:val="00DC5240"/>
    <w:rsid w:val="00E079F7"/>
    <w:rsid w:val="00E436C9"/>
    <w:rsid w:val="00E5752D"/>
    <w:rsid w:val="00E85509"/>
    <w:rsid w:val="00EB31F3"/>
    <w:rsid w:val="00EB4ABD"/>
    <w:rsid w:val="00F21311"/>
    <w:rsid w:val="00F378AD"/>
    <w:rsid w:val="00F7753E"/>
    <w:rsid w:val="00F8393A"/>
    <w:rsid w:val="00F90A6E"/>
    <w:rsid w:val="00F94C2C"/>
    <w:rsid w:val="00FE522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47BCE"/>
    <w:pPr>
      <w:widowControl w:val="0"/>
      <w:autoSpaceDE w:val="0"/>
      <w:autoSpaceDN w:val="0"/>
      <w:adjustRightInd w:val="0"/>
    </w:pPr>
    <w:rPr>
      <w:rFonts w:cs="Times New Roman"/>
      <w:sz w:val="24"/>
      <w:szCs w:val="24"/>
    </w:rPr>
    <w:tblPr>
      <w:tblCellMar>
        <w:top w:w="0" w:type="dxa"/>
        <w:left w:w="0" w:type="dxa"/>
        <w:bottom w:w="0" w:type="dxa"/>
        <w:right w:w="0" w:type="dxa"/>
      </w:tblCellMar>
    </w:tblPr>
  </w:style>
  <w:style w:type="paragraph" w:styleId="NormalWeb">
    <w:name w:val="Normal (Web)"/>
    <w:aliases w:val="webb"/>
    <w:basedOn w:val="Normal"/>
    <w:uiPriority w:val="99"/>
    <w:rsid w:val="00824000"/>
    <w:pPr>
      <w:widowControl/>
      <w:adjustRightInd/>
      <w:spacing w:before="100" w:beforeAutospacing="1" w:after="100" w:afterAutospacing="1" w:line="240" w:lineRule="auto"/>
      <w:jc w:val="left"/>
    </w:pPr>
    <w:rPr>
      <w:rFonts w:ascii="Times New Roman" w:hAnsi="Times New Roman"/>
      <w:sz w:val="24"/>
      <w:szCs w:val="24"/>
      <w:lang w:val="sk-SK" w:eastAsia="sk-SK"/>
    </w:rPr>
  </w:style>
  <w:style w:type="character" w:styleId="Hyperlink">
    <w:name w:val="Hyperlink"/>
    <w:basedOn w:val="DefaultParagraphFont"/>
    <w:uiPriority w:val="99"/>
    <w:rsid w:val="00551D2C"/>
    <w:rPr>
      <w:rFonts w:cs="Times New Roman"/>
      <w:color w:val="0000FF"/>
      <w:u w:val="single"/>
      <w:rtl w:val="0"/>
      <w:cs w:val="0"/>
    </w:rPr>
  </w:style>
  <w:style w:type="paragraph" w:customStyle="1" w:styleId="titulok">
    <w:name w:val="titulok"/>
    <w:basedOn w:val="Normal"/>
    <w:rsid w:val="00855C29"/>
    <w:pPr>
      <w:widowControl/>
      <w:adjustRightInd/>
      <w:spacing w:before="100" w:beforeAutospacing="1" w:after="100" w:afterAutospacing="1" w:line="240" w:lineRule="auto"/>
      <w:jc w:val="center"/>
    </w:pPr>
    <w:rPr>
      <w:rFonts w:ascii="Arial" w:hAnsi="Arial" w:cs="Arial"/>
      <w:b/>
      <w:bCs/>
      <w:color w:val="007060"/>
      <w:sz w:val="24"/>
      <w:szCs w:val="24"/>
      <w:lang w:val="sk-SK" w:eastAsia="sk-SK"/>
    </w:rPr>
  </w:style>
  <w:style w:type="paragraph" w:styleId="BalloonText">
    <w:name w:val="Balloon Text"/>
    <w:basedOn w:val="Normal"/>
    <w:link w:val="TextbublinyChar"/>
    <w:uiPriority w:val="99"/>
    <w:semiHidden/>
    <w:unhideWhenUsed/>
    <w:rsid w:val="001B576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B5762"/>
    <w:rPr>
      <w:rFonts w:ascii="Segoe UI" w:hAnsi="Segoe UI" w:cs="Segoe UI"/>
      <w:sz w:val="18"/>
      <w:szCs w:val="18"/>
      <w:rtl w:val="0"/>
      <w:cs w:val="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DE2C-EBEF-4AD9-A915-DD545D2E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TotalTime>
  <Pages>3</Pages>
  <Words>576</Words>
  <Characters>3284</Characters>
  <Application>Microsoft Office Word</Application>
  <DocSecurity>0</DocSecurity>
  <Lines>0</Lines>
  <Paragraphs>0</Paragraphs>
  <ScaleCrop>false</ScaleCrop>
  <Company>Kancelaria NR SR</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Kamil_Krnac</dc:creator>
  <cp:lastModifiedBy>uzivatel</cp:lastModifiedBy>
  <cp:revision>3</cp:revision>
  <cp:lastPrinted>2017-08-09T14:03:00Z</cp:lastPrinted>
  <dcterms:created xsi:type="dcterms:W3CDTF">2017-07-05T22:21:00Z</dcterms:created>
  <dcterms:modified xsi:type="dcterms:W3CDTF">2017-08-09T14:10:00Z</dcterms:modified>
</cp:coreProperties>
</file>