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3691" w:rsidRPr="00367834" w:rsidP="00F73691">
      <w:pPr>
        <w:bidi w:val="0"/>
        <w:spacing w:after="0" w:line="240" w:lineRule="auto"/>
        <w:ind w:firstLine="708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D ô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v o d o v 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á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  s 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p r á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v a</w:t>
      </w: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numPr>
          <w:numId w:val="42"/>
        </w:numPr>
        <w:bidi w:val="0"/>
        <w:spacing w:after="0" w:line="240" w:lineRule="auto"/>
        <w:ind w:hanging="720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Vš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eobecná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Predlož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kona, ktorý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 sa mení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Pr="00367834">
        <w:rPr>
          <w:rFonts w:ascii="Times New Roman" w:hAnsi="Times New Roman" w:hint="default"/>
          <w:bCs/>
          <w:sz w:val="24"/>
          <w:szCs w:val="24"/>
          <w:lang w:eastAsia="sk-SK"/>
        </w:rPr>
        <w:t>č</w:t>
      </w:r>
      <w:r w:rsidRPr="00367834">
        <w:rPr>
          <w:rFonts w:ascii="Times New Roman" w:hAnsi="Times New Roman" w:hint="default"/>
          <w:bCs/>
          <w:sz w:val="24"/>
          <w:szCs w:val="24"/>
          <w:lang w:eastAsia="sk-SK"/>
        </w:rPr>
        <w:t>. 222/2004 Z. z. o dani z pridanej hodnoty v </w:t>
      </w:r>
      <w:r w:rsidRPr="00367834">
        <w:rPr>
          <w:rFonts w:ascii="Times New Roman" w:hAnsi="Times New Roman" w:hint="default"/>
          <w:bCs/>
          <w:sz w:val="24"/>
          <w:szCs w:val="24"/>
          <w:lang w:eastAsia="sk-SK"/>
        </w:rPr>
        <w:t>znení</w:t>
      </w:r>
      <w:r w:rsidRPr="00367834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neskorší</w:t>
      </w:r>
      <w:r w:rsidRPr="00367834">
        <w:rPr>
          <w:rFonts w:ascii="Times New Roman" w:hAnsi="Times New Roman" w:hint="default"/>
          <w:bCs/>
          <w:sz w:val="24"/>
          <w:szCs w:val="24"/>
          <w:lang w:eastAsia="sk-SK"/>
        </w:rPr>
        <w:t xml:space="preserve">ch predpisov 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predkladá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 rokovanie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rodnej rady Slovenskej republiky skupina poslancov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rodnej rady Slovenskej republiky. </w:t>
      </w: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predovš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m:</w:t>
      </w: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numPr>
          <w:numId w:val="43"/>
        </w:num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skracuje lehotu na vrá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tenie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na 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tyri mesiace od zač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atia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ovej kontroly, prič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om ak sa nepreuká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neoprá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vnenosť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roku na nadmerný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et, je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rad povinný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platiteľ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ovi bezodkladne vrá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tiť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nadmerný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 spolu s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rokom z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tu,</w:t>
      </w:r>
    </w:p>
    <w:p w:rsidR="00F73691" w:rsidRPr="00367834" w:rsidP="00F73691">
      <w:pPr>
        <w:numPr>
          <w:numId w:val="43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zavá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dza podmienku, 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rad je oprá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vnený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zadrž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iavať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nadmerný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 najviac do výš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ky spornej sum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y,</w:t>
      </w:r>
    </w:p>
    <w:p w:rsidR="00F73691" w:rsidRPr="00367834" w:rsidP="00F73691">
      <w:pPr>
        <w:numPr>
          <w:numId w:val="43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upravuje spô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 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roku z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obdobne ako  je upravený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 pri odklade platenia dane a povolenia splá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tok podľ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57 ods. 5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. 563/2009 Z. z. 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o sprá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ve daní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(daň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ový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poriadok) a o zmene a doplnení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niektorý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ch zá</w:t>
      </w:r>
      <w:r w:rsidRPr="00367834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konov</w:t>
      </w:r>
      <w:r w:rsidRPr="00367834">
        <w:rPr>
          <w:rFonts w:ascii="Times New Roman" w:hAnsi="Times New Roman"/>
          <w:sz w:val="24"/>
          <w:szCs w:val="24"/>
          <w:lang w:eastAsia="sk-SK"/>
        </w:rPr>
        <w:t>.</w:t>
      </w: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je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lade s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stavou Slovenskej republiky,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konmi a ď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alší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eobecne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vä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zný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vnymi predpismi, ako aj s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medziná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zmluvami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medziná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dokumentmi, ktorý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je Slovenská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republika viazaná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, ako aj s 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vom Euró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pskej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nie. </w:t>
      </w:r>
    </w:p>
    <w:p w:rsidR="00F73691" w:rsidRPr="00367834" w:rsidP="00F73691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nebude mať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vplyv na verejné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financie, nebude mať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sociá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lny vplyv  ani vplyv na 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prostredie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informatizá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ciu spoloč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nosti.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bude mať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pozití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vny vplyv na podnikateľ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ské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prostredie.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550AA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numPr>
          <w:numId w:val="42"/>
        </w:numPr>
        <w:bidi w:val="0"/>
        <w:spacing w:after="0" w:line="240" w:lineRule="auto"/>
        <w:ind w:hanging="720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Osobitná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K č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l. I</w:t>
      </w:r>
    </w:p>
    <w:p w:rsidR="00F73691" w:rsidRPr="00367834" w:rsidP="00F7369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367834">
        <w:rPr>
          <w:rFonts w:ascii="Times New Roman" w:hAnsi="Times New Roman"/>
          <w:b/>
          <w:sz w:val="24"/>
          <w:szCs w:val="24"/>
          <w:lang w:eastAsia="sk-SK"/>
        </w:rPr>
        <w:t>K bodu 1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Pri vzniku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sa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mnohý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prí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padoch rozhodne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rad vykonať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kontrolu, prič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om tá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to kontrola môž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trvať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aj jeden rok (§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46 ods. 10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kona                       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. 563/2009 Z. z. o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ve daní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(daň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poriadok) a o zmene a dopl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není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konov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predpisov). Lehota na vrá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tenie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tu je 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>desať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dní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od skonč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>enia daň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>ovej kontroly (§</w:t>
      </w:r>
      <w:r w:rsidRPr="00367834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79 ods. 6). 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Súč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asná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prava pô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likvidač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ne na tý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podnikateľ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ov, ktorý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podnikanie je založ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 veľ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obratoch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malý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marž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iach, keďž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tí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to  podnikatelia nemajú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mož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dostať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sa k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zdrojom nevyhnutý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 na ď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alš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ie fungovanie chodu firmy. Predkladatelia reš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pektujú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legití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mny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ujem 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ako stráž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cu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vcu verejný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financií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 preverení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etký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skutoč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ností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, ktoré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by potvrdili alebo vyvrá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tili podozrenia o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ch podvodoch,  ochrana legití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mneho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ujmu 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by 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ak nemala byť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v hrubom nepomere s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existenč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mi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u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jmami kontrolované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subjektu. Podľ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zoru predkladateľ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sú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tyri mesiace mesiacov dostatoč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ne dlhá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doba na potvrdenie alebo vyvrá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tenie podozrenia, 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danom prí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pade doš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lo alebo nedoš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lo k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mu podvodu. Podľ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zoru predkladateľ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 je 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ak v p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pade, 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sa nepreukáž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jeho neoprá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vnenosť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korektné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priznať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kontrolované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mu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mu subjektu 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 na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enie zadrž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iavanej sumy. Zavá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dza sa tiež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podmienka, 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rad je oprá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vnený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zadrž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iavať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nadmerný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et najviac do výš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ky sporne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j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sumy. 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367834">
        <w:rPr>
          <w:rFonts w:ascii="Times New Roman" w:hAnsi="Times New Roman"/>
          <w:b/>
          <w:sz w:val="24"/>
          <w:szCs w:val="24"/>
          <w:lang w:eastAsia="sk-SK"/>
        </w:rPr>
        <w:t>K bodu 2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Upravuje sa spô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 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roku zo zadrž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iavané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nadmerné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tu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prí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pade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ovej kontroly a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to vo výš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ke trojná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sobku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kladnej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rokovej sadzby Euró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pskej centrá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lnej banky. Ak by vš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ak trojná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sobok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kladnej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rokovej sadzby Euró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pskej ce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ntrá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lnej banky nedosiahol 10%, navrhuje sa ustanoviť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namiesto trojná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sobku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kladnej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rokovej sadzby Euró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pskej centrá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lnej banky použ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ije roč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nej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rokovej sadzby 10%. V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lade so zá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sadou rovné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metra ide o 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analogickú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vnu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pravu, ako pri vý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te ú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rokov pri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odklade platenia dane a povolenia splá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tok podľ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57 ods. 5 daň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ové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ho poriadku.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367834">
        <w:rPr>
          <w:rFonts w:ascii="Times New Roman" w:hAnsi="Times New Roman"/>
          <w:b/>
          <w:sz w:val="24"/>
          <w:szCs w:val="24"/>
          <w:lang w:eastAsia="sk-SK"/>
        </w:rPr>
        <w:t>K bodu 3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367834">
        <w:rPr>
          <w:rFonts w:ascii="Times New Roman" w:hAnsi="Times New Roman"/>
          <w:sz w:val="24"/>
          <w:szCs w:val="24"/>
          <w:lang w:eastAsia="sk-SK"/>
        </w:rPr>
        <w:t xml:space="preserve">Navrhuje sa 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tandardné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 xml:space="preserve"> prechodné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 xml:space="preserve"> ustanovenie, podľ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a ktoré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 xml:space="preserve">ho </w:t>
      </w:r>
      <w:r w:rsidRPr="00367834" w:rsidR="003906C0">
        <w:rPr>
          <w:rFonts w:ascii="Times New Roman" w:hAnsi="Times New Roman" w:hint="default"/>
          <w:sz w:val="24"/>
          <w:szCs w:val="24"/>
          <w:lang w:eastAsia="sk-SK"/>
        </w:rPr>
        <w:t>sa na pravidlá</w:t>
      </w:r>
      <w:r w:rsidRPr="00367834" w:rsidR="003906C0">
        <w:rPr>
          <w:rFonts w:ascii="Times New Roman" w:hAnsi="Times New Roman" w:hint="default"/>
          <w:sz w:val="24"/>
          <w:szCs w:val="24"/>
          <w:lang w:eastAsia="sk-SK"/>
        </w:rPr>
        <w:t xml:space="preserve"> na vrá</w:t>
      </w:r>
      <w:r w:rsidRPr="00367834" w:rsidR="003906C0">
        <w:rPr>
          <w:rFonts w:ascii="Times New Roman" w:hAnsi="Times New Roman" w:hint="default"/>
          <w:sz w:val="24"/>
          <w:szCs w:val="24"/>
          <w:lang w:eastAsia="sk-SK"/>
        </w:rPr>
        <w:t>tenie nadmerné</w:t>
      </w:r>
      <w:r w:rsidRPr="00367834" w:rsidR="003906C0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367834" w:rsidR="003906C0">
        <w:rPr>
          <w:rFonts w:ascii="Times New Roman" w:hAnsi="Times New Roman" w:hint="default"/>
          <w:sz w:val="24"/>
          <w:szCs w:val="24"/>
          <w:lang w:eastAsia="sk-SK"/>
        </w:rPr>
        <w:t xml:space="preserve">tu 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pri daň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ch kontrolá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ch zač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atý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ch predo dň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om úč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innosti zá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kona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 xml:space="preserve"> bude vzť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ahovať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 xml:space="preserve"> doterajš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ia ú</w:t>
      </w:r>
      <w:r w:rsidRPr="00367834" w:rsidR="00C550AA">
        <w:rPr>
          <w:rFonts w:ascii="Times New Roman" w:hAnsi="Times New Roman" w:hint="default"/>
          <w:sz w:val="24"/>
          <w:szCs w:val="24"/>
          <w:lang w:eastAsia="sk-SK"/>
        </w:rPr>
        <w:t>prava.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K č</w:t>
      </w:r>
      <w:r w:rsidRPr="00367834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 w:hint="default"/>
          <w:b/>
          <w:sz w:val="24"/>
          <w:szCs w:val="24"/>
          <w:lang w:eastAsia="sk-SK"/>
        </w:rPr>
      </w:pPr>
    </w:p>
    <w:p w:rsidR="00F73691" w:rsidRPr="00367834" w:rsidP="00F73691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 w:rsidRPr="00367834">
        <w:rPr>
          <w:rFonts w:ascii="Times New Roman" w:hAnsi="Times New Roman" w:hint="default"/>
          <w:sz w:val="24"/>
          <w:szCs w:val="24"/>
          <w:lang w:eastAsia="sk-SK"/>
        </w:rPr>
        <w:t>Úč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 predkladanej novely sa navrhuje od 1. januá</w:t>
      </w:r>
      <w:r w:rsidRPr="00367834">
        <w:rPr>
          <w:rFonts w:ascii="Times New Roman" w:hAnsi="Times New Roman" w:hint="default"/>
          <w:sz w:val="24"/>
          <w:szCs w:val="24"/>
          <w:lang w:eastAsia="sk-SK"/>
        </w:rPr>
        <w:t xml:space="preserve">ra 2018. </w:t>
      </w:r>
    </w:p>
    <w:p w:rsidR="00F73691" w:rsidRPr="00367834" w:rsidP="00F7369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73691" w:rsidRPr="00367834" w:rsidP="00F73691">
      <w:pPr>
        <w:bidi w:val="0"/>
      </w:pPr>
    </w:p>
    <w:p w:rsidR="00F73691" w:rsidRPr="00367834" w:rsidP="00F73691">
      <w:pPr>
        <w:bidi w:val="0"/>
      </w:pPr>
    </w:p>
    <w:p w:rsidR="002A30E8" w:rsidRPr="00367834" w:rsidP="00F73691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7">
    <w:pPr>
      <w:pStyle w:val="Header"/>
      <w:bidi w:val="0"/>
    </w:pPr>
  </w:p>
  <w:p w:rsidR="00063B17">
    <w:pPr>
      <w:pStyle w:val="Header"/>
      <w:bidi w:val="0"/>
    </w:pPr>
  </w:p>
  <w:p w:rsidR="00063B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6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4"/>
  </w:num>
  <w:num w:numId="5">
    <w:abstractNumId w:val="13"/>
  </w:num>
  <w:num w:numId="6">
    <w:abstractNumId w:val="9"/>
  </w:num>
  <w:num w:numId="7">
    <w:abstractNumId w:val="22"/>
  </w:num>
  <w:num w:numId="8">
    <w:abstractNumId w:val="25"/>
  </w:num>
  <w:num w:numId="9">
    <w:abstractNumId w:val="15"/>
  </w:num>
  <w:num w:numId="10">
    <w:abstractNumId w:val="27"/>
  </w:num>
  <w:num w:numId="11">
    <w:abstractNumId w:val="42"/>
  </w:num>
  <w:num w:numId="12">
    <w:abstractNumId w:val="19"/>
  </w:num>
  <w:num w:numId="13">
    <w:abstractNumId w:val="41"/>
  </w:num>
  <w:num w:numId="14">
    <w:abstractNumId w:val="24"/>
  </w:num>
  <w:num w:numId="15">
    <w:abstractNumId w:val="36"/>
  </w:num>
  <w:num w:numId="16">
    <w:abstractNumId w:val="6"/>
  </w:num>
  <w:num w:numId="17">
    <w:abstractNumId w:val="11"/>
  </w:num>
  <w:num w:numId="18">
    <w:abstractNumId w:val="26"/>
  </w:num>
  <w:num w:numId="19">
    <w:abstractNumId w:val="38"/>
  </w:num>
  <w:num w:numId="20">
    <w:abstractNumId w:val="39"/>
  </w:num>
  <w:num w:numId="21">
    <w:abstractNumId w:val="21"/>
  </w:num>
  <w:num w:numId="22">
    <w:abstractNumId w:val="12"/>
  </w:num>
  <w:num w:numId="23">
    <w:abstractNumId w:val="20"/>
  </w:num>
  <w:num w:numId="24">
    <w:abstractNumId w:val="23"/>
  </w:num>
  <w:num w:numId="25">
    <w:abstractNumId w:val="14"/>
  </w:num>
  <w:num w:numId="26">
    <w:abstractNumId w:val="34"/>
  </w:num>
  <w:num w:numId="27">
    <w:abstractNumId w:val="29"/>
  </w:num>
  <w:num w:numId="28">
    <w:abstractNumId w:val="1"/>
  </w:num>
  <w:num w:numId="29">
    <w:abstractNumId w:val="33"/>
  </w:num>
  <w:num w:numId="30">
    <w:abstractNumId w:val="8"/>
  </w:num>
  <w:num w:numId="31">
    <w:abstractNumId w:val="35"/>
  </w:num>
  <w:num w:numId="32">
    <w:abstractNumId w:val="31"/>
  </w:num>
  <w:num w:numId="33">
    <w:abstractNumId w:val="18"/>
  </w:num>
  <w:num w:numId="34">
    <w:abstractNumId w:val="30"/>
  </w:num>
  <w:num w:numId="35">
    <w:abstractNumId w:val="28"/>
  </w:num>
  <w:num w:numId="36">
    <w:abstractNumId w:val="37"/>
  </w:num>
  <w:num w:numId="37">
    <w:abstractNumId w:val="40"/>
  </w:num>
  <w:num w:numId="38">
    <w:abstractNumId w:val="7"/>
  </w:num>
  <w:num w:numId="39">
    <w:abstractNumId w:val="10"/>
  </w:num>
  <w:num w:numId="40">
    <w:abstractNumId w:val="2"/>
  </w:num>
  <w:num w:numId="41">
    <w:abstractNumId w:val="3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3856"/>
    <w:rsid w:val="000F7062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07FB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67834"/>
    <w:rsid w:val="00373B58"/>
    <w:rsid w:val="003748E8"/>
    <w:rsid w:val="00374BA2"/>
    <w:rsid w:val="00375ECE"/>
    <w:rsid w:val="00376B71"/>
    <w:rsid w:val="00383144"/>
    <w:rsid w:val="00384E35"/>
    <w:rsid w:val="00386D0B"/>
    <w:rsid w:val="00387151"/>
    <w:rsid w:val="003906C0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3CEE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64CE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3E3A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7C73"/>
    <w:rsid w:val="007300E8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3AF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65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D792F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50AA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691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235A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7834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7834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562</Words>
  <Characters>3205</Characters>
  <Application>Microsoft Office Word</Application>
  <DocSecurity>0</DocSecurity>
  <Lines>0</Lines>
  <Paragraphs>0</Paragraphs>
  <ScaleCrop>false</ScaleCrop>
  <Company>MVSR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2017-08-09T14:01:00Z</cp:lastPrinted>
  <dcterms:created xsi:type="dcterms:W3CDTF">2017-08-10T13:46:00Z</dcterms:created>
  <dcterms:modified xsi:type="dcterms:W3CDTF">2017-08-10T13:46:00Z</dcterms:modified>
</cp:coreProperties>
</file>