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Osobitná časť</w:t>
      </w:r>
    </w:p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K čl. I</w:t>
      </w:r>
    </w:p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5F32AD" w:rsidRPr="00C43394" w:rsidP="003852AC">
      <w:pPr>
        <w:pStyle w:val="Title"/>
        <w:numPr>
          <w:numId w:val="2"/>
        </w:numPr>
        <w:bidi w:val="0"/>
        <w:spacing w:line="360" w:lineRule="auto"/>
        <w:ind w:hanging="1428"/>
        <w:jc w:val="both"/>
        <w:rPr>
          <w:rFonts w:ascii="Times New Roman" w:hAnsi="Times New Roman"/>
        </w:rPr>
      </w:pPr>
    </w:p>
    <w:p w:rsidR="00D6620F" w:rsidRPr="00D6620F" w:rsidP="00D6620F">
      <w:pPr>
        <w:bidi w:val="0"/>
        <w:spacing w:after="200" w:line="360" w:lineRule="auto"/>
        <w:ind w:left="-75"/>
        <w:jc w:val="both"/>
        <w:rPr>
          <w:rFonts w:ascii="Times New Roman" w:hAnsi="Times New Roman"/>
        </w:rPr>
      </w:pPr>
      <w:r w:rsidRPr="001528CA">
        <w:rPr>
          <w:rFonts w:ascii="Times New Roman" w:hAnsi="Times New Roman"/>
        </w:rPr>
        <w:t>Legislatívno-technická úprava v súvislosti s odkazmi 1bb a 1bc v bode 2.</w:t>
      </w:r>
    </w:p>
    <w:p w:rsidR="00D6620F" w:rsidRPr="00D6620F" w:rsidP="00D6620F">
      <w:pPr>
        <w:pStyle w:val="Title"/>
        <w:numPr>
          <w:numId w:val="2"/>
        </w:numPr>
        <w:bidi w:val="0"/>
        <w:spacing w:line="360" w:lineRule="auto"/>
        <w:ind w:hanging="1428"/>
        <w:jc w:val="both"/>
        <w:rPr>
          <w:rFonts w:ascii="Times New Roman" w:hAnsi="Times New Roman"/>
        </w:rPr>
      </w:pPr>
    </w:p>
    <w:p w:rsidR="005F32AD" w:rsidRPr="00C43394" w:rsidP="00FD3652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 w:rsidR="001B5AB1">
        <w:rPr>
          <w:rFonts w:ascii="Times New Roman" w:hAnsi="Times New Roman"/>
          <w:b w:val="0"/>
        </w:rPr>
        <w:t>C</w:t>
      </w:r>
      <w:r w:rsidRPr="00C43394">
        <w:rPr>
          <w:rFonts w:ascii="Times New Roman" w:hAnsi="Times New Roman"/>
          <w:b w:val="0"/>
        </w:rPr>
        <w:t xml:space="preserve">harakterizujú </w:t>
      </w:r>
      <w:r w:rsidRPr="00C43394" w:rsidR="001B5AB1">
        <w:rPr>
          <w:rFonts w:ascii="Times New Roman" w:hAnsi="Times New Roman"/>
          <w:b w:val="0"/>
        </w:rPr>
        <w:t xml:space="preserve">sa </w:t>
      </w:r>
      <w:r w:rsidRPr="00C43394">
        <w:rPr>
          <w:rFonts w:ascii="Times New Roman" w:hAnsi="Times New Roman"/>
          <w:b w:val="0"/>
        </w:rPr>
        <w:t>I. skupina, II. skupina a III. skupina omamných látok  a </w:t>
      </w:r>
      <w:r w:rsidRPr="00C43394" w:rsidR="001B5AB1">
        <w:rPr>
          <w:rFonts w:ascii="Times New Roman" w:hAnsi="Times New Roman"/>
          <w:b w:val="0"/>
        </w:rPr>
        <w:t xml:space="preserve"> </w:t>
      </w:r>
      <w:r w:rsidRPr="00C43394" w:rsidR="003E6BBB">
        <w:rPr>
          <w:rFonts w:ascii="Times New Roman" w:hAnsi="Times New Roman"/>
          <w:b w:val="0"/>
        </w:rPr>
        <w:t xml:space="preserve">I. skupina, II. skupina a III. skupina </w:t>
      </w:r>
      <w:r w:rsidRPr="00C43394">
        <w:rPr>
          <w:rFonts w:ascii="Times New Roman" w:hAnsi="Times New Roman"/>
          <w:b w:val="0"/>
        </w:rPr>
        <w:t xml:space="preserve">psychotropných látok. Omamné látky </w:t>
      </w:r>
      <w:r w:rsidRPr="00C43394" w:rsidR="003E6BBB">
        <w:rPr>
          <w:rFonts w:ascii="Times New Roman" w:hAnsi="Times New Roman"/>
          <w:b w:val="0"/>
        </w:rPr>
        <w:t>I. skupiny</w:t>
      </w:r>
      <w:r w:rsidRPr="00C43394">
        <w:rPr>
          <w:rFonts w:ascii="Times New Roman" w:hAnsi="Times New Roman"/>
          <w:b w:val="0"/>
        </w:rPr>
        <w:t xml:space="preserve"> a psychotropné látky I. skupiny sa nepoužívajú ako liečivá a nie sú obsiahnuté v liekoch. Omamné látky</w:t>
      </w:r>
      <w:r w:rsidRPr="00C43394" w:rsidR="003E6BBB">
        <w:rPr>
          <w:rFonts w:ascii="Times New Roman" w:hAnsi="Times New Roman"/>
          <w:b w:val="0"/>
        </w:rPr>
        <w:t xml:space="preserve"> II. skupiny</w:t>
      </w:r>
      <w:r w:rsidRPr="00C43394">
        <w:rPr>
          <w:rFonts w:ascii="Times New Roman" w:hAnsi="Times New Roman"/>
          <w:b w:val="0"/>
        </w:rPr>
        <w:t xml:space="preserve">  a psychotropné látky II. skupiny sú vysoko návykové, používajú sa ako liečivá a sú obsiahnuté v liekoch. Omamné látky </w:t>
      </w:r>
      <w:r w:rsidRPr="00C43394" w:rsidR="003E6BBB">
        <w:rPr>
          <w:rFonts w:ascii="Times New Roman" w:hAnsi="Times New Roman"/>
          <w:b w:val="0"/>
        </w:rPr>
        <w:t>III. skupiny</w:t>
      </w:r>
      <w:r w:rsidRPr="00C43394">
        <w:rPr>
          <w:rFonts w:ascii="Times New Roman" w:hAnsi="Times New Roman"/>
          <w:b w:val="0"/>
        </w:rPr>
        <w:t xml:space="preserve"> a psychotropné látky III. skupiny sú návykové, používajú sa ako liečivá a sú obsiahnuté v liekoch.</w:t>
      </w:r>
    </w:p>
    <w:p w:rsidR="001B5AB1" w:rsidRPr="00C43394" w:rsidP="005F32A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</w:p>
    <w:p w:rsidR="001B5AB1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1B5AB1" w:rsidRPr="00C43394" w:rsidP="00FD3652">
      <w:pPr>
        <w:pStyle w:val="Title"/>
        <w:bidi w:val="0"/>
        <w:spacing w:line="360" w:lineRule="auto"/>
        <w:ind w:left="709" w:hanging="709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</w:rPr>
        <w:tab/>
      </w:r>
      <w:r w:rsidRPr="00C43394">
        <w:rPr>
          <w:rFonts w:ascii="Times New Roman" w:hAnsi="Times New Roman"/>
          <w:b w:val="0"/>
        </w:rPr>
        <w:t>Legislatívno-technická úprava.</w:t>
      </w:r>
    </w:p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F43C17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F43C17" w:rsidRPr="00C43394" w:rsidP="001437EC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 w:rsidR="00AE77AC">
        <w:rPr>
          <w:rFonts w:ascii="Times New Roman" w:hAnsi="Times New Roman"/>
          <w:b w:val="0"/>
        </w:rPr>
        <w:t>Spresňuje sa pojem druh činnosti expertízna či</w:t>
      </w:r>
      <w:r w:rsidRPr="00C43394" w:rsidR="003852AC">
        <w:rPr>
          <w:rFonts w:ascii="Times New Roman" w:hAnsi="Times New Roman"/>
          <w:b w:val="0"/>
        </w:rPr>
        <w:t xml:space="preserve">nnosť, ktorá zahŕňa aj kontrolu </w:t>
      </w:r>
      <w:r w:rsidRPr="00C43394" w:rsidR="00AE77AC">
        <w:rPr>
          <w:rFonts w:ascii="Times New Roman" w:hAnsi="Times New Roman"/>
          <w:b w:val="0"/>
        </w:rPr>
        <w:t>liečiv a liekov.</w:t>
      </w:r>
    </w:p>
    <w:p w:rsidR="003852AC" w:rsidRPr="00C43394" w:rsidP="00FD3652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</w:p>
    <w:p w:rsidR="003852AC" w:rsidRPr="00C43394" w:rsidP="001437EC">
      <w:pPr>
        <w:pStyle w:val="Title"/>
        <w:numPr>
          <w:numId w:val="2"/>
        </w:numPr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</w:p>
    <w:p w:rsidR="003852AC" w:rsidRPr="00C43394" w:rsidP="001437EC">
      <w:pPr>
        <w:pStyle w:val="ListParagraph"/>
        <w:bidi w:val="0"/>
        <w:spacing w:after="200" w:line="360" w:lineRule="auto"/>
        <w:ind w:left="0" w:firstLine="708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Zosúladenie s § 18 zákona č. 4/2001 Z. z. o Zbore väzenskej a justičnej stráže v znení zákona č. 372/2013 Z. z., podľa ktorého „Riaditeľom ústavu alebo generálnym riaditeľom určený príslušník zboru je oprávnený na účely výučby, výcviku a skúšok držať, skladovať a používať výbušniny, výbušné predmety, ich vzorky, omamné látky, psychotropné látky, jedy a</w:t>
      </w:r>
      <w:r w:rsidR="002C3FB0">
        <w:rPr>
          <w:rFonts w:ascii="Times New Roman" w:hAnsi="Times New Roman"/>
        </w:rPr>
        <w:t> </w:t>
      </w:r>
      <w:r w:rsidRPr="00C43394">
        <w:rPr>
          <w:rFonts w:ascii="Times New Roman" w:hAnsi="Times New Roman"/>
        </w:rPr>
        <w:t>prekurzory</w:t>
      </w:r>
      <w:r w:rsidR="002C3FB0">
        <w:rPr>
          <w:rFonts w:ascii="Times New Roman" w:hAnsi="Times New Roman"/>
        </w:rPr>
        <w:t>.</w:t>
      </w:r>
      <w:r w:rsidRPr="00C43394">
        <w:rPr>
          <w:rFonts w:ascii="Times New Roman" w:hAnsi="Times New Roman"/>
        </w:rPr>
        <w:t>“.</w:t>
      </w:r>
    </w:p>
    <w:p w:rsidR="00F43C17" w:rsidRPr="00C43394" w:rsidP="003852A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AE77AC" w:rsidP="001437EC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  <w:lang w:eastAsia="cs-CZ"/>
        </w:rPr>
      </w:pPr>
      <w:r w:rsidRPr="00C43394">
        <w:rPr>
          <w:rFonts w:ascii="Times New Roman" w:hAnsi="Times New Roman"/>
          <w:lang w:eastAsia="cs-CZ"/>
        </w:rPr>
        <w:t>Zdravotnícki pracovníci (napr. sestry a pôrodné asistentky) majú v súčasnej dobe možnosť získať odbornú spôsobilosť na výkon zdravotníckeho povolania aj vysokoškolským vzdelaním v</w:t>
      </w:r>
      <w:r w:rsidRPr="00C43394" w:rsidR="00ED7166">
        <w:rPr>
          <w:rFonts w:ascii="Times New Roman" w:hAnsi="Times New Roman"/>
          <w:lang w:eastAsia="cs-CZ"/>
        </w:rPr>
        <w:t> študijnom odbore ošetrovateľstvo a v študijnom odbore pôrodná asistencia</w:t>
      </w:r>
      <w:r w:rsidRPr="00C43394">
        <w:rPr>
          <w:rFonts w:ascii="Times New Roman" w:hAnsi="Times New Roman"/>
          <w:lang w:eastAsia="cs-CZ"/>
        </w:rPr>
        <w:t>. Pri poskytovaní zdravotnej starostlivosti  prichádzajú do styku s omamnými a psychotropnými látkami a z tohto dôvodu je potrebné, aby  ich doklady o získanej odbornej spôsobilosti boli uvedené v  § 6</w:t>
      </w:r>
      <w:r w:rsidRPr="00C43394" w:rsidR="00ED7166">
        <w:rPr>
          <w:rFonts w:ascii="Times New Roman" w:hAnsi="Times New Roman"/>
          <w:lang w:eastAsia="cs-CZ"/>
        </w:rPr>
        <w:t xml:space="preserve"> ods. 2 písm. a)</w:t>
      </w:r>
      <w:r w:rsidRPr="00C43394" w:rsidR="00D95CF3">
        <w:rPr>
          <w:rFonts w:ascii="Times New Roman" w:hAnsi="Times New Roman"/>
          <w:lang w:eastAsia="cs-CZ"/>
        </w:rPr>
        <w:t>.</w:t>
      </w:r>
      <w:r w:rsidRPr="00C43394" w:rsidR="00755113">
        <w:rPr>
          <w:rFonts w:ascii="Times New Roman" w:hAnsi="Times New Roman"/>
          <w:lang w:eastAsia="cs-CZ"/>
        </w:rPr>
        <w:t xml:space="preserve"> </w:t>
      </w:r>
    </w:p>
    <w:p w:rsidR="004F098B" w:rsidRPr="00C43394" w:rsidP="001437EC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  <w:lang w:eastAsia="cs-CZ"/>
        </w:rPr>
      </w:pPr>
    </w:p>
    <w:p w:rsidR="00D722A2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D722A2" w:rsidRPr="00C43394" w:rsidP="00EF7501">
      <w:pPr>
        <w:pStyle w:val="Title"/>
        <w:bidi w:val="0"/>
        <w:spacing w:line="360" w:lineRule="auto"/>
        <w:ind w:firstLine="709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  <w:b w:val="0"/>
        </w:rPr>
        <w:t>Dopĺňa sa špecializačný odbor</w:t>
      </w:r>
      <w:r w:rsidRPr="00C43394" w:rsidR="000D1F2C">
        <w:rPr>
          <w:rFonts w:ascii="Times New Roman" w:hAnsi="Times New Roman"/>
          <w:b w:val="0"/>
        </w:rPr>
        <w:t xml:space="preserve"> </w:t>
      </w:r>
      <w:r w:rsidRPr="00C43394">
        <w:rPr>
          <w:rFonts w:ascii="Times New Roman" w:hAnsi="Times New Roman"/>
          <w:b w:val="0"/>
        </w:rPr>
        <w:t xml:space="preserve">podľa prílohy č. 3 časti H písm. a) bodu 9 nariadenia vlády Slovenskej republiky č. 206/2010 Z. z. o odbornej spôsobilosti na výkon zdravotníckeho povolania, spôsobe ďalšieho vzdelávania zdravotníckych pracovníkov, sústave špecializačných odborov a sústave certifikovaných pracovných činností. Ponecháva sa aj pôvodný názov špecializačného odboru, aby sa mohla uznať odborná spôsobilosť aj </w:t>
      </w:r>
      <w:r w:rsidRPr="00C43394" w:rsidR="00E55154">
        <w:rPr>
          <w:rFonts w:ascii="Times New Roman" w:hAnsi="Times New Roman"/>
          <w:b w:val="0"/>
        </w:rPr>
        <w:t>zdravotníckym pracovníkom, ktorí získali diplom v špecializačnom odbore podľa právnych predpisov pred účinnosťou nariadenia vlády Slovenskej republiky č. 206/2010 Z. z.</w:t>
      </w:r>
      <w:r w:rsidRPr="00C43394" w:rsidR="000D1F2C">
        <w:rPr>
          <w:rFonts w:ascii="Times New Roman" w:hAnsi="Times New Roman"/>
          <w:b w:val="0"/>
        </w:rPr>
        <w:t xml:space="preserve"> (§ 83a ods. 11 nariadenia vlády Slovenskej republiky č. 296/2010 Z. z.).</w:t>
      </w:r>
    </w:p>
    <w:p w:rsidR="00AE77AC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5F32AD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F32AD" w:rsidRPr="00C43394" w:rsidP="00FD3652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  <w:b w:val="0"/>
        </w:rPr>
        <w:t>Zamestnanci, ktorí nemajú odbornú spôsobilosť a pri svojej práci prichádzajú do styku s omamnými látkami a psychotropnými látkami, musia byť pred začatím práce s takýmito látkami oboznámení s ich povahou a účinkami a so spôsobmi zaobchádzania s nimi. Oboznámenie a preverovanie vykonáva Slovenská zdravotnícka univerzita v Bratislave na základe žiadosti zamestnávateľa. O úspešne vykonanej skúške zamestnanca vydá osvedčenie, ktoré zašle zamestnávateľovi. Vypúšťa  sa požiadavka na zaslanie osvedčenia v dvoch vyhotoveniach, pretože vo všeobecnosti vzdelávacie inštitúcie nevydávajú doklady o získanom vzdelaní v dvoch vyhotoveniach.</w:t>
      </w:r>
    </w:p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5F32AD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F32AD" w:rsidRPr="00C43394" w:rsidP="00FD3652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 xml:space="preserve">Dopĺňa sa požiadavka na odbornú spôsobilosť odborného zástupcu na </w:t>
      </w:r>
      <w:r w:rsidRPr="00C43394" w:rsidR="009574BD">
        <w:rPr>
          <w:rFonts w:ascii="Times New Roman" w:hAnsi="Times New Roman"/>
        </w:rPr>
        <w:t xml:space="preserve">činnosť </w:t>
      </w:r>
      <w:r w:rsidRPr="00C43394">
        <w:rPr>
          <w:rFonts w:ascii="Times New Roman" w:hAnsi="Times New Roman"/>
        </w:rPr>
        <w:t>spracovanie</w:t>
      </w:r>
      <w:r w:rsidRPr="00C43394" w:rsidR="009574BD">
        <w:rPr>
          <w:rFonts w:ascii="Times New Roman" w:hAnsi="Times New Roman"/>
        </w:rPr>
        <w:t xml:space="preserve"> makovej slamy a na činnosť spracovanie konopy okrem odrôd uvedených v Spoločnom katalógu odrôd poľnohospodárskych rastlinných druhov, ktorý zostavuje Európska komisia; </w:t>
      </w:r>
      <w:r w:rsidRPr="00C43394" w:rsidR="00A931D4">
        <w:rPr>
          <w:rFonts w:ascii="Times New Roman" w:hAnsi="Times New Roman"/>
        </w:rPr>
        <w:t xml:space="preserve">ich </w:t>
      </w:r>
      <w:r w:rsidRPr="00C43394" w:rsidR="009574BD">
        <w:rPr>
          <w:rFonts w:ascii="Times New Roman" w:hAnsi="Times New Roman"/>
        </w:rPr>
        <w:t>spracovaním sa rozumie</w:t>
      </w:r>
      <w:r w:rsidRPr="00C43394">
        <w:rPr>
          <w:rFonts w:ascii="Times New Roman" w:hAnsi="Times New Roman"/>
        </w:rPr>
        <w:t xml:space="preserve"> </w:t>
      </w:r>
      <w:r w:rsidRPr="00C43394" w:rsidR="009574BD">
        <w:rPr>
          <w:rFonts w:ascii="Times New Roman" w:hAnsi="Times New Roman"/>
        </w:rPr>
        <w:t xml:space="preserve">ich zužitkovanie </w:t>
      </w:r>
      <w:r w:rsidRPr="00C43394">
        <w:rPr>
          <w:rFonts w:ascii="Times New Roman" w:hAnsi="Times New Roman"/>
        </w:rPr>
        <w:t xml:space="preserve">na iné účely, ako je získanie omamných a psychotropných látok. </w:t>
      </w:r>
      <w:r w:rsidRPr="00C43394" w:rsidR="009574BD">
        <w:rPr>
          <w:rFonts w:ascii="Times New Roman" w:hAnsi="Times New Roman"/>
        </w:rPr>
        <w:t xml:space="preserve">Spoločný katalóg odrôd poľnohospodárskych rastlinných druhov </w:t>
      </w:r>
      <w:r w:rsidRPr="00C43394" w:rsidR="00A931D4">
        <w:rPr>
          <w:rFonts w:ascii="Times New Roman" w:hAnsi="Times New Roman"/>
        </w:rPr>
        <w:t>(jeho úplné vydanie a dodatky)</w:t>
      </w:r>
      <w:r w:rsidRPr="00C43394" w:rsidR="009574BD">
        <w:rPr>
          <w:rFonts w:ascii="Times New Roman" w:hAnsi="Times New Roman"/>
        </w:rPr>
        <w:t xml:space="preserve"> uverejňuje na </w:t>
      </w:r>
      <w:r w:rsidRPr="00C43394" w:rsidR="00A931D4">
        <w:rPr>
          <w:rFonts w:ascii="Times New Roman" w:hAnsi="Times New Roman"/>
        </w:rPr>
        <w:t xml:space="preserve">svojej </w:t>
      </w:r>
      <w:r w:rsidRPr="00C43394" w:rsidR="009574BD">
        <w:rPr>
          <w:rFonts w:ascii="Times New Roman" w:hAnsi="Times New Roman"/>
        </w:rPr>
        <w:t>stránke</w:t>
      </w:r>
      <w:r w:rsidRPr="00C43394" w:rsidR="00A931D4">
        <w:rPr>
          <w:rFonts w:ascii="Times New Roman" w:hAnsi="Times New Roman"/>
        </w:rPr>
        <w:t xml:space="preserve"> Ústredný kontrolný a skúšobný ústav poľnohospodársky v Bratislave.</w:t>
      </w:r>
      <w:r w:rsidRPr="00C43394">
        <w:rPr>
          <w:rFonts w:ascii="Times New Roman" w:hAnsi="Times New Roman"/>
        </w:rPr>
        <w:t xml:space="preserve"> Navrhuje sa, aby sa odborná spôsobilosť odborného zástupcu preukazovala  osvedčením, ktoré vydáva Slovenská zdravotnícka univerzita podľa § 6 ods</w:t>
      </w:r>
      <w:r w:rsidRPr="00C43394" w:rsidR="00A54A4A">
        <w:rPr>
          <w:rFonts w:ascii="Times New Roman" w:hAnsi="Times New Roman"/>
        </w:rPr>
        <w:t>.</w:t>
      </w:r>
      <w:r w:rsidRPr="00C43394">
        <w:rPr>
          <w:rFonts w:ascii="Times New Roman" w:hAnsi="Times New Roman"/>
        </w:rPr>
        <w:t xml:space="preserve"> 4. </w:t>
      </w:r>
    </w:p>
    <w:p w:rsidR="001437EC" w:rsidRPr="00C43394" w:rsidP="00EF7501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EF7501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D6620F" w:rsidRPr="00D6620F" w:rsidP="00D6620F">
      <w:pPr>
        <w:bidi w:val="0"/>
        <w:spacing w:after="200" w:line="360" w:lineRule="auto"/>
        <w:jc w:val="both"/>
        <w:rPr>
          <w:rFonts w:ascii="Times New Roman" w:hAnsi="Times New Roman"/>
        </w:rPr>
      </w:pPr>
      <w:r w:rsidRPr="001528CA">
        <w:rPr>
          <w:rFonts w:ascii="Times New Roman" w:hAnsi="Times New Roman"/>
        </w:rPr>
        <w:t>Legislatívno-technická úprava v súvislosti s</w:t>
      </w:r>
      <w:r w:rsidRPr="001528CA" w:rsidR="004F098B">
        <w:rPr>
          <w:rFonts w:ascii="Times New Roman" w:hAnsi="Times New Roman"/>
        </w:rPr>
        <w:t xml:space="preserve"> odkazmi v bodoch </w:t>
      </w:r>
      <w:r w:rsidRPr="001528CA">
        <w:rPr>
          <w:rFonts w:ascii="Times New Roman" w:hAnsi="Times New Roman"/>
        </w:rPr>
        <w:t>1 a 2.</w:t>
      </w:r>
    </w:p>
    <w:p w:rsidR="00D6620F" w:rsidRPr="00D6620F" w:rsidP="00D6620F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F32AD" w:rsidRPr="00C43394" w:rsidP="00FD3652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  <w:b w:val="0"/>
        </w:rPr>
        <w:t xml:space="preserve">Navrhuje sa </w:t>
      </w:r>
      <w:r w:rsidRPr="00C43394" w:rsidR="00A54A4A">
        <w:rPr>
          <w:rFonts w:ascii="Times New Roman" w:hAnsi="Times New Roman"/>
          <w:b w:val="0"/>
        </w:rPr>
        <w:t xml:space="preserve">zmeniť </w:t>
      </w:r>
      <w:r w:rsidRPr="00C43394">
        <w:rPr>
          <w:rFonts w:ascii="Times New Roman" w:hAnsi="Times New Roman"/>
          <w:b w:val="0"/>
        </w:rPr>
        <w:t>požiadavku, aby sa v lehote troch rokov od zaradenia rizikovej látky do zoznamu rizikových látok preukázalo, či riziková látka je omamnou látkou alebo psychotropnou látkou</w:t>
      </w:r>
      <w:r w:rsidRPr="00C43394" w:rsidR="00805AF4">
        <w:rPr>
          <w:rFonts w:ascii="Times New Roman" w:hAnsi="Times New Roman"/>
          <w:b w:val="0"/>
        </w:rPr>
        <w:t xml:space="preserve"> </w:t>
      </w:r>
      <w:r w:rsidRPr="00C43394" w:rsidR="00A54A4A">
        <w:rPr>
          <w:rFonts w:ascii="Times New Roman" w:hAnsi="Times New Roman"/>
          <w:b w:val="0"/>
        </w:rPr>
        <w:t xml:space="preserve">predĺžením lehoty </w:t>
      </w:r>
      <w:r w:rsidRPr="00C43394" w:rsidR="00805AF4">
        <w:rPr>
          <w:rFonts w:ascii="Times New Roman" w:hAnsi="Times New Roman"/>
          <w:b w:val="0"/>
        </w:rPr>
        <w:t xml:space="preserve">na šesť rokov </w:t>
      </w:r>
      <w:r w:rsidRPr="00C43394" w:rsidR="001F1F3B">
        <w:rPr>
          <w:rFonts w:ascii="Times New Roman" w:hAnsi="Times New Roman"/>
          <w:b w:val="0"/>
        </w:rPr>
        <w:t>v</w:t>
      </w:r>
      <w:r w:rsidRPr="00C43394" w:rsidR="00805AF4">
        <w:rPr>
          <w:rFonts w:ascii="Times New Roman" w:hAnsi="Times New Roman"/>
          <w:b w:val="0"/>
        </w:rPr>
        <w:t xml:space="preserve">zhľadom na to, že </w:t>
      </w:r>
      <w:r w:rsidRPr="00C43394">
        <w:rPr>
          <w:rFonts w:ascii="Times New Roman" w:hAnsi="Times New Roman"/>
          <w:b w:val="0"/>
        </w:rPr>
        <w:t xml:space="preserve"> Slovenská republika nemá zriadené žiadne odborné pracovisko, ktoré by bolo kompetentné posúdiť tieto vlastnosti rizikovej látky</w:t>
      </w:r>
      <w:r w:rsidRPr="00C43394" w:rsidR="00805AF4">
        <w:rPr>
          <w:rFonts w:ascii="Times New Roman" w:hAnsi="Times New Roman"/>
          <w:b w:val="0"/>
        </w:rPr>
        <w:t>. Ministerstvo zdravotníctva Slovenskej republiky  predloží na posúdenie Rade vlády Slovenskej republiky pre protidrogovú politiku návrh na iniciovanie prípravy a realizácie zriadenia kompetentného pracoviska, ktoré by sa posudzovaním rizík jednotlivých rizikových látok na Slovensku zaoberalo.</w:t>
      </w:r>
    </w:p>
    <w:p w:rsidR="005F32AD" w:rsidRPr="00C43394" w:rsidP="00FD365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Prvý zoznam rizikových látok bol vydaný vyhláškou Ministerstva zdravotníctva Slovenskej republiky č. 298/2013 Z. z., ktorou sa vydáva zoznam rizikových látok.  V tomto zozname bolo zaradených 17 psychotropných látok. Zákonom č. 148/2015 Z. z., ktorým sa dopĺňa zákon č. 139/1998 Z.</w:t>
      </w:r>
      <w:r w:rsidRPr="00C43394" w:rsidR="00805AF4">
        <w:rPr>
          <w:rFonts w:ascii="Times New Roman" w:hAnsi="Times New Roman"/>
        </w:rPr>
        <w:t xml:space="preserve"> </w:t>
      </w:r>
      <w:r w:rsidRPr="00C43394">
        <w:rPr>
          <w:rFonts w:ascii="Times New Roman" w:hAnsi="Times New Roman"/>
        </w:rPr>
        <w:t>z. o omamných látkach, psychotropných látkach a prípravkoch v znení neskorších predpisov a ktorým sa menia a dopĺňajú niektoré zákony, bola jedna riziková látka preradená do zoznamu omamných a psychotropných látok s účinnosťou od 1. októbra 2015. Vyhláškou Ministerstva zdravotníctva Slovenskej republiky č. 121/2015 Z. z., ktorou sa vydáva zoznam rizikových látok, bol vydaný nový zoznam rizikových látok, v ktorom je 25 rizikových látok. Podľa súčasného platného znenia zákona č. 139/1998 Z.</w:t>
      </w:r>
      <w:r w:rsidRPr="00C43394" w:rsidR="003E6BBB">
        <w:rPr>
          <w:rFonts w:ascii="Times New Roman" w:hAnsi="Times New Roman"/>
        </w:rPr>
        <w:t xml:space="preserve"> </w:t>
      </w:r>
      <w:r w:rsidRPr="00C43394">
        <w:rPr>
          <w:rFonts w:ascii="Times New Roman" w:hAnsi="Times New Roman"/>
        </w:rPr>
        <w:t xml:space="preserve">z. o omamných látkach, psychotropných látkach a prípravkoch v znení neskorších predpisov by zo zoznamu rizikových látok muselo byť vypustených 16 rizikových látok, pretože nie sú k dispozícii dôkazy o tom, že majú vlastnosti omamnej látky a psychotropnej látky. Z platného zoznamu rizikových látok sa v novelizačnom bode </w:t>
      </w:r>
      <w:r w:rsidRPr="00C43394" w:rsidR="003E6BBB">
        <w:rPr>
          <w:rFonts w:ascii="Times New Roman" w:hAnsi="Times New Roman"/>
        </w:rPr>
        <w:t>1</w:t>
      </w:r>
      <w:r w:rsidRPr="00C43394" w:rsidR="00954D26">
        <w:rPr>
          <w:rFonts w:ascii="Times New Roman" w:hAnsi="Times New Roman"/>
        </w:rPr>
        <w:t>2</w:t>
      </w:r>
      <w:r w:rsidRPr="00C43394">
        <w:rPr>
          <w:rFonts w:ascii="Times New Roman" w:hAnsi="Times New Roman"/>
        </w:rPr>
        <w:t xml:space="preserve"> navrhuje zaradiť jednu rizikovú látku (alfa PVP) medzi psychotropné látky I. skupiny.</w:t>
      </w:r>
    </w:p>
    <w:p w:rsidR="005F32AD" w:rsidP="005F32A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1528CA" w:rsidRPr="00C43394" w:rsidP="005F32A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5F32AD" w:rsidRPr="00C43394" w:rsidP="001437EC">
      <w:pPr>
        <w:pStyle w:val="ListParagraph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  <w:b/>
        </w:rPr>
      </w:pPr>
    </w:p>
    <w:p w:rsidR="005F32AD" w:rsidRPr="00C43394" w:rsidP="008A1606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C43394">
        <w:rPr>
          <w:rFonts w:ascii="Times New Roman" w:hAnsi="Times New Roman"/>
        </w:rPr>
        <w:t>Na základe rozhodnutia č. 59/1 prijat</w:t>
      </w:r>
      <w:r w:rsidRPr="00C43394" w:rsidR="00A25184">
        <w:rPr>
          <w:rFonts w:ascii="Times New Roman" w:hAnsi="Times New Roman"/>
        </w:rPr>
        <w:t>ého</w:t>
      </w:r>
      <w:r w:rsidRPr="00C43394">
        <w:rPr>
          <w:rFonts w:ascii="Times New Roman" w:hAnsi="Times New Roman"/>
        </w:rPr>
        <w:t xml:space="preserve"> na 59. zasadnutí Komisie pre omamné látky Úradu OSN pre omamné látky a zločinnosť sa navrhuje zaradiť látku a</w:t>
      </w:r>
      <w:r w:rsidRPr="00C43394">
        <w:rPr>
          <w:rFonts w:ascii="Times New Roman" w:hAnsi="Times New Roman"/>
          <w:bCs/>
        </w:rPr>
        <w:t xml:space="preserve">cetylfentanyl, chemicky </w:t>
      </w:r>
      <w:r w:rsidRPr="00C43394" w:rsidR="008A1606">
        <w:rPr>
          <w:rFonts w:ascii="Times" w:hAnsi="Times" w:cs="Times"/>
          <w:sz w:val="25"/>
          <w:szCs w:val="25"/>
        </w:rPr>
        <w:t>N-fenyl-N-[1-(2-fenyletyl)piperidín-4-yl]etánamid</w:t>
      </w:r>
      <w:r w:rsidRPr="00C43394" w:rsidR="008A1606">
        <w:rPr>
          <w:rFonts w:ascii="Times New Roman" w:hAnsi="Times New Roman"/>
          <w:bCs/>
        </w:rPr>
        <w:t xml:space="preserve"> </w:t>
      </w:r>
      <w:r w:rsidRPr="00C43394">
        <w:rPr>
          <w:rFonts w:ascii="Times New Roman" w:hAnsi="Times New Roman"/>
        </w:rPr>
        <w:t>medzi omamné látky I. skupiny.</w:t>
      </w:r>
    </w:p>
    <w:p w:rsidR="001437EC" w:rsidP="003E6BB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3E6BBB" w:rsidRPr="00C43394" w:rsidP="001437EC">
      <w:pPr>
        <w:pStyle w:val="ListParagraph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  <w:b/>
        </w:rPr>
      </w:pPr>
    </w:p>
    <w:p w:rsidR="005D7BE7" w:rsidRPr="00C43394" w:rsidP="008A160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43394" w:rsidR="003E6BBB">
        <w:rPr>
          <w:rFonts w:ascii="Times New Roman" w:hAnsi="Times New Roman"/>
        </w:rPr>
        <w:t xml:space="preserve">Na základe rozhodnutia prijatého na 60. zasadnutí Komisie pre omamné látky Úradu OSN pre omamné látky a zločinnosť sa navrhuje zaradiť látku </w:t>
      </w:r>
      <w:r w:rsidRPr="00C43394">
        <w:rPr>
          <w:rFonts w:ascii="Times New Roman" w:hAnsi="Times New Roman"/>
        </w:rPr>
        <w:t>b</w:t>
      </w:r>
      <w:r w:rsidRPr="00C43394" w:rsidR="003E6BBB">
        <w:rPr>
          <w:rFonts w:ascii="Times New Roman" w:hAnsi="Times New Roman"/>
          <w:bCs/>
        </w:rPr>
        <w:t>utyr</w:t>
      </w:r>
      <w:r w:rsidRPr="00C43394" w:rsidR="003E6BBB">
        <w:rPr>
          <w:rFonts w:ascii="Times New Roman" w:hAnsi="Times New Roman"/>
        </w:rPr>
        <w:t xml:space="preserve">fentanyl, chemicky </w:t>
      </w:r>
      <w:r w:rsidRPr="00C43394" w:rsidR="008A1606">
        <w:rPr>
          <w:rFonts w:ascii="Times" w:hAnsi="Times" w:cs="Times"/>
          <w:sz w:val="25"/>
          <w:szCs w:val="25"/>
        </w:rPr>
        <w:t>N-fenyl-N-[1-(2-fenyletyl)-piperidín-4-yl]butánamid</w:t>
      </w:r>
      <w:r w:rsidRPr="00C43394" w:rsidR="008A1606">
        <w:rPr>
          <w:rFonts w:ascii="Times New Roman" w:hAnsi="Times New Roman"/>
        </w:rPr>
        <w:t xml:space="preserve"> </w:t>
      </w:r>
      <w:r w:rsidRPr="00C43394">
        <w:rPr>
          <w:rFonts w:ascii="Times New Roman" w:hAnsi="Times New Roman"/>
        </w:rPr>
        <w:t>medzi omamné látky I. skupiny.</w:t>
      </w:r>
    </w:p>
    <w:p w:rsidR="005F32AD" w:rsidRPr="00C43394" w:rsidP="00FD3652">
      <w:pPr>
        <w:bidi w:val="0"/>
        <w:spacing w:line="360" w:lineRule="auto"/>
        <w:ind w:firstLine="708"/>
        <w:jc w:val="both"/>
        <w:rPr>
          <w:rFonts w:ascii="Times New Roman" w:hAnsi="Times New Roman"/>
          <w:color w:val="444444"/>
        </w:rPr>
      </w:pPr>
      <w:r w:rsidRPr="00C43394" w:rsidR="00197FD0">
        <w:rPr>
          <w:rFonts w:ascii="Times New Roman" w:hAnsi="Times New Roman"/>
          <w:color w:val="444444"/>
        </w:rPr>
        <w:t xml:space="preserve">Podľa hodnotenia </w:t>
      </w:r>
      <w:r w:rsidRPr="00C43394" w:rsidR="00694315">
        <w:rPr>
          <w:rFonts w:ascii="Times New Roman" w:hAnsi="Times New Roman"/>
          <w:color w:val="444444"/>
        </w:rPr>
        <w:t xml:space="preserve">odborného výboru pre drogovú závislosť WHO (ďalej len „odborný výbor“) </w:t>
      </w:r>
      <w:r w:rsidRPr="00C43394" w:rsidR="00197FD0">
        <w:rPr>
          <w:rFonts w:ascii="Times New Roman" w:hAnsi="Times New Roman"/>
          <w:color w:val="444444"/>
        </w:rPr>
        <w:t xml:space="preserve">je butyrfentanyl látka, ktorú možno zneužívať podobným spôsobom a ktorá môže mať podobné negatívne účinky na zdravie ako kontrolované opioidy, ako je morfín a fentanyl. Okrem toho možno uvedenú látku konvertovať na fentanyl. Uvedená látka nemá žiadne zaznamenané terapeutické použitie a jej užívanie spôsobilo úmrtia. Existujú dostatočné dôkazy, že uvedená látka sa zneužíva alebo ju možno zneužívať, pričom sa môže stať verejným zdravotným a sociálnym problémom, čo si vyžaduje, aby podliehala medzinárodnej kontrole. </w:t>
      </w:r>
    </w:p>
    <w:p w:rsidR="00197FD0" w:rsidRPr="00C43394" w:rsidP="00FD365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  <w:color w:val="444444"/>
        </w:rPr>
        <w:t>Látku butyrfentanyl monitoruje Európske monitorovacie centrum pre drogy a drogovú závislosť ako novú psychoaktívnu látku na základe podmienok rozhodnutia 2005/387/SVV. Zatiaľ sa objavila v šiestich členských štátoch. Otvorene sa predáva na trhu. Spája sa so závažnými nežiaducimi udalosťami vrátane prípadu, keď sa zistilo najmenej jedno úmrtie a je predmetom výstrahy v záujme ochrany verejného zdravia zadanej do systému včasného varovania Európskej únie.</w:t>
      </w:r>
    </w:p>
    <w:p w:rsidR="00EF7501" w:rsidRPr="00C43394" w:rsidP="005F32A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5F32AD" w:rsidRPr="00C43394" w:rsidP="001437EC">
      <w:pPr>
        <w:pStyle w:val="ListParagraph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  <w:b/>
        </w:rPr>
      </w:pPr>
    </w:p>
    <w:p w:rsidR="005F32AD" w:rsidRPr="00C43394" w:rsidP="00FD365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Na základe rozhodnutia č. 59/2 prijat</w:t>
      </w:r>
      <w:r w:rsidRPr="00C43394" w:rsidR="00A25184">
        <w:rPr>
          <w:rFonts w:ascii="Times New Roman" w:hAnsi="Times New Roman"/>
        </w:rPr>
        <w:t>ého</w:t>
      </w:r>
      <w:r w:rsidRPr="00C43394">
        <w:rPr>
          <w:rFonts w:ascii="Times New Roman" w:hAnsi="Times New Roman"/>
        </w:rPr>
        <w:t xml:space="preserve"> na 59. zasadnutí Komisie pre omamné látky Úradu OSN pre omamné látky a zločinnosť sa navrhuje zaradiť látku MT-45, chemicky 1-Cyklohexyl-4-(1,2-difenyletyl)piperazín medzi omamné látky I. skupiny.</w:t>
      </w:r>
    </w:p>
    <w:p w:rsidR="0013037A" w:rsidP="00FD3652">
      <w:pPr>
        <w:bidi w:val="0"/>
        <w:spacing w:line="360" w:lineRule="auto"/>
        <w:ind w:firstLine="708"/>
        <w:jc w:val="both"/>
        <w:rPr>
          <w:rFonts w:ascii="Times" w:hAnsi="Times" w:cs="Times"/>
          <w:sz w:val="25"/>
          <w:szCs w:val="25"/>
        </w:rPr>
      </w:pPr>
      <w:r w:rsidRPr="00C43394">
        <w:rPr>
          <w:rFonts w:ascii="Times" w:hAnsi="Times" w:cs="Times"/>
          <w:sz w:val="25"/>
          <w:szCs w:val="25"/>
        </w:rPr>
        <w:t>Zaradenie látky MT-45 medzi omamné látky I. skupiny a látky 4,4′-DMAR medzi psychotropné látky I. skupiny si vyžaduje aj vykonávacie rozhodnutie Rady (EÚ) 2015/1873 z 8. októbra 2015 o podrobení 4-metyl-5-(4-metylfenyl)-4,5-dihydrooxazol-2-amínu (4,4′-DMAR) a 1-cyklohexyl-4-(1,2-difenyletyl)piperazínu (MT-45) kontrolným opatreniam (Ú. v. EÚ L 275, 20.10.2015).</w:t>
      </w:r>
    </w:p>
    <w:p w:rsidR="00C43394" w:rsidRPr="00C43394" w:rsidP="00FD365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F32AD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F32AD" w:rsidRPr="00C43394" w:rsidP="008A1606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  <w:b w:val="0"/>
        </w:rPr>
        <w:t>Na základe rozhodnutia č. 59/4 prijat</w:t>
      </w:r>
      <w:r w:rsidRPr="00C43394" w:rsidR="003E7AFA">
        <w:rPr>
          <w:rFonts w:ascii="Times New Roman" w:hAnsi="Times New Roman"/>
          <w:b w:val="0"/>
        </w:rPr>
        <w:t>ého</w:t>
      </w:r>
      <w:r w:rsidRPr="00C43394">
        <w:rPr>
          <w:rFonts w:ascii="Times New Roman" w:hAnsi="Times New Roman"/>
          <w:b w:val="0"/>
        </w:rPr>
        <w:t xml:space="preserve"> na 59. zasadnutí Komisie pre omamné látky Úradu OSN pre omamné látky a zločinnosť sa navrhuje zaradiť látku </w:t>
      </w:r>
      <w:r w:rsidRPr="00C43394">
        <w:rPr>
          <w:rFonts w:ascii="Times New Roman" w:hAnsi="Times New Roman"/>
        </w:rPr>
        <w:t xml:space="preserve"> </w:t>
      </w:r>
      <w:r w:rsidRPr="00C43394">
        <w:rPr>
          <w:rFonts w:ascii="Times New Roman" w:hAnsi="Times New Roman"/>
          <w:b w:val="0"/>
        </w:rPr>
        <w:t xml:space="preserve">alfa-pyrolidínovalerofenón   (alfa-PVP),   chemicky    </w:t>
      </w:r>
      <w:r w:rsidRPr="00C43394" w:rsidR="008A1606">
        <w:rPr>
          <w:rFonts w:ascii="Times" w:hAnsi="Times" w:cs="Times"/>
          <w:b w:val="0"/>
          <w:sz w:val="25"/>
          <w:szCs w:val="25"/>
        </w:rPr>
        <w:t>1-fenyl-2-(pyrolidín-1-yl)pentán-1-ón</w:t>
      </w:r>
      <w:r w:rsidRPr="00C43394" w:rsidR="008A1606">
        <w:rPr>
          <w:rFonts w:ascii="Times New Roman" w:hAnsi="Times New Roman"/>
          <w:b w:val="0"/>
        </w:rPr>
        <w:t xml:space="preserve"> </w:t>
      </w:r>
      <w:r w:rsidRPr="00C43394">
        <w:rPr>
          <w:rFonts w:ascii="Times New Roman" w:hAnsi="Times New Roman"/>
          <w:b w:val="0"/>
        </w:rPr>
        <w:t xml:space="preserve">medzi psychotropné látky I. skupiny.  </w:t>
      </w:r>
    </w:p>
    <w:p w:rsidR="005F32AD" w:rsidRPr="00C43394" w:rsidP="00FD3652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  <w:b w:val="0"/>
        </w:rPr>
        <w:t>Zaradenie tejto látky medzi psychotropné látky I. skupiny, ktorá je v súčasnosti považovaná v Slovenskej republike za rizikovú látku</w:t>
      </w:r>
      <w:r w:rsidRPr="00C43394" w:rsidR="003E7AFA">
        <w:rPr>
          <w:rFonts w:ascii="Times New Roman" w:hAnsi="Times New Roman"/>
          <w:b w:val="0"/>
        </w:rPr>
        <w:t>,</w:t>
      </w:r>
      <w:r w:rsidRPr="00C43394">
        <w:rPr>
          <w:rFonts w:ascii="Times New Roman" w:hAnsi="Times New Roman"/>
          <w:b w:val="0"/>
        </w:rPr>
        <w:t xml:space="preserve"> vyžaduje aj vykonávacie rozhodnutie Rady (EÚ) 2016/1070 z 27. júna 2016 o podrobení  1-fenyl-2-(1-pyrolidinyl)-1-pentanónu, alfa-PVP kontrolným opatreniam. Táto látka patrí do skupiny syntetických katinónov. </w:t>
      </w:r>
    </w:p>
    <w:p w:rsidR="005D7BE7" w:rsidRPr="00C43394" w:rsidP="005D7BE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5F32AD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F32AD" w:rsidRPr="00C43394" w:rsidP="008A1606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  <w:bCs w:val="0"/>
        </w:rPr>
      </w:pPr>
      <w:r w:rsidRPr="00C43394">
        <w:rPr>
          <w:rFonts w:ascii="Times New Roman" w:hAnsi="Times New Roman"/>
          <w:b w:val="0"/>
        </w:rPr>
        <w:t>Na základe rozhodnutia č. 59/5 prijat</w:t>
      </w:r>
      <w:r w:rsidRPr="00C43394" w:rsidR="003E7AFA">
        <w:rPr>
          <w:rFonts w:ascii="Times New Roman" w:hAnsi="Times New Roman"/>
          <w:b w:val="0"/>
        </w:rPr>
        <w:t>ého</w:t>
      </w:r>
      <w:r w:rsidRPr="00C43394">
        <w:rPr>
          <w:rFonts w:ascii="Times New Roman" w:hAnsi="Times New Roman"/>
          <w:b w:val="0"/>
        </w:rPr>
        <w:t xml:space="preserve"> na 59. zasadnutí Komisie pre omamné látky Úradu OSN pre omamné látky a zločinnosť sa navrhuje zaradiť látku  </w:t>
      </w:r>
      <w:r w:rsidRPr="00C43394">
        <w:rPr>
          <w:rFonts w:ascii="Times New Roman" w:hAnsi="Times New Roman"/>
          <w:b w:val="0"/>
          <w:bCs w:val="0"/>
        </w:rPr>
        <w:t>4,4'- dimetylaminorex, para-metyl-4-metylaminorex, 4,4´- DMAR, chemicky</w:t>
      </w:r>
      <w:r w:rsidRPr="00C43394" w:rsidR="008A1606">
        <w:rPr>
          <w:rFonts w:ascii="Times New Roman" w:hAnsi="Times New Roman"/>
          <w:b w:val="0"/>
          <w:bCs w:val="0"/>
        </w:rPr>
        <w:t xml:space="preserve"> </w:t>
      </w:r>
      <w:r w:rsidRPr="00C43394" w:rsidR="008A1606">
        <w:rPr>
          <w:rFonts w:ascii="Times" w:hAnsi="Times" w:cs="Times"/>
          <w:b w:val="0"/>
          <w:sz w:val="25"/>
          <w:szCs w:val="25"/>
        </w:rPr>
        <w:t>4-metyl-5-(4-metylfenyl)-4,5-dihydro-1,3-oxazol-2-amín</w:t>
      </w:r>
      <w:r w:rsidRPr="00C43394" w:rsidR="008A1606">
        <w:rPr>
          <w:rFonts w:ascii="Times New Roman" w:hAnsi="Times New Roman"/>
          <w:b w:val="0"/>
          <w:bCs w:val="0"/>
        </w:rPr>
        <w:t xml:space="preserve"> </w:t>
      </w:r>
      <w:r w:rsidRPr="00C43394">
        <w:rPr>
          <w:rFonts w:ascii="Times New Roman" w:hAnsi="Times New Roman"/>
          <w:b w:val="0"/>
        </w:rPr>
        <w:t xml:space="preserve">medzi psychotropné látky I. skupiny.  </w:t>
      </w:r>
    </w:p>
    <w:p w:rsidR="0013037A" w:rsidRPr="00C43394" w:rsidP="00FD3652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</w:p>
    <w:p w:rsidR="005D7BE7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D7BE7" w:rsidRPr="00C43394" w:rsidP="001437EC">
      <w:pPr>
        <w:tabs>
          <w:tab w:val="left" w:pos="284"/>
        </w:tabs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Na základe rozhodnutia prijatého na 60. zasadnutí Komisie pre omamné látky Úradu OSN pre omamné látky a zločinnosť sa navrhuje zaradiť látku</w:t>
      </w:r>
      <w:r w:rsidRPr="00C43394">
        <w:rPr>
          <w:rFonts w:ascii="Times New Roman" w:hAnsi="Times New Roman"/>
          <w:color w:val="000000"/>
        </w:rPr>
        <w:t xml:space="preserve"> e</w:t>
      </w:r>
      <w:r w:rsidRPr="00C43394">
        <w:rPr>
          <w:rFonts w:ascii="Times New Roman" w:hAnsi="Times New Roman"/>
          <w:bCs/>
        </w:rPr>
        <w:t xml:space="preserve">tylfenidát, chemicky (RS)-etyl-2-fenyl-2-piperidin-2-ylacetát a látku etylón, MDEC, </w:t>
      </w:r>
      <w:r w:rsidRPr="00C43394">
        <w:rPr>
          <w:rFonts w:ascii="Times New Roman" w:hAnsi="Times New Roman"/>
          <w:bCs/>
          <w:lang w:val="en"/>
        </w:rPr>
        <w:t xml:space="preserve">βk-MDEA, </w:t>
      </w:r>
      <w:r w:rsidRPr="00C43394">
        <w:rPr>
          <w:rFonts w:ascii="Times New Roman" w:hAnsi="Times New Roman"/>
          <w:bCs/>
        </w:rPr>
        <w:t>chemicky (RS)-1-(1,3-benzodioxol-5-yl)-2-(etylamino)propán-1-ón</w:t>
      </w:r>
      <w:r w:rsidRPr="00C43394">
        <w:rPr>
          <w:rFonts w:ascii="Times New Roman" w:hAnsi="Times New Roman"/>
          <w:b/>
          <w:bCs/>
          <w:lang w:val="en"/>
        </w:rPr>
        <w:t xml:space="preserve"> </w:t>
      </w:r>
      <w:r w:rsidRPr="00C43394">
        <w:rPr>
          <w:rFonts w:ascii="Times New Roman" w:hAnsi="Times New Roman"/>
        </w:rPr>
        <w:t xml:space="preserve">medzi psychotropné látky I. skupiny.  </w:t>
      </w:r>
    </w:p>
    <w:p w:rsidR="00197FD0" w:rsidRPr="00C43394" w:rsidP="003C5399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 xml:space="preserve">Podľa hodnotenia odborného výboru je stupeň rizika pre verejné zdravie a spoločnosť súvisiaceho so zneužívaním látky etylfenidát  podstatný. Terapeutická užitočnosť látky etylfenidát nebola zaznamenaná. Odborný výbor uznal, že látka etylfenidát má podobný potenciál zneužívania a podobné negatívne účinky na zdravie ako látky </w:t>
      </w:r>
      <w:r w:rsidRPr="00C43394" w:rsidR="001718C8">
        <w:rPr>
          <w:rFonts w:ascii="Times New Roman" w:hAnsi="Times New Roman"/>
          <w:color w:val="444444"/>
        </w:rPr>
        <w:t>už zaradené</w:t>
      </w:r>
      <w:r w:rsidRPr="00C43394" w:rsidR="001718C8">
        <w:rPr>
          <w:rFonts w:ascii="Times New Roman" w:hAnsi="Times New Roman"/>
          <w:b/>
          <w:color w:val="444444"/>
        </w:rPr>
        <w:t xml:space="preserve"> </w:t>
      </w:r>
      <w:r w:rsidRPr="00C43394" w:rsidR="001718C8">
        <w:rPr>
          <w:rFonts w:ascii="Times New Roman" w:hAnsi="Times New Roman"/>
        </w:rPr>
        <w:t xml:space="preserve">medzi psychotropné látky I. skupiny. </w:t>
      </w:r>
      <w:r w:rsidRPr="00C43394">
        <w:rPr>
          <w:rFonts w:ascii="Times New Roman" w:hAnsi="Times New Roman"/>
          <w:color w:val="444444"/>
        </w:rPr>
        <w:t xml:space="preserve"> Odborný výbor sa domnieva, že existujú dostatočné dôkazy o zneužívaní alebo možnom zneužívaní látky etylfenidát na to, aby predstavovala verejný zdravotný a spoločenský problém, čo si vyžaduje, aby podliehala medzinárodnej kontrole. </w:t>
      </w:r>
    </w:p>
    <w:p w:rsidR="001718C8" w:rsidRPr="00C43394" w:rsidP="003C5399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Látku etylfenidát monitoruje Európske monitorovacie centrum pre drogy a drogovú závislosť ako novú psychoaktívnu látku na základe podmienok rozhodnutia 2005/387/SVV. Zatiaľ sa objavila v 13 členských štátoch. Otvorene sa predáva na trhu. Spája sa so závažnými nežiaducimi udalosťami vrátane infekcií mäkkých tkanív a úmrtí. Infekcie mäkkých tkanív súvisiace s injekčnou aplikáciou sú predmetom výstrahy v záujme ochrany verejného zdravia zadanej do systému včasného varovania Európskej únie.</w:t>
      </w:r>
    </w:p>
    <w:p w:rsidR="001718C8" w:rsidRPr="00C43394" w:rsidP="003C5399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Podľa hodnotenia odborného výboru je stupeň rizika pre verejné zdravie a spoločnosť, ktorý je spojený so zneužívaním látky etylón  podstatný. Terapeutická užitočnosť látky etylón nebola zaznamenaná. Odborný výbor pre drogovú závislosť uznal, že látka etylón má podobný potenciál zneužívania a podobný negatívny vplyv na zdravie ako látky už zaradené</w:t>
      </w:r>
      <w:r w:rsidRPr="00C43394">
        <w:rPr>
          <w:rFonts w:ascii="Times New Roman" w:hAnsi="Times New Roman"/>
          <w:b/>
          <w:color w:val="444444"/>
        </w:rPr>
        <w:t xml:space="preserve"> </w:t>
      </w:r>
      <w:r w:rsidRPr="00C43394">
        <w:rPr>
          <w:rFonts w:ascii="Times New Roman" w:hAnsi="Times New Roman"/>
        </w:rPr>
        <w:t xml:space="preserve">medzi psychotropné látky I. skupiny. </w:t>
      </w:r>
      <w:r w:rsidRPr="00C43394">
        <w:rPr>
          <w:rFonts w:ascii="Times New Roman" w:hAnsi="Times New Roman"/>
          <w:color w:val="444444"/>
        </w:rPr>
        <w:t xml:space="preserve"> Odborný výbor sa domnieva, že existujú dostatočné dôkazy o zneužívaní alebo možnom zneužívaní látky etylón na to, aby predstavovala verejný zdravotný a spoločenský problém, čo si vyžaduje, aby podliehala medzinárodnej kontrole. </w:t>
      </w:r>
    </w:p>
    <w:p w:rsidR="001718C8" w:rsidP="003C5399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Látku etylón monitoruje Európske monitorovacie centrum pre drogy a drogovú závislosť ako novú psychoaktívnu látku na základe podmienok rozhodnutia 2005/387/SVV. Zatiaľ sa objavila v 19 členských štátoch. Otvorene sa predáva na trhu. Spája sa s malým počtom závažných nežiaducich udalostí vrátane úmrtí.</w:t>
      </w:r>
    </w:p>
    <w:p w:rsidR="00CC1CC8" w:rsidRPr="00C43394" w:rsidP="00CC1CC8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  <w:bCs w:val="0"/>
          <w:lang w:val="en"/>
        </w:rPr>
      </w:pPr>
      <w:r w:rsidRPr="00C43394">
        <w:rPr>
          <w:rFonts w:ascii="Times New Roman" w:hAnsi="Times New Roman"/>
          <w:b w:val="0"/>
        </w:rPr>
        <w:t xml:space="preserve">Na základe rozhodnutia prijatého na 60. zasadnutí Komisie pre omamné látky Úradu OSN pre omamné látky a zločinnosť sa navrhuje zaradiť látku </w:t>
      </w:r>
      <w:r w:rsidRPr="00C43394">
        <w:rPr>
          <w:rFonts w:ascii="Times New Roman" w:hAnsi="Times New Roman"/>
          <w:b w:val="0"/>
          <w:color w:val="000000"/>
        </w:rPr>
        <w:t xml:space="preserve">5F-APINICA, </w:t>
      </w:r>
      <w:r w:rsidRPr="00C43394">
        <w:rPr>
          <w:rFonts w:ascii="Times New Roman" w:hAnsi="Times New Roman"/>
          <w:b w:val="0"/>
          <w:bCs w:val="0"/>
          <w:lang w:val="en"/>
        </w:rPr>
        <w:t xml:space="preserve">5F-AKB48, </w:t>
      </w:r>
      <w:r w:rsidRPr="00C43394">
        <w:rPr>
          <w:rFonts w:ascii="Times New Roman" w:hAnsi="Times New Roman"/>
          <w:b w:val="0"/>
          <w:bCs w:val="0"/>
        </w:rPr>
        <w:t>chemicky</w:t>
      </w:r>
      <w:r w:rsidRPr="00C43394">
        <w:rPr>
          <w:rFonts w:ascii="Times New Roman" w:hAnsi="Times New Roman"/>
          <w:b w:val="0"/>
          <w:bCs w:val="0"/>
          <w:lang w:val="en"/>
        </w:rPr>
        <w:t xml:space="preserve"> </w:t>
      </w:r>
      <w:r w:rsidRPr="00C43394">
        <w:rPr>
          <w:rFonts w:ascii="Times" w:hAnsi="Times" w:cs="Times"/>
          <w:b w:val="0"/>
          <w:sz w:val="25"/>
          <w:szCs w:val="25"/>
        </w:rPr>
        <w:t>N-(adamantán-1-yl)-1-(5-fluórpent-1-yl)-1H-indazol-3-karboxamid</w:t>
      </w:r>
      <w:r w:rsidRPr="00C43394">
        <w:rPr>
          <w:rFonts w:ascii="Times New Roman" w:hAnsi="Times New Roman"/>
          <w:b w:val="0"/>
          <w:bCs w:val="0"/>
          <w:lang w:val="en"/>
        </w:rPr>
        <w:t xml:space="preserve"> </w:t>
      </w:r>
      <w:r w:rsidRPr="00C43394">
        <w:rPr>
          <w:rFonts w:ascii="Times New Roman" w:hAnsi="Times New Roman"/>
          <w:b w:val="0"/>
        </w:rPr>
        <w:t xml:space="preserve">medzi psychotropné látky I. skupiny.  </w:t>
      </w:r>
    </w:p>
    <w:p w:rsidR="00CC1CC8" w:rsidRPr="00C43394" w:rsidP="00CC1CC8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  <w:color w:val="444444"/>
        </w:rPr>
      </w:pPr>
      <w:r w:rsidRPr="00C43394">
        <w:rPr>
          <w:rFonts w:ascii="Times New Roman" w:hAnsi="Times New Roman"/>
          <w:b w:val="0"/>
          <w:color w:val="444444"/>
        </w:rPr>
        <w:t xml:space="preserve">Podľa hodnotenia odborného výboru je stupeň rizika pre verejné zdravie a spoločnosť súvisiaceho so zneužívaním látky 5F-APINACA alebo 5F-AKB-48 podstatný. Terapeutická užitočnosť látky 5F-APINACA nebola zaznamenaná. Odborný výbor uznal, že látka 5F-APINACA má podobný potenciál zneužívania a podobné negatívne účinky na zdravie ako látky už zaradené </w:t>
      </w:r>
      <w:r w:rsidRPr="00C43394">
        <w:rPr>
          <w:rFonts w:ascii="Times New Roman" w:hAnsi="Times New Roman"/>
          <w:b w:val="0"/>
        </w:rPr>
        <w:t xml:space="preserve">medzi psychotropné látky I. skupiny.  </w:t>
      </w:r>
      <w:r w:rsidRPr="00C43394">
        <w:rPr>
          <w:rFonts w:ascii="Times New Roman" w:hAnsi="Times New Roman"/>
          <w:b w:val="0"/>
          <w:color w:val="444444"/>
        </w:rPr>
        <w:t xml:space="preserve">Odborný výbor sa domnieva, že existujú dostatočné dôkazy o zneužívaní alebo možnom zneužívaní látky 5F-APINACA na to, aby predstavovala verejný zdravotný a spoločenský problém, čo si vyžaduje, aby podliehala medzinárodnej kontrole. </w:t>
      </w:r>
    </w:p>
    <w:p w:rsidR="00CC1CC8" w:rsidRPr="00C43394" w:rsidP="00CC1CC8">
      <w:pPr>
        <w:pStyle w:val="Title"/>
        <w:bidi w:val="0"/>
        <w:spacing w:line="360" w:lineRule="auto"/>
        <w:ind w:firstLine="708"/>
        <w:jc w:val="both"/>
        <w:rPr>
          <w:rFonts w:ascii="Times New Roman" w:hAnsi="Times New Roman"/>
          <w:b w:val="0"/>
        </w:rPr>
      </w:pPr>
      <w:r w:rsidRPr="00C43394">
        <w:rPr>
          <w:rFonts w:ascii="Times New Roman" w:hAnsi="Times New Roman"/>
          <w:b w:val="0"/>
          <w:color w:val="444444"/>
        </w:rPr>
        <w:t>Látku 5F-APINACA monitoruje Európske monitorovacie centrum pre drogy a drogovú závislosť ako novú psychoaktívnu látku na základe podmienok rozhodnutia 2005/387/SVV. Zatiaľ sa objavila v 23 členských štátoch. Otvorene sa predáva na trhu. Spája sa so závažnými nežiaducimi udalosťami vrátane úmrtí.</w:t>
      </w:r>
    </w:p>
    <w:p w:rsidR="005D7BE7" w:rsidRPr="00C43394" w:rsidP="005D7BE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5F32AD" w:rsidRPr="00C43394" w:rsidP="001437EC">
      <w:pPr>
        <w:pStyle w:val="Title"/>
        <w:numPr>
          <w:numId w:val="2"/>
        </w:numPr>
        <w:bidi w:val="0"/>
        <w:spacing w:line="360" w:lineRule="auto"/>
        <w:ind w:hanging="1353"/>
        <w:jc w:val="both"/>
        <w:rPr>
          <w:rFonts w:ascii="Times New Roman" w:hAnsi="Times New Roman"/>
        </w:rPr>
      </w:pPr>
    </w:p>
    <w:p w:rsidR="005F32AD" w:rsidRPr="00C43394" w:rsidP="005F32AD">
      <w:pPr>
        <w:widowControl w:val="0"/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C43394" w:rsidR="00FD3652">
        <w:rPr>
          <w:rFonts w:ascii="Times New Roman" w:hAnsi="Times New Roman"/>
        </w:rPr>
        <w:tab/>
      </w:r>
      <w:r w:rsidRPr="00C43394">
        <w:rPr>
          <w:rFonts w:ascii="Times New Roman" w:hAnsi="Times New Roman"/>
        </w:rPr>
        <w:t xml:space="preserve">V súlade s článkom 6 rozhodnutia Rady </w:t>
      </w:r>
      <w:r w:rsidRPr="00C43394">
        <w:rPr>
          <w:rFonts w:ascii="Times New Roman" w:hAnsi="Times New Roman"/>
          <w:color w:val="000000"/>
          <w:bdr w:val="nil"/>
          <w:lang w:eastAsia="en-GB"/>
        </w:rPr>
        <w:t xml:space="preserve">2005/387/JHA o výmene informácií týkajúcich sa hodnotenia rizík a kontroly nových psychoaktívnych látok </w:t>
      </w:r>
      <w:r w:rsidRPr="00C43394">
        <w:rPr>
          <w:rFonts w:ascii="Times New Roman" w:hAnsi="Times New Roman"/>
        </w:rPr>
        <w:t xml:space="preserve"> sa navrhuje doplniť novú psychoaktívnu látku MDMB-CHMICA medzi psychotropné látky I. skupiny na základe hodnotenia rizík novej psychoaktívnej látky.  Uvedená látka je kontrolovaná v desiatich členských štátoch Európskej únie (Dánsko, Estónsko, Fínsko, Grécko, Chorvátsko, Litva, Lotyšsko, Luxembursko, </w:t>
      </w:r>
      <w:r w:rsidRPr="00C43394" w:rsidR="0013037A">
        <w:rPr>
          <w:rFonts w:ascii="Times New Roman" w:hAnsi="Times New Roman"/>
        </w:rPr>
        <w:t xml:space="preserve">Maďarsko a Nemecko) a v Turecku a na základe </w:t>
      </w:r>
      <w:r w:rsidRPr="00C43394" w:rsidR="0013037A">
        <w:rPr>
          <w:rFonts w:ascii="Times" w:hAnsi="Times" w:cs="Times"/>
          <w:sz w:val="25"/>
          <w:szCs w:val="25"/>
        </w:rPr>
        <w:t>vykonávacieho rozhodnutia Rady (EÚ) 2017/369 z 27. februára 2017 o podrobení metyl 2-[[1-(cyklohexylmetyl)-1H-indol-3-karbonyl]amino]-3,3-dimetylbutanoát (MDMB-CHMICA) kontrolným opatreniam (Ú. v. EÚ L 56, 3.3.2017) bude látka MDMB-CHMICA podrobená kontrolným op</w:t>
      </w:r>
      <w:r w:rsidRPr="00C43394" w:rsidR="00AC1FBD">
        <w:rPr>
          <w:rFonts w:ascii="Times" w:hAnsi="Times" w:cs="Times"/>
          <w:sz w:val="25"/>
          <w:szCs w:val="25"/>
        </w:rPr>
        <w:t>atreniam vo všetkých členských štátoch Európskej únie.</w:t>
      </w:r>
      <w:r w:rsidRPr="00C43394" w:rsidR="0013037A">
        <w:rPr>
          <w:rFonts w:ascii="Times" w:hAnsi="Times" w:cs="Times"/>
          <w:sz w:val="25"/>
          <w:szCs w:val="25"/>
        </w:rPr>
        <w:t xml:space="preserve"> </w:t>
      </w:r>
    </w:p>
    <w:p w:rsidR="005F32AD" w:rsidRPr="00C43394" w:rsidP="005F32AD">
      <w:pPr>
        <w:widowControl w:val="0"/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C43394" w:rsidR="00FD3652">
        <w:rPr>
          <w:rFonts w:ascii="Times New Roman" w:hAnsi="Times New Roman"/>
        </w:rPr>
        <w:tab/>
      </w:r>
      <w:r w:rsidRPr="00C43394">
        <w:rPr>
          <w:rFonts w:ascii="Times New Roman" w:hAnsi="Times New Roman"/>
        </w:rPr>
        <w:t>Látka MDMB-CHMICA sa  objavila v 23 členských štátoch Európskej únie (Belgicko, Bulharsko, Cyprus, Dánsko, Estónsko, Fínsko, Francúzsko, Grécko, Holandsko, Chorvátsko, Litva, Lotyšsko, Luxembursko, Maďarsko, Nemecko, Poľsko, Rumunsko, Slovensko, Slovinsko, Spojené kráľovstvo, Španielsko a Švédsko), v Nórsku a Turecku.</w:t>
      </w:r>
    </w:p>
    <w:p w:rsidR="005F32AD" w:rsidRPr="00C43394" w:rsidP="005F32AD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  <w:color w:val="000000"/>
          <w:bdr w:val="nil"/>
          <w:lang w:eastAsia="en-GB"/>
        </w:rPr>
      </w:pPr>
      <w:r w:rsidRPr="00C43394" w:rsidR="00FD3652">
        <w:rPr>
          <w:rFonts w:ascii="Times New Roman" w:hAnsi="Times New Roman"/>
        </w:rPr>
        <w:tab/>
      </w:r>
      <w:r w:rsidRPr="00C43394">
        <w:rPr>
          <w:rFonts w:ascii="Times New Roman" w:hAnsi="Times New Roman"/>
        </w:rPr>
        <w:t xml:space="preserve">Látka MDMB-CHMICA sa predáva </w:t>
      </w:r>
      <w:r w:rsidRPr="00C43394" w:rsidR="003B4D34">
        <w:rPr>
          <w:rFonts w:ascii="Times New Roman" w:hAnsi="Times New Roman"/>
        </w:rPr>
        <w:t xml:space="preserve">chemickými spoločnosťami a prostredníctvom internetu </w:t>
      </w:r>
      <w:r w:rsidRPr="00C43394">
        <w:rPr>
          <w:rFonts w:ascii="Times New Roman" w:hAnsi="Times New Roman"/>
        </w:rPr>
        <w:t>ako prášok alebo v rôznych výrobkoch označených ako legálna náhrada konopy</w:t>
      </w:r>
      <w:r w:rsidRPr="00C43394" w:rsidR="003B4D34">
        <w:rPr>
          <w:rFonts w:ascii="Times New Roman" w:hAnsi="Times New Roman"/>
        </w:rPr>
        <w:t>.</w:t>
      </w:r>
    </w:p>
    <w:p w:rsidR="005F32AD" w:rsidRPr="00C43394" w:rsidP="005F32AD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  <w:color w:val="000000"/>
          <w:bdr w:val="nil"/>
          <w:lang w:eastAsia="en-GB"/>
        </w:rPr>
      </w:pPr>
      <w:r w:rsidRPr="00C43394" w:rsidR="00FD3652">
        <w:rPr>
          <w:rFonts w:ascii="Times New Roman" w:hAnsi="Times New Roman"/>
          <w:color w:val="000000"/>
          <w:bdr w:val="nil"/>
          <w:lang w:eastAsia="en-GB"/>
        </w:rPr>
        <w:tab/>
      </w:r>
      <w:r w:rsidRPr="00C43394">
        <w:rPr>
          <w:rFonts w:ascii="Times New Roman" w:hAnsi="Times New Roman"/>
          <w:color w:val="000000"/>
          <w:bdr w:val="nil"/>
          <w:lang w:eastAsia="en-GB"/>
        </w:rPr>
        <w:t>Látka MDMB-CHMICA sa  užíva fajčením rastlinnej zmesi vo forme ručne ušúľanej cigarety (joint) ale môže byť fajčená aj pomocou fajky alebo vodnej fajky (bong). Môže sa používať aj formou e-cigariet alebo iných odparovacích zariadení.</w:t>
      </w:r>
    </w:p>
    <w:p w:rsidR="005F32AD" w:rsidRPr="00C43394" w:rsidP="003C5399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rPr>
          <w:rFonts w:ascii="Times New Roman" w:hAnsi="Times New Roman"/>
          <w:color w:val="000000"/>
          <w:bdr w:val="nil"/>
          <w:lang w:eastAsia="en-GB"/>
        </w:rPr>
      </w:pPr>
      <w:r w:rsidRPr="00C43394" w:rsidR="00FD3652">
        <w:rPr>
          <w:rFonts w:ascii="Times New Roman" w:hAnsi="Times New Roman"/>
          <w:color w:val="000000"/>
          <w:bdr w:val="nil"/>
          <w:lang w:eastAsia="en-GB"/>
        </w:rPr>
        <w:tab/>
      </w:r>
      <w:r w:rsidRPr="00C43394">
        <w:rPr>
          <w:rFonts w:ascii="Times New Roman" w:hAnsi="Times New Roman"/>
          <w:color w:val="000000"/>
          <w:bdr w:val="nil"/>
          <w:lang w:eastAsia="en-GB"/>
        </w:rPr>
        <w:t>Zaznamenaných bolo  28 úmrtí po použití tejto látky.</w:t>
      </w:r>
    </w:p>
    <w:p w:rsidR="003B2691" w:rsidRPr="00C43394" w:rsidP="003C5399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Podľa hodnotenia odborného výboru je stupeň rizika pre verejné zdravie a spoločnosť súvisiaceho so zneužívaním látky MDMB-CHMICA podstatný. Terapeutická užitočnosť látky MDMB-CHMICA nebola zaznamenaná. Odborný výbor uznal, že látka MDMB-CHMICA má podobný potenciál zneužívania a podobný negatívny vplyv na zdravie ako látky už zaradené</w:t>
      </w:r>
      <w:r w:rsidRPr="00C43394">
        <w:rPr>
          <w:rFonts w:ascii="Times New Roman" w:hAnsi="Times New Roman"/>
          <w:b/>
          <w:color w:val="444444"/>
        </w:rPr>
        <w:t xml:space="preserve"> </w:t>
      </w:r>
      <w:r w:rsidRPr="00C43394">
        <w:rPr>
          <w:rFonts w:ascii="Times New Roman" w:hAnsi="Times New Roman"/>
        </w:rPr>
        <w:t>medzi psychotropné látky I. skupiny.</w:t>
      </w:r>
      <w:r w:rsidRPr="00C43394">
        <w:rPr>
          <w:rFonts w:ascii="Times New Roman" w:hAnsi="Times New Roman"/>
          <w:color w:val="444444"/>
        </w:rPr>
        <w:t xml:space="preserve"> Odborný výbor sa domnieva, že existujú dostatočné dôkazy o zneužívaní alebo možnom zneužívaní látky MDMB-CHMICA na to, aby predstavovala verejný zdravotný a spoločenský problém, čo si vyžaduje, aby podliehala medzinárodnej kontrole. </w:t>
      </w:r>
    </w:p>
    <w:p w:rsidR="003B2691" w:rsidRPr="00C43394" w:rsidP="003C5399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Podľa správy Európskeho monitorovacieho centra pre drogy a drogovú závislosť o hodnotení rizika vykonanej v súlade s článkom 6 ods. 2, 3 a 4 rozhodnutia 2005/387/SVV a predloženej Komisii a Rade 28. júla 2016, vysoká účinnosť látky MDMB-CHMICA a značne variabilné množstvá látky v produktoch s obsahom nekontrolovaných psychoaktívnych látok (legálnych drogách) predstavujú vysoké riziko akútnej toxicity. V súvislosti s látkou MDMB-CHMICA došlo celkovo k 28 prípadom úmrtia a 25 prípadom akútnej intoxikácie zaznamenaným v ôsmich členských štátoch. Komisia preto prijala 31. augusta 2016 návrh, aby sa látka MDMB-CHMICA podrobila kontrolným opatreniam v celej Európskej únii.</w:t>
      </w:r>
    </w:p>
    <w:p w:rsidR="00EF7501" w:rsidRPr="00C43394" w:rsidP="003C5399">
      <w:pPr>
        <w:tabs>
          <w:tab w:val="left" w:pos="720"/>
          <w:tab w:val="left" w:pos="8520"/>
        </w:tabs>
        <w:suppressAutoHyphens/>
        <w:bidi w:val="0"/>
        <w:ind w:firstLine="426"/>
        <w:jc w:val="both"/>
        <w:rPr>
          <w:rFonts w:ascii="Times New Roman" w:hAnsi="Times New Roman"/>
          <w:color w:val="000000"/>
          <w:bdr w:val="nil"/>
          <w:lang w:eastAsia="en-GB"/>
        </w:rPr>
      </w:pPr>
    </w:p>
    <w:p w:rsidR="002F195C" w:rsidRPr="00C43394" w:rsidP="001437EC">
      <w:pPr>
        <w:pStyle w:val="ListParagraph"/>
        <w:numPr>
          <w:numId w:val="2"/>
        </w:numPr>
        <w:tabs>
          <w:tab w:val="left" w:pos="720"/>
          <w:tab w:val="left" w:pos="8520"/>
        </w:tabs>
        <w:suppressAutoHyphens/>
        <w:bidi w:val="0"/>
        <w:ind w:hanging="1353"/>
        <w:rPr>
          <w:rFonts w:ascii="Times New Roman" w:hAnsi="Times New Roman"/>
          <w:b/>
          <w:color w:val="000000"/>
          <w:bdr w:val="nil"/>
          <w:lang w:eastAsia="en-GB"/>
        </w:rPr>
      </w:pPr>
    </w:p>
    <w:p w:rsidR="002F195C" w:rsidRPr="00C43394" w:rsidP="005F32AD">
      <w:pPr>
        <w:tabs>
          <w:tab w:val="left" w:pos="720"/>
          <w:tab w:val="left" w:pos="8520"/>
        </w:tabs>
        <w:suppressAutoHyphens/>
        <w:bidi w:val="0"/>
        <w:ind w:firstLine="426"/>
        <w:rPr>
          <w:rFonts w:ascii="Times New Roman" w:hAnsi="Times New Roman"/>
          <w:color w:val="000000"/>
          <w:bdr w:val="nil"/>
          <w:lang w:eastAsia="en-GB"/>
        </w:rPr>
      </w:pPr>
    </w:p>
    <w:p w:rsidR="00CC1CC8" w:rsidRPr="00C43394" w:rsidP="00CC1CC8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  <w:color w:val="000000"/>
        </w:rPr>
      </w:pPr>
      <w:r w:rsidRPr="00C43394">
        <w:rPr>
          <w:rFonts w:ascii="Times New Roman" w:hAnsi="Times New Roman"/>
        </w:rPr>
        <w:t>Na základe rozhodnutia prijatého na 60. zasadnutí Komisie pre omamné látky Úradu OSN pre omamné látky a zločinnosť sa navrhuje zaradiť látku</w:t>
      </w:r>
      <w:r w:rsidRPr="00C43394">
        <w:rPr>
          <w:rFonts w:ascii="Times New Roman" w:hAnsi="Times New Roman"/>
          <w:b/>
        </w:rPr>
        <w:t xml:space="preserve"> </w:t>
      </w:r>
      <w:r w:rsidRPr="00C43394">
        <w:rPr>
          <w:rFonts w:ascii="Times New Roman" w:hAnsi="Times New Roman"/>
        </w:rPr>
        <w:t>m</w:t>
      </w:r>
      <w:r w:rsidRPr="00C43394">
        <w:rPr>
          <w:rFonts w:ascii="Times New Roman" w:hAnsi="Times New Roman"/>
          <w:color w:val="000000"/>
        </w:rPr>
        <w:t xml:space="preserve">etiopropamín, MPA, chemicky </w:t>
      </w:r>
      <w:r w:rsidRPr="00C43394">
        <w:rPr>
          <w:rFonts w:ascii="Times" w:hAnsi="Times" w:cs="Times"/>
          <w:sz w:val="25"/>
          <w:szCs w:val="25"/>
        </w:rPr>
        <w:t>N-metyl-1-(tiofén-2-yl)propán-2-amín</w:t>
      </w:r>
      <w:r w:rsidRPr="00C43394">
        <w:rPr>
          <w:rFonts w:ascii="Times New Roman" w:hAnsi="Times New Roman"/>
          <w:color w:val="000000"/>
        </w:rPr>
        <w:t xml:space="preserve"> </w:t>
      </w:r>
      <w:r w:rsidRPr="00C43394">
        <w:rPr>
          <w:rFonts w:ascii="Times New Roman" w:hAnsi="Times New Roman"/>
        </w:rPr>
        <w:t xml:space="preserve">medzi psychotropné látky I. skupiny.  </w:t>
      </w:r>
      <w:r w:rsidRPr="00C43394">
        <w:rPr>
          <w:rFonts w:ascii="Times New Roman" w:hAnsi="Times New Roman"/>
          <w:color w:val="444444"/>
        </w:rPr>
        <w:t>Podľa hodnotenia odborného výboru je stupeň rizika pre verejné zdravie a spoločnosť súvisiaceho so zneužívaním látky MPA alebo metiopropamín podstatný. Terapeutická užitočnosť látky MPA nebola zaznamenaná. Odborný výbor uznal, že látka má podobný potenciál zneužívania a podobný negatívny vplyv na zdravie ako látky už zaradené</w:t>
      </w:r>
      <w:r w:rsidRPr="00C43394">
        <w:rPr>
          <w:rFonts w:ascii="Times New Roman" w:hAnsi="Times New Roman"/>
          <w:b/>
          <w:color w:val="444444"/>
        </w:rPr>
        <w:t xml:space="preserve"> </w:t>
      </w:r>
      <w:r w:rsidRPr="00C43394">
        <w:rPr>
          <w:rFonts w:ascii="Times New Roman" w:hAnsi="Times New Roman"/>
        </w:rPr>
        <w:t xml:space="preserve">medzi psychotropné látky I. skupiny. </w:t>
      </w:r>
      <w:r w:rsidRPr="00C43394">
        <w:rPr>
          <w:rFonts w:ascii="Times New Roman" w:hAnsi="Times New Roman"/>
          <w:color w:val="444444"/>
        </w:rPr>
        <w:t xml:space="preserve"> Odborný výbor sa domnieva, že existujú dostatočné dôkazy o zneužívaní alebo možnom zneužívaní látky MPA na to, aby predstavovala verejný zdravotný a spoločenský problém, čo si vyžaduje, aby podliehala medzinárodnej kontrole.</w:t>
      </w:r>
    </w:p>
    <w:p w:rsidR="00CC1CC8" w:rsidP="00CC1CC8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  <w:color w:val="444444"/>
        </w:rPr>
      </w:pPr>
      <w:r w:rsidRPr="00C43394">
        <w:rPr>
          <w:rFonts w:ascii="Times New Roman" w:hAnsi="Times New Roman"/>
          <w:color w:val="444444"/>
        </w:rPr>
        <w:tab/>
        <w:t>Látku MPA monitoruje Európske monitorovacie centrum pre drogy a drogovú závislosť ako novú psychoaktívnu látku na základe podmienok rozhodnutia 2005/387/SVV. Zatiaľ sa objavila v 17 členských štátoch. Otvorene sa predáva na trhu. Spája sa so závažnými nežiaducimi udalosťami vrátane úmrtí.</w:t>
      </w:r>
    </w:p>
    <w:p w:rsidR="00CC1CC8" w:rsidRPr="00C43394" w:rsidP="00CC1CC8">
      <w:pPr>
        <w:tabs>
          <w:tab w:val="left" w:pos="284"/>
        </w:tabs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CC1CC8" w:rsidRPr="00CC1CC8" w:rsidP="00CC1CC8">
      <w:pPr>
        <w:pStyle w:val="ListParagraph"/>
        <w:numPr>
          <w:numId w:val="2"/>
        </w:numPr>
        <w:tabs>
          <w:tab w:val="left" w:pos="720"/>
          <w:tab w:val="left" w:pos="8520"/>
        </w:tabs>
        <w:suppressAutoHyphens/>
        <w:bidi w:val="0"/>
        <w:ind w:hanging="1353"/>
        <w:rPr>
          <w:rFonts w:ascii="Times New Roman" w:hAnsi="Times New Roman"/>
          <w:b/>
          <w:color w:val="000000"/>
          <w:bdr w:val="nil"/>
          <w:lang w:eastAsia="en-GB"/>
        </w:rPr>
      </w:pPr>
      <w:r w:rsidRPr="00CC1CC8" w:rsidR="00FD3652">
        <w:rPr>
          <w:rFonts w:ascii="Times New Roman" w:hAnsi="Times New Roman"/>
          <w:b/>
          <w:color w:val="000000"/>
          <w:bdr w:val="nil"/>
          <w:lang w:eastAsia="en-GB"/>
        </w:rPr>
        <w:tab/>
      </w:r>
    </w:p>
    <w:p w:rsidR="00CC1CC8" w:rsidP="003C5399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  <w:highlight w:val="yellow"/>
        </w:rPr>
      </w:pPr>
    </w:p>
    <w:p w:rsidR="002F195C" w:rsidRPr="00C43394" w:rsidP="003C5399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Pr="00CC1CC8">
        <w:rPr>
          <w:rFonts w:ascii="Times New Roman" w:hAnsi="Times New Roman"/>
        </w:rPr>
        <w:t>Na základe rozhodnutia</w:t>
      </w:r>
      <w:r w:rsidRPr="00C43394">
        <w:rPr>
          <w:rFonts w:ascii="Times New Roman" w:hAnsi="Times New Roman"/>
        </w:rPr>
        <w:t xml:space="preserve"> prijatého na 60. zasadnutí Komisie pre omamné látky Úradu OSN pre omamné látky a zločinnosť sa navrhuje zaradiť látku </w:t>
      </w:r>
      <w:r w:rsidRPr="00C43394">
        <w:rPr>
          <w:rFonts w:ascii="Times New Roman" w:hAnsi="Times New Roman"/>
          <w:color w:val="000000"/>
        </w:rPr>
        <w:t>U</w:t>
      </w:r>
      <w:r w:rsidRPr="00C43394">
        <w:rPr>
          <w:rFonts w:ascii="Times New Roman" w:hAnsi="Times New Roman"/>
        </w:rPr>
        <w:t xml:space="preserve">-47700, chemicky 3,4-dichlór-N-[ (1R, 2R) -2-(dimetylamino)cyklohexyl]-N-metylbenzamid a látku XLR-11, </w:t>
      </w:r>
      <w:r w:rsidRPr="00C43394">
        <w:rPr>
          <w:rFonts w:ascii="Times New Roman" w:hAnsi="Times New Roman"/>
          <w:bCs/>
          <w:lang w:val="en"/>
        </w:rPr>
        <w:t xml:space="preserve">5"-fluoro-UR-144, </w:t>
      </w:r>
      <w:r w:rsidRPr="00C43394">
        <w:rPr>
          <w:rFonts w:ascii="Times New Roman" w:hAnsi="Times New Roman"/>
          <w:bCs/>
        </w:rPr>
        <w:t>chemicky</w:t>
      </w:r>
      <w:r w:rsidRPr="00C43394">
        <w:rPr>
          <w:rFonts w:ascii="Times New Roman" w:hAnsi="Times New Roman"/>
          <w:bCs/>
          <w:lang w:val="en"/>
        </w:rPr>
        <w:t xml:space="preserve"> [1-(5-fluórpentyl)-1H-indol-3-yl](2,2,3,3-tetrametylcyklopropyl)metanón</w:t>
      </w:r>
      <w:r w:rsidRPr="00C43394">
        <w:rPr>
          <w:rFonts w:ascii="Times New Roman" w:hAnsi="Times New Roman"/>
          <w:b/>
          <w:bCs/>
          <w:lang w:val="en"/>
        </w:rPr>
        <w:t xml:space="preserve"> </w:t>
      </w:r>
      <w:r w:rsidRPr="00C43394">
        <w:rPr>
          <w:rFonts w:ascii="Times New Roman" w:hAnsi="Times New Roman"/>
        </w:rPr>
        <w:t xml:space="preserve">medzi psychotropné látky I. skupiny.  </w:t>
      </w:r>
    </w:p>
    <w:p w:rsidR="001718C8" w:rsidRPr="00C43394" w:rsidP="003C5399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  <w:color w:val="444444"/>
        </w:rPr>
      </w:pPr>
      <w:r w:rsidRPr="00C43394">
        <w:rPr>
          <w:rFonts w:ascii="Times New Roman" w:hAnsi="Times New Roman"/>
          <w:color w:val="444444"/>
        </w:rPr>
        <w:t>Podľa hodnotenia odborného výboru</w:t>
      </w:r>
      <w:r w:rsidRPr="00C43394" w:rsidR="00694315">
        <w:rPr>
          <w:rFonts w:ascii="Times New Roman" w:hAnsi="Times New Roman"/>
          <w:color w:val="444444"/>
        </w:rPr>
        <w:t xml:space="preserve"> </w:t>
      </w:r>
      <w:r w:rsidRPr="00C43394">
        <w:rPr>
          <w:rFonts w:ascii="Times New Roman" w:hAnsi="Times New Roman"/>
          <w:color w:val="444444"/>
        </w:rPr>
        <w:t xml:space="preserve">je U-47700 </w:t>
      </w:r>
      <w:r w:rsidRPr="00C43394" w:rsidR="00694315">
        <w:rPr>
          <w:rFonts w:ascii="Times New Roman" w:hAnsi="Times New Roman"/>
          <w:color w:val="444444"/>
        </w:rPr>
        <w:t>látk</w:t>
      </w:r>
      <w:r w:rsidRPr="00C43394">
        <w:rPr>
          <w:rFonts w:ascii="Times New Roman" w:hAnsi="Times New Roman"/>
          <w:color w:val="444444"/>
        </w:rPr>
        <w:t>a, ktorú možno zneužívať podobným spôsobom a ktorá môže mať podobné negatívne účinky na zdravie ako kontrolované opioidy, ako je morfín a AH-7921, ktoré sú zaradené</w:t>
      </w:r>
      <w:r w:rsidRPr="00C43394" w:rsidR="00694315">
        <w:rPr>
          <w:rFonts w:ascii="Times New Roman" w:hAnsi="Times New Roman"/>
          <w:color w:val="444444"/>
        </w:rPr>
        <w:t xml:space="preserve"> </w:t>
      </w:r>
      <w:r w:rsidRPr="00C43394" w:rsidR="00694315">
        <w:rPr>
          <w:rFonts w:ascii="Times New Roman" w:hAnsi="Times New Roman"/>
        </w:rPr>
        <w:t>medzi omamné látky II. skupiny resp. psychotropné látky I. skupiny</w:t>
      </w:r>
      <w:r w:rsidRPr="00C43394">
        <w:rPr>
          <w:rFonts w:ascii="Times New Roman" w:hAnsi="Times New Roman"/>
          <w:color w:val="444444"/>
        </w:rPr>
        <w:t xml:space="preserve">. Uvedená látka nemá žiadne zaznamenané terapeutické použitie a jej užívanie spôsobilo úmrtia. Existujú dostatočné dôkazy, že uvedená látka sa zneužíva alebo ju možno zneužívať, pričom sa môže stať verejným zdravotným a sociálnym problémom, čo si vyžaduje, aby podliehala medzinárodnej kontrole. </w:t>
      </w:r>
    </w:p>
    <w:p w:rsidR="00694315" w:rsidRPr="00C43394" w:rsidP="003C5399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Látku U-47700 monitoruje Európske monitorovacie centrum pre drogy a drogovú závislosť ako novú psychoaktívnu látku v zmysle rozhodnutia 2005/387/SVV. Zatiaľ sa objavila v 14 členských štátoch. Otvorene sa predáva na trhu. Spája sa so závažnými nežiaducimi udalosťami vrátane úmrtí a je predmetom výstrahy v záujme ochrany verejného zdravia zadanej do systému včasného varovania Európskej únie.</w:t>
      </w:r>
    </w:p>
    <w:p w:rsidR="00694315" w:rsidRPr="00C43394" w:rsidP="003C5399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  <w:color w:val="444444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Podľa hodnotenia odborného výboru je stupeň rizika pre verejné zdravie a spoločnosť súvisiaceho so zneužívaním látky XLR-11 podstatný. Terapeutická užitočnosť látky XLR-11nebola zaznamenaná. Odborný výbor uznal, že látka XLR-11 má podobný potenciál zneužívania a podobný negatívny vplyv na zdravie ako látky už zaradené</w:t>
      </w:r>
      <w:r w:rsidRPr="00C43394">
        <w:rPr>
          <w:rFonts w:ascii="Times New Roman" w:hAnsi="Times New Roman"/>
          <w:b/>
          <w:color w:val="444444"/>
        </w:rPr>
        <w:t xml:space="preserve"> </w:t>
      </w:r>
      <w:r w:rsidRPr="00C43394">
        <w:rPr>
          <w:rFonts w:ascii="Times New Roman" w:hAnsi="Times New Roman"/>
        </w:rPr>
        <w:t>medzi psychotropné látky I. skupiny</w:t>
      </w:r>
      <w:r w:rsidRPr="00C43394">
        <w:rPr>
          <w:rFonts w:ascii="Times New Roman" w:hAnsi="Times New Roman"/>
          <w:color w:val="444444"/>
        </w:rPr>
        <w:t xml:space="preserve">, ako napríklad JWH-018 a AM-2201. Odborný výbor sa domnieva, že existujú dostatočné dôkazy o zneužívaní alebo možnom zneužívaní látky XLR-11 na to, aby predstavovala verejný zdravotný a spoločenský problém, čo si vyžaduje, aby podliehala medzinárodnej kontrole. </w:t>
      </w:r>
    </w:p>
    <w:p w:rsidR="00DE73F6" w:rsidRPr="00C43394" w:rsidP="003C5399">
      <w:pPr>
        <w:tabs>
          <w:tab w:val="left" w:pos="284"/>
        </w:tabs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Pr="00C43394" w:rsidR="00FD3652">
        <w:rPr>
          <w:rFonts w:ascii="Times New Roman" w:hAnsi="Times New Roman"/>
          <w:color w:val="444444"/>
        </w:rPr>
        <w:tab/>
      </w:r>
      <w:r w:rsidRPr="00C43394">
        <w:rPr>
          <w:rFonts w:ascii="Times New Roman" w:hAnsi="Times New Roman"/>
          <w:color w:val="444444"/>
        </w:rPr>
        <w:t>Látku XLR-11 monitoruje Európske monitorovacie centrum pre drogy a drogovú závislosť ako novú psychoaktívnu látku na základe podmienok rozhodnutia 2005/387/SVV. Zatiaľ sa objavila v 17 členských štátoch. Otvorene sa predáva na trhu. Spája sa s malým počtom závažných nežiaducich udalostí vrátane prípadu, keď sa zistilo najmenej jedno úmrtie a je predmetom výstrahy v záujme ochrany verejného zdravia zadanej do systému včasného varovania Európskej únie.</w:t>
      </w:r>
    </w:p>
    <w:p w:rsidR="00053969" w:rsidRPr="00C43394" w:rsidP="00053969">
      <w:pPr>
        <w:tabs>
          <w:tab w:val="left" w:pos="720"/>
          <w:tab w:val="left" w:pos="8520"/>
        </w:tabs>
        <w:suppressAutoHyphens/>
        <w:bidi w:val="0"/>
        <w:rPr>
          <w:rFonts w:ascii="Times New Roman" w:hAnsi="Times New Roman"/>
          <w:color w:val="000000"/>
          <w:bdr w:val="nil"/>
          <w:lang w:eastAsia="en-GB"/>
        </w:rPr>
      </w:pPr>
    </w:p>
    <w:p w:rsidR="00053969" w:rsidRPr="00C43394" w:rsidP="001437EC">
      <w:pPr>
        <w:pStyle w:val="ListParagraph"/>
        <w:numPr>
          <w:numId w:val="2"/>
        </w:numPr>
        <w:tabs>
          <w:tab w:val="left" w:pos="720"/>
          <w:tab w:val="left" w:pos="8520"/>
        </w:tabs>
        <w:suppressAutoHyphens/>
        <w:bidi w:val="0"/>
        <w:ind w:hanging="1353"/>
        <w:rPr>
          <w:rFonts w:ascii="Times New Roman" w:hAnsi="Times New Roman"/>
          <w:b/>
          <w:color w:val="000000"/>
          <w:bdr w:val="nil"/>
          <w:lang w:eastAsia="en-GB"/>
        </w:rPr>
      </w:pPr>
    </w:p>
    <w:p w:rsidR="00053969" w:rsidRPr="00C43394" w:rsidP="00053969">
      <w:pPr>
        <w:tabs>
          <w:tab w:val="left" w:pos="720"/>
          <w:tab w:val="left" w:pos="8520"/>
        </w:tabs>
        <w:suppressAutoHyphens/>
        <w:bidi w:val="0"/>
        <w:rPr>
          <w:rFonts w:ascii="Times New Roman" w:hAnsi="Times New Roman"/>
          <w:b/>
          <w:color w:val="000000"/>
          <w:bdr w:val="nil"/>
          <w:lang w:eastAsia="en-GB"/>
        </w:rPr>
      </w:pPr>
    </w:p>
    <w:p w:rsidR="00053969" w:rsidRPr="00C43394" w:rsidP="00053969">
      <w:pPr>
        <w:tabs>
          <w:tab w:val="left" w:pos="720"/>
          <w:tab w:val="left" w:pos="8520"/>
        </w:tabs>
        <w:suppressAutoHyphens/>
        <w:bidi w:val="0"/>
        <w:spacing w:line="360" w:lineRule="auto"/>
        <w:ind w:firstLine="426"/>
        <w:jc w:val="both"/>
        <w:rPr>
          <w:rFonts w:ascii="Times New Roman" w:hAnsi="Times New Roman"/>
          <w:color w:val="000000"/>
          <w:bdr w:val="nil"/>
          <w:lang w:eastAsia="en-GB"/>
        </w:rPr>
      </w:pPr>
      <w:r w:rsidRPr="00C43394" w:rsidR="00FD3652">
        <w:rPr>
          <w:rFonts w:ascii="Times New Roman" w:hAnsi="Times New Roman"/>
          <w:color w:val="000000"/>
          <w:bdr w:val="nil"/>
          <w:lang w:eastAsia="en-GB"/>
        </w:rPr>
        <w:tab/>
      </w:r>
      <w:r w:rsidRPr="00C43394">
        <w:rPr>
          <w:rFonts w:ascii="Times New Roman" w:hAnsi="Times New Roman"/>
          <w:color w:val="000000"/>
          <w:bdr w:val="nil"/>
          <w:lang w:eastAsia="en-GB"/>
        </w:rPr>
        <w:t xml:space="preserve">Opravuje sa chemický názov kokaínu. Namiesto etylesteru </w:t>
      </w:r>
      <w:r w:rsidRPr="00C43394">
        <w:rPr>
          <w:rFonts w:ascii="Times New Roman" w:hAnsi="Times New Roman"/>
        </w:rPr>
        <w:t>benzoylekgonínu je správny chemický názov kokaínu m</w:t>
      </w:r>
      <w:r w:rsidRPr="00C43394">
        <w:rPr>
          <w:rFonts w:ascii="Times New Roman" w:hAnsi="Times New Roman"/>
          <w:color w:val="000000"/>
          <w:bdr w:val="nil"/>
          <w:lang w:eastAsia="en-GB"/>
        </w:rPr>
        <w:t xml:space="preserve">etylester </w:t>
      </w:r>
      <w:r w:rsidRPr="00C43394">
        <w:rPr>
          <w:rFonts w:ascii="Times New Roman" w:hAnsi="Times New Roman"/>
        </w:rPr>
        <w:t>benzoylekgonínu.</w:t>
      </w:r>
    </w:p>
    <w:p w:rsidR="00053969" w:rsidRPr="00C43394" w:rsidP="00053969">
      <w:pPr>
        <w:tabs>
          <w:tab w:val="left" w:pos="720"/>
          <w:tab w:val="left" w:pos="8520"/>
        </w:tabs>
        <w:suppressAutoHyphens/>
        <w:bidi w:val="0"/>
        <w:rPr>
          <w:rFonts w:ascii="Times New Roman" w:hAnsi="Times New Roman"/>
          <w:b/>
          <w:color w:val="000000"/>
          <w:bdr w:val="nil"/>
          <w:lang w:eastAsia="en-GB"/>
        </w:rPr>
      </w:pPr>
    </w:p>
    <w:p w:rsidR="005F32AD" w:rsidRPr="00C43394" w:rsidP="005F32AD">
      <w:pPr>
        <w:tabs>
          <w:tab w:val="left" w:pos="720"/>
          <w:tab w:val="left" w:pos="8520"/>
        </w:tabs>
        <w:suppressAutoHyphens/>
        <w:bidi w:val="0"/>
        <w:rPr>
          <w:rFonts w:ascii="Times New Roman" w:hAnsi="Times New Roman"/>
          <w:color w:val="000000"/>
          <w:bdr w:val="nil"/>
          <w:lang w:eastAsia="en-GB"/>
        </w:rPr>
      </w:pPr>
      <w:r w:rsidRPr="00C43394">
        <w:rPr>
          <w:rFonts w:ascii="Times New Roman" w:hAnsi="Times New Roman"/>
          <w:color w:val="000000"/>
          <w:bdr w:val="nil"/>
          <w:lang w:eastAsia="en-GB"/>
        </w:rPr>
        <w:t> </w:t>
      </w:r>
    </w:p>
    <w:p w:rsidR="005F32AD" w:rsidRPr="00C43394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C43394">
        <w:rPr>
          <w:rFonts w:ascii="Times New Roman" w:hAnsi="Times New Roman"/>
        </w:rPr>
        <w:t>K čl. II</w:t>
      </w:r>
    </w:p>
    <w:p w:rsidR="005F32AD" w:rsidP="00D55866">
      <w:pPr>
        <w:pStyle w:val="Default"/>
        <w:bidi w:val="0"/>
        <w:spacing w:line="360" w:lineRule="auto"/>
        <w:ind w:firstLine="708"/>
        <w:jc w:val="both"/>
      </w:pPr>
      <w:r w:rsidRPr="00C43394">
        <w:rPr>
          <w:rFonts w:ascii="Times New Roman" w:hAnsi="Times New Roman" w:cs="Times New Roman"/>
        </w:rPr>
        <w:t xml:space="preserve">Dátum účinnosti sa navrhuje s prihliadnutím na predpokladanú dĺžku legislatívneho procesu od 1. </w:t>
      </w:r>
      <w:r w:rsidRPr="00C43394" w:rsidR="00053969">
        <w:rPr>
          <w:rFonts w:ascii="Times New Roman" w:hAnsi="Times New Roman" w:cs="Times New Roman"/>
        </w:rPr>
        <w:t>novembra</w:t>
      </w:r>
      <w:r w:rsidRPr="00C43394">
        <w:rPr>
          <w:rFonts w:ascii="Times New Roman" w:hAnsi="Times New Roman" w:cs="Times New Roman"/>
        </w:rPr>
        <w:t xml:space="preserve"> 2017.</w:t>
      </w:r>
    </w:p>
    <w:p w:rsidR="005F32AD" w:rsidP="005F32A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2E3065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E3065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E3065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  <w:r w:rsidRPr="00402724">
        <w:rPr>
          <w:rFonts w:ascii="Times New Roman" w:hAnsi="Times New Roman"/>
          <w:b w:val="0"/>
        </w:rPr>
        <w:t xml:space="preserve">V Bratislave  21. </w:t>
      </w:r>
      <w:r>
        <w:rPr>
          <w:rFonts w:ascii="Times New Roman" w:hAnsi="Times New Roman"/>
          <w:b w:val="0"/>
        </w:rPr>
        <w:t>júna 2017</w:t>
      </w:r>
    </w:p>
    <w:p w:rsidR="002A4F4D" w:rsidRPr="00402724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E3065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jc w:val="both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jc w:val="both"/>
        <w:rPr>
          <w:rFonts w:ascii="Times New Roman" w:hAnsi="Times New Roman"/>
        </w:rPr>
      </w:pPr>
    </w:p>
    <w:p w:rsidR="002E3065" w:rsidRPr="00402724" w:rsidP="002E3065">
      <w:pPr>
        <w:pStyle w:val="Title"/>
        <w:bidi w:val="0"/>
        <w:jc w:val="both"/>
        <w:rPr>
          <w:rFonts w:ascii="Times New Roman" w:hAnsi="Times New Roman"/>
        </w:rPr>
      </w:pPr>
    </w:p>
    <w:p w:rsidR="002E3065" w:rsidRPr="00402724" w:rsidP="002A228E">
      <w:pPr>
        <w:pStyle w:val="Title"/>
        <w:bidi w:val="0"/>
        <w:ind w:firstLine="5387"/>
        <w:jc w:val="left"/>
        <w:rPr>
          <w:rFonts w:ascii="Times New Roman" w:hAnsi="Times New Roman"/>
        </w:rPr>
      </w:pPr>
      <w:r w:rsidRPr="00402724">
        <w:rPr>
          <w:rFonts w:ascii="Times New Roman" w:hAnsi="Times New Roman"/>
        </w:rPr>
        <w:t>Robert Fico v. r.</w:t>
      </w: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  <w:r w:rsidRPr="00402724">
        <w:rPr>
          <w:rFonts w:ascii="Times New Roman" w:hAnsi="Times New Roman"/>
          <w:b w:val="0"/>
        </w:rPr>
        <w:t>predseda vlády</w:t>
      </w: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  <w:r w:rsidRPr="00402724">
        <w:rPr>
          <w:rFonts w:ascii="Times New Roman" w:hAnsi="Times New Roman"/>
          <w:b w:val="0"/>
        </w:rPr>
        <w:t>Slovenskej republiky</w:t>
      </w:r>
    </w:p>
    <w:p w:rsidR="002E3065" w:rsidRPr="00402724" w:rsidP="002A228E">
      <w:pPr>
        <w:pStyle w:val="Title"/>
        <w:bidi w:val="0"/>
        <w:ind w:firstLine="5387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2E3065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2A4F4D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2A4F4D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</w:rPr>
      </w:pPr>
      <w:r w:rsidRPr="00402724">
        <w:rPr>
          <w:rFonts w:ascii="Times New Roman" w:hAnsi="Times New Roman"/>
        </w:rPr>
        <w:t>Tomáš Drucker v. r.</w:t>
      </w:r>
    </w:p>
    <w:p w:rsidR="002E3065" w:rsidRPr="00402724" w:rsidP="002E3065">
      <w:pPr>
        <w:pStyle w:val="Title"/>
        <w:bidi w:val="0"/>
        <w:ind w:firstLine="5387"/>
        <w:jc w:val="both"/>
        <w:rPr>
          <w:rFonts w:ascii="Times New Roman" w:hAnsi="Times New Roman"/>
          <w:b w:val="0"/>
        </w:rPr>
      </w:pPr>
      <w:r w:rsidRPr="00402724">
        <w:rPr>
          <w:rFonts w:ascii="Times New Roman" w:hAnsi="Times New Roman"/>
          <w:b w:val="0"/>
        </w:rPr>
        <w:t>minister zdravotníctva</w:t>
      </w:r>
    </w:p>
    <w:p w:rsidR="002E3065" w:rsidRPr="003975E2" w:rsidP="002E3065">
      <w:pPr>
        <w:pStyle w:val="Title"/>
        <w:bidi w:val="0"/>
        <w:ind w:firstLine="5387"/>
        <w:jc w:val="both"/>
        <w:rPr>
          <w:rFonts w:ascii="Times New Roman" w:hAnsi="Times New Roman"/>
        </w:rPr>
      </w:pPr>
      <w:r w:rsidRPr="00402724">
        <w:rPr>
          <w:rFonts w:ascii="Times New Roman" w:hAnsi="Times New Roman"/>
          <w:b w:val="0"/>
        </w:rPr>
        <w:t>Slovenskej republiky</w:t>
      </w:r>
    </w:p>
    <w:p w:rsidR="005F32AD" w:rsidP="005F32A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B94C11">
      <w:pPr>
        <w:bidi w:val="0"/>
        <w:rPr>
          <w:rFonts w:ascii="Times New Roman" w:hAnsi="Times New Roman"/>
        </w:rPr>
      </w:pPr>
    </w:p>
    <w:sectPr w:rsidSect="004B684C">
      <w:footerReference w:type="default" r:id="rId5"/>
      <w:pgSz w:w="11906" w:h="16838"/>
      <w:pgMar w:top="1417" w:right="1417" w:bottom="1417" w:left="2268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EUAlbertin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84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44CE5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  <w:p w:rsidR="004B684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CF9"/>
    <w:multiLevelType w:val="hybridMultilevel"/>
    <w:tmpl w:val="86A61DFA"/>
    <w:lvl w:ilvl="0">
      <w:start w:val="1"/>
      <w:numFmt w:val="decimal"/>
      <w:lvlText w:val="K bodu %1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4A752EBD"/>
    <w:multiLevelType w:val="hybridMultilevel"/>
    <w:tmpl w:val="3A148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5F32AD"/>
    <w:rsid w:val="000209F3"/>
    <w:rsid w:val="00023961"/>
    <w:rsid w:val="00035E4A"/>
    <w:rsid w:val="00053969"/>
    <w:rsid w:val="00081E35"/>
    <w:rsid w:val="000D1F2C"/>
    <w:rsid w:val="0013037A"/>
    <w:rsid w:val="001437EC"/>
    <w:rsid w:val="001528CA"/>
    <w:rsid w:val="001718C8"/>
    <w:rsid w:val="00197FD0"/>
    <w:rsid w:val="001B5AB1"/>
    <w:rsid w:val="001F1F3B"/>
    <w:rsid w:val="002212F0"/>
    <w:rsid w:val="0023548E"/>
    <w:rsid w:val="00297DAB"/>
    <w:rsid w:val="002A228E"/>
    <w:rsid w:val="002A4F4D"/>
    <w:rsid w:val="002C2C0F"/>
    <w:rsid w:val="002C3FB0"/>
    <w:rsid w:val="002E3065"/>
    <w:rsid w:val="002F121E"/>
    <w:rsid w:val="002F195C"/>
    <w:rsid w:val="00327069"/>
    <w:rsid w:val="003852AC"/>
    <w:rsid w:val="003975E2"/>
    <w:rsid w:val="003B2691"/>
    <w:rsid w:val="003B4D34"/>
    <w:rsid w:val="003C5399"/>
    <w:rsid w:val="003E6BBB"/>
    <w:rsid w:val="003E7AFA"/>
    <w:rsid w:val="00402724"/>
    <w:rsid w:val="00404891"/>
    <w:rsid w:val="0047556C"/>
    <w:rsid w:val="0048360B"/>
    <w:rsid w:val="004B684C"/>
    <w:rsid w:val="004F098B"/>
    <w:rsid w:val="00544CE5"/>
    <w:rsid w:val="005451E7"/>
    <w:rsid w:val="005D7BE7"/>
    <w:rsid w:val="005F32AD"/>
    <w:rsid w:val="005F42F8"/>
    <w:rsid w:val="00614895"/>
    <w:rsid w:val="0065518E"/>
    <w:rsid w:val="00680BF2"/>
    <w:rsid w:val="00694315"/>
    <w:rsid w:val="00755113"/>
    <w:rsid w:val="007678E2"/>
    <w:rsid w:val="007F6983"/>
    <w:rsid w:val="00805AF4"/>
    <w:rsid w:val="00831AC3"/>
    <w:rsid w:val="00834A49"/>
    <w:rsid w:val="00874FA1"/>
    <w:rsid w:val="008A1606"/>
    <w:rsid w:val="008A5B09"/>
    <w:rsid w:val="008D711C"/>
    <w:rsid w:val="009253BA"/>
    <w:rsid w:val="00927DC6"/>
    <w:rsid w:val="00954D26"/>
    <w:rsid w:val="009574BD"/>
    <w:rsid w:val="00A25184"/>
    <w:rsid w:val="00A54A4A"/>
    <w:rsid w:val="00A931D4"/>
    <w:rsid w:val="00AC1FBD"/>
    <w:rsid w:val="00AE77AC"/>
    <w:rsid w:val="00B72277"/>
    <w:rsid w:val="00B94C11"/>
    <w:rsid w:val="00BA6DCE"/>
    <w:rsid w:val="00BB4264"/>
    <w:rsid w:val="00C43394"/>
    <w:rsid w:val="00C5641C"/>
    <w:rsid w:val="00CC1CC8"/>
    <w:rsid w:val="00D24CC1"/>
    <w:rsid w:val="00D41E0A"/>
    <w:rsid w:val="00D55866"/>
    <w:rsid w:val="00D6620F"/>
    <w:rsid w:val="00D722A2"/>
    <w:rsid w:val="00D95CF3"/>
    <w:rsid w:val="00DE73F6"/>
    <w:rsid w:val="00E07EF6"/>
    <w:rsid w:val="00E34249"/>
    <w:rsid w:val="00E36D73"/>
    <w:rsid w:val="00E37EE3"/>
    <w:rsid w:val="00E55154"/>
    <w:rsid w:val="00E6273A"/>
    <w:rsid w:val="00ED7166"/>
    <w:rsid w:val="00EF7501"/>
    <w:rsid w:val="00F154F4"/>
    <w:rsid w:val="00F43C17"/>
    <w:rsid w:val="00F847A8"/>
    <w:rsid w:val="00FA1862"/>
    <w:rsid w:val="00FC461D"/>
    <w:rsid w:val="00FD3652"/>
    <w:rsid w:val="00FE6F5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2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F32AD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5F32A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F32AD"/>
    <w:pPr>
      <w:ind w:left="720"/>
      <w:contextualSpacing/>
      <w:jc w:val="left"/>
    </w:pPr>
  </w:style>
  <w:style w:type="paragraph" w:customStyle="1" w:styleId="Default">
    <w:name w:val="Default"/>
    <w:rsid w:val="005F32A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F32A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F32A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B684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B68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B684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B684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8A1606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160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877D-6A66-470B-8D01-2BC83CFD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154</TotalTime>
  <Pages>10</Pages>
  <Words>2842</Words>
  <Characters>16200</Characters>
  <Application>Microsoft Office Word</Application>
  <DocSecurity>0</DocSecurity>
  <Lines>0</Lines>
  <Paragraphs>0</Paragraphs>
  <ScaleCrop>false</ScaleCrop>
  <Company/>
  <LinksUpToDate>false</LinksUpToDate>
  <CharactersWithSpaces>19004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Korgová Katarína</dc:creator>
  <cp:lastModifiedBy>Martincová Viera</cp:lastModifiedBy>
  <cp:revision>5</cp:revision>
  <cp:lastPrinted>2017-06-22T09:41:00Z</cp:lastPrinted>
  <dcterms:created xsi:type="dcterms:W3CDTF">2017-06-20T12:30:00Z</dcterms:created>
  <dcterms:modified xsi:type="dcterms:W3CDTF">2017-06-23T14:41:00Z</dcterms:modified>
</cp:coreProperties>
</file>