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F806E6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 w:rsidRPr="00F806E6">
        <w:rPr>
          <w:rFonts w:ascii="Times New Roman" w:hAnsi="Times New Roman"/>
          <w:b/>
          <w:bCs/>
        </w:rPr>
        <w:t>návrhu ústavného zákona</w:t>
      </w:r>
      <w:r w:rsidRPr="00F806E6">
        <w:rPr>
          <w:rFonts w:ascii="Times New Roman" w:hAnsi="Times New Roman"/>
        </w:rPr>
        <w:t xml:space="preserve"> </w:t>
      </w:r>
      <w:r w:rsidRPr="00F806E6">
        <w:rPr>
          <w:rFonts w:ascii="Times New Roman" w:hAnsi="Times New Roman"/>
          <w:b/>
          <w:bCs/>
        </w:rPr>
        <w:t>s právom Európskej únie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F806E6">
        <w:rPr>
          <w:rFonts w:ascii="Times New Roman" w:hAnsi="Times New Roman"/>
        </w:rPr>
        <w:t> 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F806E6">
        <w:rPr>
          <w:rFonts w:ascii="Times New Roman" w:hAnsi="Times New Roman"/>
          <w:b/>
          <w:bCs/>
        </w:rPr>
        <w:t>1. Navrhovateľ ústavného zákona:</w:t>
      </w:r>
      <w:r w:rsidRPr="00F806E6">
        <w:rPr>
          <w:rFonts w:ascii="Times New Roman" w:hAnsi="Times New Roman"/>
        </w:rPr>
        <w:t xml:space="preserve"> skupina poslancov Národnej rady Slovenskej republiky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F806E6">
        <w:rPr>
          <w:rFonts w:ascii="Times New Roman" w:hAnsi="Times New Roman"/>
          <w:b/>
          <w:bCs/>
        </w:rPr>
        <w:t>2. Názov návrhu ústavného zákona:</w:t>
      </w:r>
      <w:r w:rsidRPr="00F806E6">
        <w:rPr>
          <w:rFonts w:ascii="Times New Roman" w:hAnsi="Times New Roman"/>
        </w:rPr>
        <w:t xml:space="preserve">  Návrh ústavného zákona, ktorým sa dopĺňa Ústava Slovenskej republiky č. 460/1992 Zb. v znení neskorších predpisov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F806E6">
        <w:rPr>
          <w:rFonts w:ascii="Times New Roman" w:hAnsi="Times New Roman"/>
          <w:b/>
          <w:bCs/>
        </w:rPr>
        <w:t>3. Predmet návrhu ústavného zákona:</w:t>
      </w:r>
    </w:p>
    <w:p w:rsidR="002C6592" w:rsidRPr="00F806E6" w:rsidP="002C6592">
      <w:pPr>
        <w:pStyle w:val="NormalWeb"/>
        <w:numPr>
          <w:numId w:val="4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F806E6">
        <w:rPr>
          <w:rFonts w:ascii="Times New Roman" w:hAnsi="Times New Roman"/>
          <w:bCs/>
        </w:rPr>
        <w:t xml:space="preserve">je upravený v primárnom práve Európskej únie, a to v čl. 6 ods. 3 Zmluvy o Európskej únii a v čl. 6, 7, 47 a 48 Charty základných práv Európskej únie (právo na slobodu a bezpečnosť, rešpektovanie súkromného a rodinného života, </w:t>
      </w:r>
      <w:r w:rsidRPr="00F806E6">
        <w:rPr>
          <w:rFonts w:ascii="Times New Roman" w:hAnsi="Times New Roman"/>
        </w:rPr>
        <w:t>právo na účinný prostriedok nápravy a na spravodlivý proces, prezumpcia neviny a právo na obhajobu),</w:t>
      </w:r>
    </w:p>
    <w:p w:rsidR="002C6592" w:rsidRPr="00F806E6" w:rsidP="002C6592">
      <w:pPr>
        <w:pStyle w:val="NormalWeb"/>
        <w:numPr>
          <w:numId w:val="4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F806E6">
        <w:rPr>
          <w:rFonts w:ascii="Times New Roman" w:hAnsi="Times New Roman"/>
          <w:bCs/>
        </w:rPr>
        <w:t>nie je upravený v sekundárnom práve Európskej únie,</w:t>
      </w:r>
    </w:p>
    <w:p w:rsidR="002C6592" w:rsidRPr="00F806E6" w:rsidP="002C6592">
      <w:pPr>
        <w:pStyle w:val="NormalWeb"/>
        <w:numPr>
          <w:numId w:val="4"/>
        </w:num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F806E6">
        <w:rPr>
          <w:rFonts w:ascii="Times New Roman" w:hAnsi="Times New Roman"/>
          <w:bCs/>
        </w:rPr>
        <w:t>nie je obsiahnutý v judikatúre Súdneho dvora Európskej únie.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</w:rPr>
      </w:pPr>
    </w:p>
    <w:p w:rsidR="002C6592" w:rsidRPr="00F806E6" w:rsidP="002C6592">
      <w:pPr>
        <w:widowControl/>
        <w:numPr>
          <w:ilvl w:val="3"/>
          <w:numId w:val="5"/>
        </w:numPr>
        <w:tabs>
          <w:tab w:val="left" w:pos="284"/>
        </w:tabs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06E6">
        <w:rPr>
          <w:rFonts w:ascii="Times New Roman" w:hAnsi="Times New Roman"/>
          <w:b/>
          <w:sz w:val="24"/>
          <w:szCs w:val="24"/>
        </w:rPr>
        <w:t>Záväzky Slovenskej republiky vo vzťahu k Európskej únii:</w:t>
      </w:r>
    </w:p>
    <w:p w:rsidR="002C6592" w:rsidRPr="00F806E6" w:rsidP="002C6592">
      <w:pPr>
        <w:bidi w:val="0"/>
        <w:ind w:left="540" w:hanging="256"/>
        <w:jc w:val="both"/>
        <w:rPr>
          <w:rFonts w:ascii="Times New Roman" w:hAnsi="Times New Roman"/>
          <w:sz w:val="24"/>
          <w:szCs w:val="24"/>
        </w:rPr>
      </w:pPr>
      <w:r w:rsidRPr="00F806E6">
        <w:rPr>
          <w:rFonts w:ascii="Times New Roman" w:hAnsi="Times New Roman"/>
          <w:sz w:val="24"/>
          <w:szCs w:val="24"/>
        </w:rPr>
        <w:t>a) bezpredmetné,</w:t>
      </w:r>
    </w:p>
    <w:p w:rsidR="002C6592" w:rsidRPr="00F806E6" w:rsidP="002C6592">
      <w:pPr>
        <w:bidi w:val="0"/>
        <w:ind w:left="539" w:hanging="255"/>
        <w:jc w:val="both"/>
        <w:rPr>
          <w:rFonts w:ascii="Times New Roman" w:hAnsi="Times New Roman"/>
          <w:sz w:val="24"/>
          <w:szCs w:val="24"/>
        </w:rPr>
      </w:pPr>
      <w:r w:rsidRPr="00F806E6">
        <w:rPr>
          <w:rFonts w:ascii="Times New Roman" w:hAnsi="Times New Roman"/>
          <w:sz w:val="24"/>
          <w:szCs w:val="24"/>
        </w:rPr>
        <w:t>b) v danej oblasti nebol proti Slovenskej republike začatý postup Európskej komisie a ani konanie Súdneho dvora Európskej únie podľa článkov 258 až 260 Zmluvy o fungovaní Európskej únie,</w:t>
      </w:r>
    </w:p>
    <w:p w:rsidR="002C6592" w:rsidRPr="00F806E6" w:rsidP="002C6592">
      <w:pPr>
        <w:bidi w:val="0"/>
        <w:ind w:left="539" w:hanging="255"/>
        <w:jc w:val="both"/>
        <w:rPr>
          <w:rFonts w:ascii="Times New Roman" w:hAnsi="Times New Roman"/>
          <w:sz w:val="24"/>
          <w:szCs w:val="24"/>
        </w:rPr>
      </w:pPr>
      <w:r w:rsidRPr="00F806E6">
        <w:rPr>
          <w:rFonts w:ascii="Times New Roman" w:hAnsi="Times New Roman"/>
          <w:sz w:val="24"/>
          <w:szCs w:val="24"/>
        </w:rPr>
        <w:t>c) bezpredmetné.</w:t>
      </w:r>
    </w:p>
    <w:p w:rsidR="002C6592" w:rsidRPr="00F806E6" w:rsidP="002C659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C6592" w:rsidRPr="00F806E6" w:rsidP="002C6592">
      <w:pPr>
        <w:widowControl/>
        <w:numPr>
          <w:numId w:val="6"/>
        </w:numPr>
        <w:tabs>
          <w:tab w:val="left" w:pos="341"/>
        </w:tabs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06E6">
        <w:rPr>
          <w:rFonts w:ascii="Times New Roman" w:hAnsi="Times New Roman"/>
          <w:b/>
          <w:sz w:val="24"/>
          <w:szCs w:val="24"/>
        </w:rPr>
        <w:t>Návrh ústavného zákona je zlučiteľný s právom Európskej únie</w:t>
      </w:r>
    </w:p>
    <w:p w:rsidR="002C6592" w:rsidRPr="00F806E6" w:rsidP="002C659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806E6">
        <w:rPr>
          <w:rFonts w:ascii="Times New Roman" w:hAnsi="Times New Roman"/>
        </w:rPr>
        <w:t>- úplne</w:t>
      </w: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2C6592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</w:p>
    <w:p w:rsidR="002C6592" w:rsidRPr="00F806E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F806E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06E6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F806E6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0D033F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806E6" w:rsidR="002C6592">
              <w:rPr>
                <w:b w:val="0"/>
                <w:color w:val="auto"/>
                <w:sz w:val="20"/>
                <w:szCs w:val="20"/>
              </w:rPr>
              <w:t>N</w:t>
            </w:r>
            <w:r w:rsidRPr="00F806E6" w:rsidR="002C659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ávrh ústavného zákona, ktorým sa dopĺňa Ústava Slovenskej republiky č. 460/1992 Zb.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5758A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584C21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Pr="00F806E6" w:rsidR="005758A2">
              <w:rPr>
                <w:rFonts w:ascii="Times" w:hAnsi="Times" w:cs="Times"/>
                <w:sz w:val="20"/>
                <w:szCs w:val="20"/>
                <w:lang w:val="sk-SK"/>
              </w:rPr>
              <w:t xml:space="preserve">ci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Národnej rady Slovenskej republiky</w:t>
            </w:r>
            <w:r w:rsidRPr="00F806E6" w:rsidR="008702C4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806E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806E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806E6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F806E6" w:rsidP="0051412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6A7773">
              <w:rPr>
                <w:rFonts w:ascii="Times" w:hAnsi="Times" w:cs="Times"/>
                <w:sz w:val="20"/>
                <w:szCs w:val="20"/>
                <w:lang w:val="sk-SK"/>
              </w:rPr>
              <w:t>Národná rada Slovenskej republiky na rozdiel od zákonodarných zborov iných vys</w:t>
            </w:r>
            <w:r w:rsidRPr="00F806E6" w:rsidR="00514127">
              <w:rPr>
                <w:rFonts w:ascii="Times" w:hAnsi="Times" w:cs="Times"/>
                <w:sz w:val="20"/>
                <w:szCs w:val="20"/>
                <w:lang w:val="sk-SK"/>
              </w:rPr>
              <w:t xml:space="preserve">pelých </w:t>
            </w:r>
            <w:r w:rsidRPr="00F806E6" w:rsidR="006A7773">
              <w:rPr>
                <w:rFonts w:ascii="Times" w:hAnsi="Times" w:cs="Times"/>
                <w:sz w:val="20"/>
                <w:szCs w:val="20"/>
                <w:lang w:val="sk-SK"/>
              </w:rPr>
              <w:t xml:space="preserve">štátov Západnej Európy nemá explicitne priznané oprávnenie zriaďovať tzv. vyšetrovacie výbory.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A7773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06E6" w:rsidR="006A7773">
              <w:rPr>
                <w:rFonts w:ascii="Times New Roman" w:hAnsi="Times New Roman"/>
                <w:sz w:val="20"/>
                <w:szCs w:val="20"/>
              </w:rPr>
              <w:t xml:space="preserve">Cieľom návrhu ústavného zákona je rozšíriť doterajšiu kontrolnú činnosť výborov NR SR a priznať im aj vyšetrovacie právomoci.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6A7773">
              <w:rPr>
                <w:rFonts w:ascii="Times" w:hAnsi="Times" w:cs="Times"/>
                <w:sz w:val="20"/>
                <w:szCs w:val="20"/>
                <w:lang w:val="sk-SK"/>
              </w:rPr>
              <w:t xml:space="preserve">Poslanci Národnej rady Slovenskej republiky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2C659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CF7E6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CF7E6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CF7E6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CF7E6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CF7E6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CF7E6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22655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22655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22655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22655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2C659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2C659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2C659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F806E6" w:rsidR="002C659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B71DE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B71DE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F806E6" w:rsidR="00B71DE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F806E6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F806E6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F806E6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F806E6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F806E6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C6592" w:rsidRPr="00F806E6" w:rsidP="00514127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806E6">
              <w:rPr>
                <w:rFonts w:ascii="Times New Roman" w:hAnsi="Times New Roman"/>
                <w:sz w:val="20"/>
                <w:szCs w:val="20"/>
              </w:rPr>
              <w:t xml:space="preserve">Zriadenie vyšetrovacích výborov môže mať negatívny dopad na rozpočet verejnej správy, týkajúci sa miernej finančnej záťaže vo vzťahu ku Kancelárii Národnej rady Slovenskej republiky z dôvodu zabezpečenia priestorov a personálneho, resp. mzdového zabezpečenia administratívy spojenej s fungovaním vyšetrovacieho výboru. Túto záťaž by si však dokázala Kancelária Národnej rady Slovenskej republiky uhradiť z vlastných rozpočtových prostriedkov vyčlenených na </w:t>
            </w:r>
            <w:r w:rsidRPr="00F806E6" w:rsidR="00CF7E6F">
              <w:rPr>
                <w:rFonts w:ascii="Times New Roman" w:hAnsi="Times New Roman"/>
                <w:sz w:val="20"/>
                <w:szCs w:val="20"/>
              </w:rPr>
              <w:t>daný rok</w:t>
            </w:r>
            <w:r w:rsidRPr="00F806E6">
              <w:rPr>
                <w:rFonts w:ascii="Times New Roman" w:hAnsi="Times New Roman"/>
                <w:sz w:val="20"/>
                <w:szCs w:val="20"/>
              </w:rPr>
              <w:t xml:space="preserve">, ako aj ďalšie roky (výhľadovo), a to vzhľadom na skutočnosť, že nejde o stále výbory, ale len dočasné výbory, ktoré sa budú zriaďovať skôr príležitostne ako pravidelne. </w:t>
            </w:r>
            <w:r w:rsidRPr="00F806E6" w:rsidR="00CF7E6F">
              <w:rPr>
                <w:rFonts w:ascii="Times New Roman" w:hAnsi="Times New Roman"/>
                <w:sz w:val="20"/>
                <w:szCs w:val="20"/>
              </w:rPr>
              <w:t xml:space="preserve">Taktiež môže prechodnú potrebu administratívnych síl riešiť pomocou doterajších zamestnancov. </w:t>
            </w:r>
            <w:r w:rsidRPr="00F806E6">
              <w:rPr>
                <w:rFonts w:ascii="Times New Roman" w:hAnsi="Times New Roman"/>
                <w:sz w:val="20"/>
                <w:szCs w:val="20"/>
              </w:rPr>
              <w:t xml:space="preserve">Zároveň sa predpokladá aj pozitívny vplyv na rozpočet verejnej správy, a to najmä s ohľadom na vyšetrenie niektorých závažných káuz a zabránenie pokračovaniu korupčného jednania, t.j. ďalším stratám v rozpočte. </w:t>
            </w:r>
            <w:r w:rsidRPr="00F806E6" w:rsidR="00CF7E6F">
              <w:rPr>
                <w:rFonts w:ascii="Times New Roman" w:hAnsi="Times New Roman"/>
                <w:sz w:val="20"/>
                <w:szCs w:val="20"/>
              </w:rPr>
              <w:t xml:space="preserve">Z uvedeného dôvodu predpokladáme neutrálny vplyv na štátny rozpočet. </w:t>
            </w:r>
            <w:r w:rsidRPr="00F806E6">
              <w:rPr>
                <w:rFonts w:ascii="Times New Roman" w:hAnsi="Times New Roman"/>
                <w:bCs/>
                <w:sz w:val="20"/>
                <w:szCs w:val="20"/>
              </w:rPr>
              <w:t>Predkladaný návrh ústavného zákona je spôsobilý pozitívne vplývať na podnikateľské prostredie, pretože závery vyšetrovacej komisie môžu poukázať na legislatívne nedostatky, ktorých odstránenie zlepší podnikateľské prostredie.</w:t>
            </w:r>
          </w:p>
          <w:p w:rsidR="00551D2C" w:rsidRPr="00F806E6" w:rsidP="00BB417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F806E6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5" w:history="1">
              <w:r w:rsidRPr="00F806E6" w:rsidR="00514127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lang w:val="sk-SK"/>
                </w:rPr>
                <w:t>jozef_rajtar@nrsr.sk</w:t>
              </w:r>
            </w:hyperlink>
          </w:p>
          <w:p w:rsidR="00514127" w:rsidRPr="00F806E6" w:rsidP="0051412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6" w:history="1">
              <w:r w:rsidRPr="00F806E6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lang w:val="sk-SK"/>
                </w:rPr>
                <w:t>gabor_grendel@nrsr.sk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F806E6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F806E6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F806E6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74F40"/>
    <w:rsid w:val="000B2E04"/>
    <w:rsid w:val="000D01BA"/>
    <w:rsid w:val="000D033F"/>
    <w:rsid w:val="00103D80"/>
    <w:rsid w:val="001066BB"/>
    <w:rsid w:val="00113283"/>
    <w:rsid w:val="00126482"/>
    <w:rsid w:val="00142425"/>
    <w:rsid w:val="00197276"/>
    <w:rsid w:val="001A3DDF"/>
    <w:rsid w:val="0022655C"/>
    <w:rsid w:val="002270FC"/>
    <w:rsid w:val="002C07B8"/>
    <w:rsid w:val="002C6592"/>
    <w:rsid w:val="003111CA"/>
    <w:rsid w:val="00354077"/>
    <w:rsid w:val="00363EF5"/>
    <w:rsid w:val="003A295D"/>
    <w:rsid w:val="003D3CD5"/>
    <w:rsid w:val="003E2C59"/>
    <w:rsid w:val="004207DC"/>
    <w:rsid w:val="0047737C"/>
    <w:rsid w:val="004C3411"/>
    <w:rsid w:val="005068C9"/>
    <w:rsid w:val="00514127"/>
    <w:rsid w:val="00551D2C"/>
    <w:rsid w:val="005758A2"/>
    <w:rsid w:val="00584C21"/>
    <w:rsid w:val="00584FFE"/>
    <w:rsid w:val="005B7011"/>
    <w:rsid w:val="00610A79"/>
    <w:rsid w:val="00613621"/>
    <w:rsid w:val="006258CB"/>
    <w:rsid w:val="00684710"/>
    <w:rsid w:val="00692A58"/>
    <w:rsid w:val="006A7773"/>
    <w:rsid w:val="006B2D7A"/>
    <w:rsid w:val="00746DDA"/>
    <w:rsid w:val="00747E1F"/>
    <w:rsid w:val="007722B4"/>
    <w:rsid w:val="00777977"/>
    <w:rsid w:val="007C4BD9"/>
    <w:rsid w:val="008003CB"/>
    <w:rsid w:val="00824000"/>
    <w:rsid w:val="00841FA5"/>
    <w:rsid w:val="00855C29"/>
    <w:rsid w:val="00861E9D"/>
    <w:rsid w:val="008702C4"/>
    <w:rsid w:val="00875C2E"/>
    <w:rsid w:val="008A25B2"/>
    <w:rsid w:val="008F6977"/>
    <w:rsid w:val="00921D3D"/>
    <w:rsid w:val="00922803"/>
    <w:rsid w:val="00935EBF"/>
    <w:rsid w:val="00945F72"/>
    <w:rsid w:val="00961DDB"/>
    <w:rsid w:val="00A017C3"/>
    <w:rsid w:val="00A16C94"/>
    <w:rsid w:val="00AA471A"/>
    <w:rsid w:val="00AB2B3D"/>
    <w:rsid w:val="00AB4D4C"/>
    <w:rsid w:val="00AC6C00"/>
    <w:rsid w:val="00AE359E"/>
    <w:rsid w:val="00AF21C2"/>
    <w:rsid w:val="00B2032E"/>
    <w:rsid w:val="00B47BCE"/>
    <w:rsid w:val="00B71DEB"/>
    <w:rsid w:val="00BB417B"/>
    <w:rsid w:val="00BB44C3"/>
    <w:rsid w:val="00BD61B2"/>
    <w:rsid w:val="00BD6A46"/>
    <w:rsid w:val="00C33769"/>
    <w:rsid w:val="00C51C23"/>
    <w:rsid w:val="00C60A22"/>
    <w:rsid w:val="00CF7E6F"/>
    <w:rsid w:val="00D314FF"/>
    <w:rsid w:val="00D40690"/>
    <w:rsid w:val="00D804AB"/>
    <w:rsid w:val="00DB75EA"/>
    <w:rsid w:val="00DC5240"/>
    <w:rsid w:val="00E079F7"/>
    <w:rsid w:val="00E5752D"/>
    <w:rsid w:val="00E824B4"/>
    <w:rsid w:val="00E85509"/>
    <w:rsid w:val="00EB31F3"/>
    <w:rsid w:val="00EB4ABD"/>
    <w:rsid w:val="00F21311"/>
    <w:rsid w:val="00F378AD"/>
    <w:rsid w:val="00F7753E"/>
    <w:rsid w:val="00F806E6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0A7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0A79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ozef_rajtar@nrsr.sk" TargetMode="External" /><Relationship Id="rId6" Type="http://schemas.openxmlformats.org/officeDocument/2006/relationships/hyperlink" Target="mailto:gabor_grendel@nrsr.sk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0286-4624-45D3-816F-3245D045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3</Pages>
  <Words>728</Words>
  <Characters>4151</Characters>
  <Application>Microsoft Office Word</Application>
  <DocSecurity>0</DocSecurity>
  <Lines>0</Lines>
  <Paragraphs>0</Paragraphs>
  <ScaleCrop>false</ScaleCrop>
  <Company>Kancelaria NR SR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11</cp:revision>
  <cp:lastPrinted>2017-06-19T11:57:00Z</cp:lastPrinted>
  <dcterms:created xsi:type="dcterms:W3CDTF">2017-06-16T11:25:00Z</dcterms:created>
  <dcterms:modified xsi:type="dcterms:W3CDTF">2017-06-21T11:56:00Z</dcterms:modified>
</cp:coreProperties>
</file>