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9226C">
        <w:rPr>
          <w:sz w:val="22"/>
          <w:szCs w:val="22"/>
        </w:rPr>
        <w:t>1137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9226C">
        <w:t>605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9226C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9226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9226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9226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09226C">
        <w:rPr>
          <w:rFonts w:cs="Arial"/>
          <w:szCs w:val="22"/>
        </w:rPr>
        <w:t>zákon č. 93/2005 Z. z. o autoškolách a o zmene a doplnení niektorých zákonov v znení neskorších predpisov a o doplnení zákona č. 8/2009 Z. z. o cestnej premávke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9226C">
        <w:rPr>
          <w:rFonts w:cs="Arial"/>
          <w:szCs w:val="22"/>
        </w:rPr>
        <w:t>587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9226C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95B6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95B6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95B6D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9226C" w:rsidP="0009226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09226C" w:rsidP="0009226C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09226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31747"/>
    <w:rsid w:val="0009226C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32E9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5B6D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2017-05-29T10:08:00Z</cp:lastPrinted>
  <dcterms:created xsi:type="dcterms:W3CDTF">2017-05-30T09:41:00Z</dcterms:created>
  <dcterms:modified xsi:type="dcterms:W3CDTF">2017-05-30T09:41:00Z</dcterms:modified>
</cp:coreProperties>
</file>