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B799F" w:rsidRPr="00274F6A" w:rsidP="00274F6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  <w:r w:rsidRPr="00274F6A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Dôvodová správa</w:t>
      </w:r>
    </w:p>
    <w:p w:rsidR="00BB799F" w:rsidRPr="00274F6A" w:rsidP="00274F6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274F6A">
        <w:rPr>
          <w:rFonts w:ascii="Book Antiqua" w:hAnsi="Book Antiqua" w:cs="Book Antiqua"/>
          <w:b/>
          <w:bCs/>
          <w:sz w:val="22"/>
          <w:szCs w:val="22"/>
        </w:rPr>
        <w:t> </w:t>
      </w:r>
    </w:p>
    <w:p w:rsidR="00BB799F" w:rsidRPr="00274F6A" w:rsidP="00274F6A">
      <w:pPr>
        <w:pStyle w:val="Heading1"/>
        <w:bidi w:val="0"/>
        <w:spacing w:before="120" w:line="276" w:lineRule="auto"/>
        <w:jc w:val="left"/>
        <w:rPr>
          <w:rFonts w:ascii="Book Antiqua" w:hAnsi="Book Antiqua" w:cs="Book Antiqua"/>
          <w:sz w:val="22"/>
          <w:szCs w:val="22"/>
        </w:rPr>
      </w:pPr>
      <w:r w:rsidRPr="00274F6A">
        <w:rPr>
          <w:rFonts w:ascii="Book Antiqua" w:hAnsi="Book Antiqua" w:cs="Book Antiqua"/>
          <w:sz w:val="22"/>
          <w:szCs w:val="22"/>
        </w:rPr>
        <w:t>A. Všeobecná časť</w:t>
      </w:r>
    </w:p>
    <w:p w:rsidR="00BB799F" w:rsidRPr="00274F6A" w:rsidP="00274F6A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="0051149A">
        <w:rPr>
          <w:rFonts w:ascii="Book Antiqua" w:hAnsi="Book Antiqua" w:cs="Book Antiqua"/>
          <w:sz w:val="22"/>
          <w:szCs w:val="22"/>
        </w:rPr>
        <w:t xml:space="preserve">Návrh zákona, ktorým sa </w:t>
      </w:r>
      <w:r w:rsidRPr="00274F6A">
        <w:rPr>
          <w:rFonts w:ascii="Book Antiqua" w:hAnsi="Book Antiqua" w:cs="Book Antiqua"/>
          <w:sz w:val="22"/>
          <w:szCs w:val="22"/>
        </w:rPr>
        <w:t>dopĺňa zákon č. 211/2000 Z. z. o slobodnom prístupe k informáciám a o zmene a doplnení niektorých zákonov (zákon o slobode informácií) v znení neskorších predpisov (ďalej len „návrh zákona“) predkladá skupina poslancov Národnej rady Slovenskej republiky za hnutie OBYČAJNÍ ĽUDIA a nezávislé osobnosti (OĽANO-NOVA).</w:t>
      </w:r>
    </w:p>
    <w:p w:rsidR="00BB799F" w:rsidRPr="00274F6A" w:rsidP="00274F6A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274F6A">
        <w:rPr>
          <w:rFonts w:ascii="Book Antiqua" w:hAnsi="Book Antiqua"/>
          <w:sz w:val="22"/>
          <w:szCs w:val="22"/>
        </w:rPr>
        <w:t>Filozofia zákona o slobode informácií je postavená na premise „čo je hradené z verejných prostriedkov, je verejnosti prístupné“. Verejnosť má mať plné právo vedieť</w:t>
      </w:r>
      <w:r w:rsidR="00274F6A">
        <w:rPr>
          <w:rFonts w:ascii="Book Antiqua" w:hAnsi="Book Antiqua"/>
          <w:sz w:val="22"/>
          <w:szCs w:val="22"/>
        </w:rPr>
        <w:t>, ako sa nakladá s verejnými financiami, na ktoré sa skladá zo svojich daní.</w:t>
      </w:r>
      <w:r w:rsidRPr="00274F6A">
        <w:rPr>
          <w:rFonts w:ascii="Book Antiqua" w:hAnsi="Book Antiqua" w:cs="Book Antiqua"/>
          <w:sz w:val="22"/>
          <w:szCs w:val="22"/>
        </w:rPr>
        <w:t xml:space="preserve"> </w:t>
      </w:r>
    </w:p>
    <w:p w:rsidR="00BB799F" w:rsidRPr="00274F6A" w:rsidP="00274F6A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274F6A">
        <w:rPr>
          <w:rFonts w:ascii="Book Antiqua" w:hAnsi="Book Antiqua" w:cs="Book Antiqua"/>
          <w:sz w:val="22"/>
          <w:szCs w:val="22"/>
        </w:rPr>
        <w:t>Stále viac schvaľovaných zákonov, legislatívnych aj nelegislatívnych opatrení a najmä veľkých investičných projektov sa v súčasnosti nezaobíde bez podpory rôznych analýz, štúdii, expertíz</w:t>
      </w:r>
      <w:r w:rsidR="00274F6A">
        <w:rPr>
          <w:rFonts w:ascii="Book Antiqua" w:hAnsi="Book Antiqua" w:cs="Book Antiqua"/>
          <w:sz w:val="22"/>
          <w:szCs w:val="22"/>
        </w:rPr>
        <w:t>,</w:t>
      </w:r>
      <w:r w:rsidR="00C20D6F">
        <w:rPr>
          <w:rFonts w:ascii="Book Antiqua" w:hAnsi="Book Antiqua" w:cs="Book Antiqua"/>
          <w:sz w:val="22"/>
          <w:szCs w:val="22"/>
        </w:rPr>
        <w:t xml:space="preserve"> </w:t>
      </w:r>
      <w:r w:rsidRPr="00274F6A">
        <w:rPr>
          <w:rFonts w:ascii="Book Antiqua" w:hAnsi="Book Antiqua" w:cs="Book Antiqua"/>
          <w:sz w:val="22"/>
          <w:szCs w:val="22"/>
        </w:rPr>
        <w:t>prognóz</w:t>
      </w:r>
      <w:r w:rsidR="00C20D6F">
        <w:rPr>
          <w:rFonts w:ascii="Book Antiqua" w:hAnsi="Book Antiqua" w:cs="Book Antiqua"/>
          <w:sz w:val="22"/>
          <w:szCs w:val="22"/>
        </w:rPr>
        <w:t xml:space="preserve"> alebo auditov</w:t>
      </w:r>
      <w:r w:rsidRPr="00274F6A">
        <w:rPr>
          <w:rFonts w:ascii="Book Antiqua" w:hAnsi="Book Antiqua" w:cs="Book Antiqua"/>
          <w:sz w:val="22"/>
          <w:szCs w:val="22"/>
        </w:rPr>
        <w:t>. Tento trend je nepochybne správny a vítaný. Navrhnuté opatrenia</w:t>
      </w:r>
      <w:r w:rsidR="00274F6A">
        <w:rPr>
          <w:rFonts w:ascii="Book Antiqua" w:hAnsi="Book Antiqua" w:cs="Book Antiqua"/>
          <w:sz w:val="22"/>
          <w:szCs w:val="22"/>
        </w:rPr>
        <w:t>,</w:t>
      </w:r>
      <w:r w:rsidRPr="00274F6A">
        <w:rPr>
          <w:rFonts w:ascii="Book Antiqua" w:hAnsi="Book Antiqua" w:cs="Book Antiqua"/>
          <w:sz w:val="22"/>
          <w:szCs w:val="22"/>
        </w:rPr>
        <w:t xml:space="preserve"> či investičné projekty sú odbornou aj laickou verejnosťou prijímané omnoho pozitívnejšie, keď sú podkladové analýzy, štúdie, expertízy či prognózy prezent</w:t>
      </w:r>
      <w:r w:rsidR="00274F6A">
        <w:rPr>
          <w:rFonts w:ascii="Book Antiqua" w:hAnsi="Book Antiqua" w:cs="Book Antiqua"/>
          <w:sz w:val="22"/>
          <w:szCs w:val="22"/>
        </w:rPr>
        <w:t>ované aj verejnosti. Potreba vypracovania takýchto dokumentov, či spôsob zadania ich vyhotovenia alebo cena za ich dodanie sú</w:t>
      </w:r>
      <w:r w:rsidRPr="00274F6A">
        <w:rPr>
          <w:rFonts w:ascii="Book Antiqua" w:hAnsi="Book Antiqua" w:cs="Book Antiqua"/>
          <w:sz w:val="22"/>
          <w:szCs w:val="22"/>
        </w:rPr>
        <w:t xml:space="preserve"> </w:t>
      </w:r>
      <w:r w:rsidR="00274F6A">
        <w:rPr>
          <w:rFonts w:ascii="Book Antiqua" w:hAnsi="Book Antiqua" w:cs="Book Antiqua"/>
          <w:sz w:val="22"/>
          <w:szCs w:val="22"/>
        </w:rPr>
        <w:t>však na Slovensku neraz zneužívané</w:t>
      </w:r>
      <w:r w:rsidRPr="00274F6A">
        <w:rPr>
          <w:rFonts w:ascii="Book Antiqua" w:hAnsi="Book Antiqua" w:cs="Book Antiqua"/>
          <w:sz w:val="22"/>
          <w:szCs w:val="22"/>
        </w:rPr>
        <w:t xml:space="preserve">.    </w:t>
      </w:r>
    </w:p>
    <w:p w:rsidR="00BB799F" w:rsidRPr="00274F6A" w:rsidP="00274F6A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274F6A">
        <w:rPr>
          <w:rFonts w:ascii="Book Antiqua" w:hAnsi="Book Antiqua" w:cs="Book Antiqua"/>
          <w:sz w:val="22"/>
          <w:szCs w:val="22"/>
        </w:rPr>
        <w:t>Analýzy, štúdie, expertízy</w:t>
      </w:r>
      <w:r w:rsidR="00274F6A">
        <w:rPr>
          <w:rFonts w:ascii="Book Antiqua" w:hAnsi="Book Antiqua" w:cs="Book Antiqua"/>
          <w:sz w:val="22"/>
          <w:szCs w:val="22"/>
        </w:rPr>
        <w:t>,</w:t>
      </w:r>
      <w:r w:rsidRPr="00274F6A">
        <w:rPr>
          <w:rFonts w:ascii="Book Antiqua" w:hAnsi="Book Antiqua" w:cs="Book Antiqua"/>
          <w:sz w:val="22"/>
          <w:szCs w:val="22"/>
        </w:rPr>
        <w:t xml:space="preserve"> či prognózy pre potreby verejnej správy sú vypracúvané buď interne v rámci konkrétnych pracovísk verejnej správy alebo externe na základe objednávky subjektu verejnej správy. Napriek ohromnému množstvu údajov a dát, ktoré majú orgány štátnej správy k dispozícii, sa množia zadania na externé vypracovanie takýchto dokumentov. V každom prípade, bez ohľadu na to</w:t>
      </w:r>
      <w:r w:rsidR="00274F6A">
        <w:rPr>
          <w:rFonts w:ascii="Book Antiqua" w:hAnsi="Book Antiqua" w:cs="Book Antiqua"/>
          <w:sz w:val="22"/>
          <w:szCs w:val="22"/>
        </w:rPr>
        <w:t>, či sú takéto</w:t>
      </w:r>
      <w:r w:rsidRPr="00274F6A">
        <w:rPr>
          <w:rFonts w:ascii="Book Antiqua" w:hAnsi="Book Antiqua" w:cs="Book Antiqua"/>
          <w:sz w:val="22"/>
          <w:szCs w:val="22"/>
        </w:rPr>
        <w:t xml:space="preserve"> dokumenty vypracúvané interne alebo externe, ich príprava je financovaná z verejných zdrojov.</w:t>
      </w:r>
    </w:p>
    <w:p w:rsidR="00BB799F" w:rsidRPr="00274F6A" w:rsidP="00274F6A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274F6A">
        <w:rPr>
          <w:rFonts w:ascii="Book Antiqua" w:hAnsi="Book Antiqua" w:cs="Book Antiqua"/>
          <w:b/>
          <w:bCs/>
          <w:sz w:val="22"/>
          <w:szCs w:val="22"/>
        </w:rPr>
        <w:t>Cieľom predloženého návrhu zákona je vniesť filozofiu a ducha zákona o slobode informácií aj na významné dokumenty, ktorých vypracovanie je hradené z verejných zdrojov. Návrhom zákona sa zavádza povinné zverejňovanie analýz, štúdii, expertíz</w:t>
      </w:r>
      <w:r w:rsidR="00C20D6F">
        <w:rPr>
          <w:rFonts w:ascii="Book Antiqua" w:hAnsi="Book Antiqua" w:cs="Book Antiqua"/>
          <w:b/>
          <w:bCs/>
          <w:sz w:val="22"/>
          <w:szCs w:val="22"/>
        </w:rPr>
        <w:t xml:space="preserve"> a</w:t>
      </w:r>
      <w:r w:rsidRPr="00274F6A">
        <w:rPr>
          <w:rFonts w:ascii="Book Antiqua" w:hAnsi="Book Antiqua" w:cs="Book Antiqua"/>
          <w:b/>
          <w:bCs/>
          <w:sz w:val="22"/>
          <w:szCs w:val="22"/>
        </w:rPr>
        <w:t xml:space="preserve"> prognóz zhotovených z verejných prostriedkov, alebo získaných za verejné prostriedky.   </w:t>
      </w:r>
    </w:p>
    <w:p w:rsidR="00BB799F" w:rsidRPr="00274F6A" w:rsidP="00274F6A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274F6A">
        <w:rPr>
          <w:rFonts w:ascii="Book Antiqua" w:hAnsi="Book Antiqua" w:cs="Book Antiqua"/>
          <w:sz w:val="22"/>
          <w:szCs w:val="22"/>
        </w:rPr>
        <w:t>Zverejnené, a teda nepretržite prístupné analýzy, štúdie, expertízy</w:t>
      </w:r>
      <w:r w:rsidR="00274F6A">
        <w:rPr>
          <w:rFonts w:ascii="Book Antiqua" w:hAnsi="Book Antiqua" w:cs="Book Antiqua"/>
          <w:sz w:val="22"/>
          <w:szCs w:val="22"/>
        </w:rPr>
        <w:t>,</w:t>
      </w:r>
      <w:r w:rsidRPr="00274F6A">
        <w:rPr>
          <w:rFonts w:ascii="Book Antiqua" w:hAnsi="Book Antiqua" w:cs="Book Antiqua"/>
          <w:sz w:val="22"/>
          <w:szCs w:val="22"/>
        </w:rPr>
        <w:t xml:space="preserve"> či prognózy sú spôsobilé vniesť do života spoločnosti viacero pozitív. Okrem posilnenia transparentnosti a účelnosti vynakladania verejných prostriedkov, je to najmä posilnenie odborných diskusií</w:t>
      </w:r>
      <w:r w:rsidR="00274F6A">
        <w:rPr>
          <w:rFonts w:ascii="Book Antiqua" w:hAnsi="Book Antiqua" w:cs="Book Antiqua"/>
          <w:sz w:val="22"/>
          <w:szCs w:val="22"/>
        </w:rPr>
        <w:t>,</w:t>
      </w:r>
      <w:r w:rsidRPr="00274F6A">
        <w:rPr>
          <w:rFonts w:ascii="Book Antiqua" w:hAnsi="Book Antiqua" w:cs="Book Antiqua"/>
          <w:sz w:val="22"/>
          <w:szCs w:val="22"/>
        </w:rPr>
        <w:t xml:space="preserve"> či otvorenie nových spoločenských otázok. Takto zverejnené dokumenty zabránia prípadnej duplicite ich vypracúvania.      </w:t>
      </w:r>
    </w:p>
    <w:p w:rsidR="00BB799F" w:rsidRPr="00274F6A" w:rsidP="00274F6A">
      <w:pPr>
        <w:bidi w:val="0"/>
        <w:spacing w:before="120" w:line="276" w:lineRule="auto"/>
        <w:ind w:firstLine="709"/>
        <w:jc w:val="both"/>
        <w:rPr>
          <w:rFonts w:ascii="Book Antiqua" w:hAnsi="Book Antiqua" w:cs="Book Antiqua"/>
          <w:sz w:val="22"/>
          <w:szCs w:val="22"/>
        </w:rPr>
      </w:pPr>
      <w:r w:rsidRPr="00274F6A">
        <w:rPr>
          <w:rFonts w:ascii="Book Antiqua" w:hAnsi="Book Antiqua" w:cs="Book Antiqua"/>
          <w:sz w:val="22"/>
          <w:szCs w:val="22"/>
        </w:rPr>
        <w:t xml:space="preserve">Od návrhu zákona sa aj napriek mierne zvýšenej administratíve </w:t>
      </w:r>
      <w:r w:rsidR="00274F6A">
        <w:rPr>
          <w:rFonts w:ascii="Book Antiqua" w:hAnsi="Book Antiqua" w:cs="Book Antiqua"/>
          <w:sz w:val="22"/>
          <w:szCs w:val="22"/>
        </w:rPr>
        <w:t xml:space="preserve">očakáva </w:t>
      </w:r>
      <w:r w:rsidRPr="00274F6A">
        <w:rPr>
          <w:rFonts w:ascii="Book Antiqua" w:hAnsi="Book Antiqua" w:cs="Book Antiqua"/>
          <w:sz w:val="22"/>
          <w:szCs w:val="22"/>
        </w:rPr>
        <w:t xml:space="preserve">pozitívny vplyv na rozpočet verejnej správy, a tiež na informatizáciu spoločnosti. Návrh zákona nemá vplyv na podnikateľské prostredie, životné prostredie a nemá ani žiadne sociálne vplyvy. </w:t>
      </w:r>
    </w:p>
    <w:p w:rsidR="00BB799F" w:rsidRPr="00274F6A" w:rsidP="00274F6A">
      <w:pPr>
        <w:bidi w:val="0"/>
        <w:spacing w:before="120" w:line="276" w:lineRule="auto"/>
        <w:ind w:firstLine="709"/>
        <w:jc w:val="both"/>
        <w:rPr>
          <w:rFonts w:ascii="Book Antiqua" w:hAnsi="Book Antiqua" w:cs="Book Antiqua"/>
          <w:sz w:val="22"/>
          <w:szCs w:val="22"/>
        </w:rPr>
      </w:pPr>
      <w:r w:rsidRPr="00274F6A">
        <w:rPr>
          <w:rFonts w:ascii="Book Antiqua" w:hAnsi="Book Antiqua" w:cs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BB799F" w:rsidRPr="00274F6A" w:rsidP="00274F6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274F6A">
        <w:rPr>
          <w:rFonts w:ascii="Book Antiqua" w:hAnsi="Book Antiqua" w:cs="Book Antiqua"/>
          <w:b/>
          <w:bCs/>
          <w:sz w:val="22"/>
          <w:szCs w:val="22"/>
        </w:rPr>
        <w:t>B. Osobitná časť</w:t>
      </w:r>
    </w:p>
    <w:p w:rsidR="00BB799F" w:rsidRPr="00274F6A" w:rsidP="00274F6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BB799F" w:rsidRPr="00274F6A" w:rsidP="00274F6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274F6A">
        <w:rPr>
          <w:rFonts w:ascii="Book Antiqua" w:hAnsi="Book Antiqua" w:cs="Book Antiqua"/>
          <w:b/>
          <w:bCs/>
          <w:sz w:val="22"/>
          <w:szCs w:val="22"/>
        </w:rPr>
        <w:t xml:space="preserve">K Čl. I </w:t>
      </w:r>
    </w:p>
    <w:p w:rsidR="00BB799F" w:rsidRPr="00274F6A" w:rsidP="00274F6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cs="Book Antiqua"/>
          <w:sz w:val="22"/>
          <w:szCs w:val="22"/>
          <w:u w:val="single"/>
        </w:rPr>
      </w:pPr>
      <w:r w:rsidR="00274F6A">
        <w:rPr>
          <w:rFonts w:ascii="Book Antiqua" w:hAnsi="Book Antiqua" w:cs="Book Antiqua"/>
          <w:sz w:val="22"/>
          <w:szCs w:val="22"/>
          <w:u w:val="single"/>
        </w:rPr>
        <w:t>K bodom</w:t>
      </w:r>
      <w:r w:rsidRPr="00274F6A">
        <w:rPr>
          <w:rFonts w:ascii="Book Antiqua" w:hAnsi="Book Antiqua" w:cs="Book Antiqua"/>
          <w:sz w:val="22"/>
          <w:szCs w:val="22"/>
          <w:u w:val="single"/>
        </w:rPr>
        <w:t> 1 a 2</w:t>
      </w:r>
    </w:p>
    <w:p w:rsidR="00BB799F" w:rsidRPr="00274F6A" w:rsidP="00274F6A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274F6A">
        <w:rPr>
          <w:rFonts w:ascii="Book Antiqua" w:hAnsi="Book Antiqua" w:cs="Book Antiqua"/>
          <w:sz w:val="22"/>
          <w:szCs w:val="22"/>
        </w:rPr>
        <w:t xml:space="preserve">Povinné zverejňovanie zmlúv predstavuje jeden z najväčších míľnikov v boji za zvýšenie transparentnosti vo verejnej správe. Hoci samotné zverejnenie zmluvy ešte verejné prostriedky neušetrí, pozitívny vplyv tohto opatrenia na rozpočet verejnej správy je nepopierateľný. </w:t>
      </w:r>
    </w:p>
    <w:p w:rsidR="00BB799F" w:rsidRPr="00274F6A" w:rsidP="00274F6A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274F6A">
        <w:rPr>
          <w:rFonts w:ascii="Book Antiqua" w:hAnsi="Book Antiqua" w:cs="Book Antiqua"/>
          <w:sz w:val="22"/>
          <w:szCs w:val="22"/>
        </w:rPr>
        <w:t>V súčasnos</w:t>
      </w:r>
      <w:r w:rsidR="00274F6A">
        <w:rPr>
          <w:rFonts w:ascii="Book Antiqua" w:hAnsi="Book Antiqua" w:cs="Book Antiqua"/>
          <w:sz w:val="22"/>
          <w:szCs w:val="22"/>
        </w:rPr>
        <w:t xml:space="preserve">ti sa takpovediac periodicky </w:t>
      </w:r>
      <w:r w:rsidRPr="00274F6A">
        <w:rPr>
          <w:rFonts w:ascii="Book Antiqua" w:hAnsi="Book Antiqua" w:cs="Book Antiqua"/>
          <w:sz w:val="22"/>
          <w:szCs w:val="22"/>
        </w:rPr>
        <w:t>objavujú dôvodné podozrenia z nehospodárnym nakladaním s verejnými prostriedkami, viažucich sa na predražené a nekvalitné štúdie a analýzy. Nie je ničím nezvyčajným, že ministerstvá</w:t>
      </w:r>
      <w:r w:rsidR="00274F6A">
        <w:rPr>
          <w:rFonts w:ascii="Book Antiqua" w:hAnsi="Book Antiqua" w:cs="Book Antiqua"/>
          <w:sz w:val="22"/>
          <w:szCs w:val="22"/>
        </w:rPr>
        <w:t>,</w:t>
      </w:r>
      <w:r w:rsidRPr="00274F6A">
        <w:rPr>
          <w:rFonts w:ascii="Book Antiqua" w:hAnsi="Book Antiqua" w:cs="Book Antiqua"/>
          <w:sz w:val="22"/>
          <w:szCs w:val="22"/>
        </w:rPr>
        <w:t xml:space="preserve"> či iné orgány verejnej správy si nechajú vypracovať analýzy za desaťtisíce eur, napriek tomu, že v danej oblasti zamestnávajú desiatky odborníkov v danej oblasti a zároveň majú k dispozícii aj najväčšie množstvá dát a údajov. Dodané analýzy</w:t>
      </w:r>
      <w:r w:rsidR="00274F6A">
        <w:rPr>
          <w:rFonts w:ascii="Book Antiqua" w:hAnsi="Book Antiqua" w:cs="Book Antiqua"/>
          <w:sz w:val="22"/>
          <w:szCs w:val="22"/>
        </w:rPr>
        <w:t>,</w:t>
      </w:r>
      <w:r w:rsidRPr="00274F6A">
        <w:rPr>
          <w:rFonts w:ascii="Book Antiqua" w:hAnsi="Book Antiqua" w:cs="Book Antiqua"/>
          <w:sz w:val="22"/>
          <w:szCs w:val="22"/>
        </w:rPr>
        <w:t xml:space="preserve"> či iné obdobné dokumenty sú však</w:t>
      </w:r>
      <w:r w:rsidR="00274F6A">
        <w:rPr>
          <w:rFonts w:ascii="Book Antiqua" w:hAnsi="Book Antiqua" w:cs="Book Antiqua"/>
          <w:sz w:val="22"/>
          <w:szCs w:val="22"/>
        </w:rPr>
        <w:t xml:space="preserve"> neraz len </w:t>
      </w:r>
      <w:r w:rsidRPr="00274F6A">
        <w:rPr>
          <w:rFonts w:ascii="Book Antiqua" w:hAnsi="Book Antiqua" w:cs="Book Antiqua"/>
          <w:sz w:val="22"/>
          <w:szCs w:val="22"/>
        </w:rPr>
        <w:t>kompilátmi bezcenných informácii. Bohužiaľ, nekvali</w:t>
      </w:r>
      <w:r w:rsidR="00274F6A">
        <w:rPr>
          <w:rFonts w:ascii="Book Antiqua" w:hAnsi="Book Antiqua" w:cs="Book Antiqua"/>
          <w:sz w:val="22"/>
          <w:szCs w:val="22"/>
        </w:rPr>
        <w:t>tné analýzy sú neraz vypracované</w:t>
      </w:r>
      <w:r w:rsidRPr="00274F6A">
        <w:rPr>
          <w:rFonts w:ascii="Book Antiqua" w:hAnsi="Book Antiqua" w:cs="Book Antiqua"/>
          <w:sz w:val="22"/>
          <w:szCs w:val="22"/>
        </w:rPr>
        <w:t xml:space="preserve"> aj subjektmi verejne</w:t>
      </w:r>
      <w:r w:rsidR="00274F6A">
        <w:rPr>
          <w:rFonts w:ascii="Book Antiqua" w:hAnsi="Book Antiqua" w:cs="Book Antiqua"/>
          <w:sz w:val="22"/>
          <w:szCs w:val="22"/>
        </w:rPr>
        <w:t>j správy. Nekvalitné analýzy, štúdie</w:t>
      </w:r>
      <w:r w:rsidRPr="00274F6A">
        <w:rPr>
          <w:rFonts w:ascii="Book Antiqua" w:hAnsi="Book Antiqua" w:cs="Book Antiqua"/>
          <w:sz w:val="22"/>
          <w:szCs w:val="22"/>
        </w:rPr>
        <w:t xml:space="preserve"> a podobné dokumenty môžu byť indikátorom nekompetentnosti, no môžu odhaliť aj hlbšie zakorenené nedostatky subjektu verejnej správy. </w:t>
      </w:r>
    </w:p>
    <w:p w:rsidR="00BB799F" w:rsidRPr="00274F6A" w:rsidP="00274F6A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274F6A">
        <w:rPr>
          <w:rFonts w:ascii="Book Antiqua" w:hAnsi="Book Antiqua" w:cs="Book Antiqua"/>
          <w:sz w:val="22"/>
          <w:szCs w:val="22"/>
        </w:rPr>
        <w:t xml:space="preserve">Po vzore povinného zverejňovania zmlúv </w:t>
      </w:r>
      <w:r w:rsidRPr="00274F6A">
        <w:rPr>
          <w:rFonts w:ascii="Book Antiqua" w:hAnsi="Book Antiqua" w:cs="Book Antiqua"/>
          <w:b/>
          <w:bCs/>
          <w:sz w:val="22"/>
          <w:szCs w:val="22"/>
        </w:rPr>
        <w:t>sa navrhuje zavedenie povinného zverejňovania štúdií, analýz, prognóz, správ, ankiet, prieskumov, expertíz a ďalších informácií majúcich obdobný charakter</w:t>
      </w:r>
      <w:r w:rsidRPr="00274F6A">
        <w:rPr>
          <w:rFonts w:ascii="Book Antiqua" w:hAnsi="Book Antiqua" w:cs="Book Antiqua"/>
          <w:sz w:val="22"/>
          <w:szCs w:val="22"/>
        </w:rPr>
        <w:t xml:space="preserve">. </w:t>
      </w:r>
      <w:r w:rsidR="00C20D6F">
        <w:rPr>
          <w:rFonts w:ascii="Book Antiqua" w:hAnsi="Book Antiqua" w:cs="Book Antiqua"/>
          <w:sz w:val="22"/>
          <w:szCs w:val="22"/>
        </w:rPr>
        <w:t xml:space="preserve">K informáciám majúcim obdobný charakter patria napr. audity. </w:t>
      </w:r>
      <w:r w:rsidRPr="00274F6A">
        <w:rPr>
          <w:rFonts w:ascii="Book Antiqua" w:hAnsi="Book Antiqua" w:cs="Book Antiqua"/>
          <w:sz w:val="22"/>
          <w:szCs w:val="22"/>
        </w:rPr>
        <w:t xml:space="preserve">Dokumenty budú zverejnené do 10 dní od ich vyhotovenia </w:t>
      </w:r>
      <w:r w:rsidR="001F061C">
        <w:rPr>
          <w:rFonts w:ascii="Book Antiqua" w:hAnsi="Book Antiqua" w:cs="Book Antiqua"/>
          <w:sz w:val="22"/>
          <w:szCs w:val="22"/>
        </w:rPr>
        <w:t xml:space="preserve">samotnou povinnou osobou </w:t>
      </w:r>
      <w:r w:rsidRPr="00274F6A">
        <w:rPr>
          <w:rFonts w:ascii="Book Antiqua" w:hAnsi="Book Antiqua" w:cs="Book Antiqua"/>
          <w:sz w:val="22"/>
          <w:szCs w:val="22"/>
        </w:rPr>
        <w:t xml:space="preserve">alebo doručenia </w:t>
      </w:r>
      <w:r w:rsidR="001F061C">
        <w:rPr>
          <w:rFonts w:ascii="Book Antiqua" w:hAnsi="Book Antiqua" w:cs="Book Antiqua"/>
          <w:sz w:val="22"/>
          <w:szCs w:val="22"/>
        </w:rPr>
        <w:t xml:space="preserve">tejto povinnej osobe treťou osobou (napr. audítorskou spoločnosťou) </w:t>
      </w:r>
      <w:r w:rsidRPr="00274F6A">
        <w:rPr>
          <w:rFonts w:ascii="Book Antiqua" w:hAnsi="Book Antiqua" w:cs="Book Antiqua"/>
          <w:sz w:val="22"/>
          <w:szCs w:val="22"/>
        </w:rPr>
        <w:t xml:space="preserve">a budú nepretržite prístupné </w:t>
      </w:r>
      <w:r w:rsidRPr="00274F6A">
        <w:rPr>
          <w:rFonts w:ascii="Book Antiqua" w:hAnsi="Book Antiqua" w:cs="Book Antiqua"/>
          <w:b/>
          <w:bCs/>
          <w:sz w:val="22"/>
          <w:szCs w:val="22"/>
        </w:rPr>
        <w:t>po dobu 5 rokov</w:t>
      </w:r>
      <w:r w:rsidRPr="00274F6A">
        <w:rPr>
          <w:rFonts w:ascii="Book Antiqua" w:hAnsi="Book Antiqua" w:cs="Book Antiqua"/>
          <w:sz w:val="22"/>
          <w:szCs w:val="22"/>
        </w:rPr>
        <w:t xml:space="preserve">, rovnako ako je tomu v prípade povinne zverejňovaných zmlúv. </w:t>
      </w:r>
    </w:p>
    <w:p w:rsidR="00BB799F" w:rsidRPr="00274F6A" w:rsidP="00274F6A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274F6A">
        <w:rPr>
          <w:rFonts w:ascii="Book Antiqua" w:hAnsi="Book Antiqua" w:cs="Book Antiqua"/>
          <w:color w:val="FF0000"/>
          <w:sz w:val="22"/>
          <w:szCs w:val="22"/>
        </w:rPr>
        <w:tab/>
      </w:r>
      <w:r w:rsidRPr="00274F6A">
        <w:rPr>
          <w:rFonts w:ascii="Book Antiqua" w:hAnsi="Book Antiqua" w:cs="Book Antiqua"/>
          <w:sz w:val="22"/>
          <w:szCs w:val="22"/>
        </w:rPr>
        <w:t xml:space="preserve">Na zverejňovanie dokumentov sa budú </w:t>
      </w:r>
      <w:r w:rsidR="001F061C">
        <w:rPr>
          <w:rFonts w:ascii="Book Antiqua" w:hAnsi="Book Antiqua" w:cs="Book Antiqua"/>
          <w:sz w:val="22"/>
          <w:szCs w:val="22"/>
        </w:rPr>
        <w:t xml:space="preserve">podľa § 6 ods. 6 zákona o slobode informácií </w:t>
      </w:r>
      <w:r w:rsidRPr="00274F6A">
        <w:rPr>
          <w:rFonts w:ascii="Book Antiqua" w:hAnsi="Book Antiqua" w:cs="Book Antiqua"/>
          <w:sz w:val="22"/>
          <w:szCs w:val="22"/>
        </w:rPr>
        <w:t>vzťahovať rovnaké obmedzenia</w:t>
      </w:r>
      <w:r w:rsidR="001F061C">
        <w:rPr>
          <w:rFonts w:ascii="Book Antiqua" w:hAnsi="Book Antiqua" w:cs="Book Antiqua"/>
          <w:sz w:val="22"/>
          <w:szCs w:val="22"/>
        </w:rPr>
        <w:t>,</w:t>
      </w:r>
      <w:r w:rsidRPr="00274F6A">
        <w:rPr>
          <w:rFonts w:ascii="Book Antiqua" w:hAnsi="Book Antiqua" w:cs="Book Antiqua"/>
          <w:sz w:val="22"/>
          <w:szCs w:val="22"/>
        </w:rPr>
        <w:t xml:space="preserve"> aké platia pri sprístupňovanie informácií</w:t>
      </w:r>
      <w:r w:rsidR="001F061C">
        <w:rPr>
          <w:rFonts w:ascii="Book Antiqua" w:hAnsi="Book Antiqua" w:cs="Book Antiqua"/>
          <w:sz w:val="22"/>
          <w:szCs w:val="22"/>
        </w:rPr>
        <w:t xml:space="preserve"> podľa § 8 až 12 zákona o slobode informácií</w:t>
      </w:r>
      <w:r w:rsidRPr="00274F6A">
        <w:rPr>
          <w:rFonts w:ascii="Book Antiqua" w:hAnsi="Book Antiqua" w:cs="Book Antiqua"/>
          <w:sz w:val="22"/>
          <w:szCs w:val="22"/>
        </w:rPr>
        <w:t>. To znamená, že na zverejňované dokumenty sa uplatní rovnaká ochrana utajovaných skutočností, osobných údajov, obchodného tajomstva a podobne.</w:t>
      </w:r>
    </w:p>
    <w:p w:rsidR="00BB799F" w:rsidRPr="00274F6A" w:rsidP="00274F6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cs="Book Antiqua"/>
          <w:sz w:val="22"/>
          <w:szCs w:val="22"/>
          <w:u w:val="single"/>
        </w:rPr>
      </w:pPr>
      <w:r w:rsidRPr="00274F6A">
        <w:rPr>
          <w:rFonts w:ascii="Book Antiqua" w:hAnsi="Book Antiqua" w:cs="Book Antiqua"/>
          <w:sz w:val="22"/>
          <w:szCs w:val="22"/>
          <w:u w:val="single"/>
        </w:rPr>
        <w:t>K bodu 3</w:t>
      </w:r>
    </w:p>
    <w:p w:rsidR="001F061C" w:rsidP="00274F6A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274F6A" w:rsidR="00BB799F">
        <w:rPr>
          <w:rFonts w:ascii="Book Antiqua" w:hAnsi="Book Antiqua" w:cs="Book Antiqua"/>
          <w:sz w:val="22"/>
          <w:szCs w:val="22"/>
        </w:rPr>
        <w:t>Zavádzajú sa intertemporálne ustanovenia, ktoré určujú, že novo navrhovaná úprava nemá retroaktívne účinky, ale n</w:t>
      </w:r>
      <w:r>
        <w:rPr>
          <w:rFonts w:ascii="Book Antiqua" w:hAnsi="Book Antiqua" w:cs="Book Antiqua"/>
          <w:sz w:val="22"/>
          <w:szCs w:val="22"/>
        </w:rPr>
        <w:t>aopak prvý krát sa uplatní až od 1. novembra</w:t>
      </w:r>
      <w:r w:rsidRPr="00274F6A" w:rsidR="00BB799F">
        <w:rPr>
          <w:rFonts w:ascii="Book Antiqua" w:hAnsi="Book Antiqua" w:cs="Book Antiqua"/>
          <w:sz w:val="22"/>
          <w:szCs w:val="22"/>
        </w:rPr>
        <w:t xml:space="preserve"> 2017. </w:t>
      </w:r>
    </w:p>
    <w:p w:rsidR="001F061C" w:rsidP="001F061C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1F061C" w:rsidRPr="00EA7689" w:rsidP="001F061C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EA7689">
        <w:rPr>
          <w:rFonts w:ascii="Book Antiqua" w:hAnsi="Book Antiqua"/>
          <w:b/>
          <w:sz w:val="22"/>
          <w:szCs w:val="22"/>
        </w:rPr>
        <w:t>K Čl. II</w:t>
      </w:r>
    </w:p>
    <w:p w:rsidR="00BB799F" w:rsidRPr="00274F6A" w:rsidP="001F061C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EA7689" w:rsidR="001F061C">
        <w:rPr>
          <w:rFonts w:ascii="Book Antiqua" w:hAnsi="Book Antiqua"/>
          <w:bCs/>
          <w:sz w:val="22"/>
          <w:szCs w:val="22"/>
        </w:rPr>
        <w:t>Navrhuje sa účinnosť predkladaného návrhu zákona so zohľadnením potrebnej dĺžky legisvakančnej lehoty na</w:t>
      </w:r>
      <w:r w:rsidRPr="00EA7689" w:rsidR="001F061C">
        <w:rPr>
          <w:rFonts w:ascii="Book Antiqua" w:hAnsi="Book Antiqua"/>
          <w:sz w:val="22"/>
          <w:szCs w:val="22"/>
        </w:rPr>
        <w:t xml:space="preserve"> 1. novembra 2017.</w:t>
      </w:r>
    </w:p>
    <w:p w:rsidR="00BB799F" w:rsidRPr="00274F6A" w:rsidP="00274F6A">
      <w:pPr>
        <w:bidi w:val="0"/>
        <w:spacing w:before="120" w:line="276" w:lineRule="auto"/>
        <w:jc w:val="both"/>
        <w:rPr>
          <w:rFonts w:ascii="Book Antiqua" w:hAnsi="Book Antiqua" w:cs="Book Antiqua"/>
          <w:color w:val="FF0000"/>
          <w:sz w:val="22"/>
          <w:szCs w:val="22"/>
        </w:rPr>
      </w:pPr>
    </w:p>
    <w:p w:rsidR="00BB799F" w:rsidRPr="00274F6A" w:rsidP="00274F6A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color w:val="FF0000"/>
          <w:sz w:val="22"/>
          <w:szCs w:val="22"/>
        </w:rPr>
      </w:pPr>
    </w:p>
    <w:p w:rsidR="00BB799F" w:rsidRPr="00274F6A" w:rsidP="001F061C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 w:cs="Book Antiqua"/>
          <w:b/>
          <w:bCs/>
          <w:caps/>
          <w:color w:val="FF0000"/>
          <w:spacing w:val="30"/>
          <w:sz w:val="22"/>
          <w:szCs w:val="22"/>
        </w:rPr>
      </w:pPr>
    </w:p>
    <w:p w:rsidR="00BB799F" w:rsidRPr="00274F6A" w:rsidP="00274F6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274F6A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DOLOŽKA ZLUČITEĽNOSTI</w:t>
      </w:r>
    </w:p>
    <w:p w:rsidR="00BB799F" w:rsidRPr="00274F6A" w:rsidP="00274F6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274F6A">
        <w:rPr>
          <w:rFonts w:ascii="Book Antiqua" w:hAnsi="Book Antiqua" w:cs="Book Antiqua"/>
          <w:b/>
          <w:bCs/>
          <w:sz w:val="22"/>
          <w:szCs w:val="22"/>
        </w:rPr>
        <w:t>návrhu zákona</w:t>
      </w:r>
      <w:r w:rsidRPr="00274F6A">
        <w:rPr>
          <w:rFonts w:ascii="Book Antiqua" w:hAnsi="Book Antiqua" w:cs="Book Antiqua"/>
          <w:sz w:val="22"/>
          <w:szCs w:val="22"/>
        </w:rPr>
        <w:t xml:space="preserve"> </w:t>
      </w:r>
      <w:r w:rsidRPr="00274F6A">
        <w:rPr>
          <w:rFonts w:ascii="Book Antiqua" w:hAnsi="Book Antiqua" w:cs="Book Antiqua"/>
          <w:b/>
          <w:bCs/>
          <w:sz w:val="22"/>
          <w:szCs w:val="22"/>
        </w:rPr>
        <w:t>s právom Európskej únie</w:t>
      </w:r>
    </w:p>
    <w:p w:rsidR="00BB799F" w:rsidRPr="00274F6A" w:rsidP="00274F6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274F6A">
        <w:rPr>
          <w:rFonts w:ascii="Book Antiqua" w:hAnsi="Book Antiqua" w:cs="Book Antiqua"/>
          <w:sz w:val="22"/>
          <w:szCs w:val="22"/>
        </w:rPr>
        <w:t> </w:t>
      </w:r>
    </w:p>
    <w:p w:rsidR="00BB799F" w:rsidRPr="00274F6A" w:rsidP="00274F6A">
      <w:pPr>
        <w:pStyle w:val="NormalWeb"/>
        <w:numPr>
          <w:numId w:val="2"/>
        </w:numPr>
        <w:bidi w:val="0"/>
        <w:spacing w:before="120" w:beforeAutospacing="0" w:after="0" w:afterAutospacing="0" w:line="276" w:lineRule="auto"/>
        <w:ind w:left="426"/>
        <w:jc w:val="both"/>
        <w:rPr>
          <w:rFonts w:ascii="Book Antiqua" w:hAnsi="Book Antiqua" w:cs="Book Antiqua"/>
          <w:sz w:val="22"/>
          <w:szCs w:val="22"/>
        </w:rPr>
      </w:pPr>
      <w:r w:rsidRPr="00274F6A">
        <w:rPr>
          <w:rFonts w:ascii="Book Antiqua" w:hAnsi="Book Antiqua" w:cs="Book Antiqua"/>
          <w:b/>
          <w:bCs/>
          <w:sz w:val="22"/>
          <w:szCs w:val="22"/>
        </w:rPr>
        <w:t>Navrhovateľ zákona:</w:t>
      </w:r>
      <w:r w:rsidRPr="00274F6A">
        <w:rPr>
          <w:rFonts w:ascii="Book Antiqua" w:hAnsi="Book Antiqua" w:cs="Book Antiqua"/>
          <w:sz w:val="22"/>
          <w:szCs w:val="22"/>
        </w:rPr>
        <w:t xml:space="preserve"> skupina poslancov Národnej rady Slovenskej repub</w:t>
      </w:r>
      <w:r w:rsidR="001F061C">
        <w:rPr>
          <w:rFonts w:ascii="Book Antiqua" w:hAnsi="Book Antiqua" w:cs="Book Antiqua"/>
          <w:sz w:val="22"/>
          <w:szCs w:val="22"/>
        </w:rPr>
        <w:t>liky</w:t>
      </w:r>
    </w:p>
    <w:p w:rsidR="00BB799F" w:rsidRPr="00274F6A" w:rsidP="00274F6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274F6A">
        <w:rPr>
          <w:rFonts w:ascii="Book Antiqua" w:hAnsi="Book Antiqua" w:cs="Book Antiqua"/>
          <w:sz w:val="22"/>
          <w:szCs w:val="22"/>
        </w:rPr>
        <w:t> </w:t>
      </w:r>
    </w:p>
    <w:p w:rsidR="00BB799F" w:rsidRPr="00274F6A" w:rsidP="00274F6A">
      <w:pPr>
        <w:pStyle w:val="NormalWeb"/>
        <w:numPr>
          <w:numId w:val="2"/>
        </w:numPr>
        <w:bidi w:val="0"/>
        <w:spacing w:before="120" w:beforeAutospacing="0" w:after="0" w:afterAutospacing="0" w:line="276" w:lineRule="auto"/>
        <w:ind w:left="426"/>
        <w:jc w:val="both"/>
        <w:rPr>
          <w:rFonts w:ascii="Book Antiqua" w:hAnsi="Book Antiqua" w:cs="Book Antiqua"/>
          <w:sz w:val="22"/>
          <w:szCs w:val="22"/>
        </w:rPr>
      </w:pPr>
      <w:r w:rsidRPr="00274F6A">
        <w:rPr>
          <w:rFonts w:ascii="Book Antiqua" w:hAnsi="Book Antiqua" w:cs="Book Antiqua"/>
          <w:b/>
          <w:bCs/>
          <w:sz w:val="22"/>
          <w:szCs w:val="22"/>
        </w:rPr>
        <w:t>Názov návrhu zákona</w:t>
      </w:r>
      <w:r w:rsidRPr="00274F6A">
        <w:rPr>
          <w:rFonts w:ascii="Book Antiqua" w:hAnsi="Book Antiqua" w:cs="Book Antiqua"/>
          <w:sz w:val="22"/>
          <w:szCs w:val="22"/>
        </w:rPr>
        <w:t>:</w:t>
      </w:r>
      <w:r w:rsidR="0051149A">
        <w:rPr>
          <w:rFonts w:ascii="Book Antiqua" w:hAnsi="Book Antiqua" w:cs="Book Antiqua"/>
          <w:sz w:val="22"/>
          <w:szCs w:val="22"/>
        </w:rPr>
        <w:t xml:space="preserve"> návrh zákona, ktorým sa </w:t>
      </w:r>
      <w:r w:rsidRPr="00274F6A">
        <w:rPr>
          <w:rFonts w:ascii="Book Antiqua" w:hAnsi="Book Antiqua" w:cs="Book Antiqua"/>
          <w:sz w:val="22"/>
          <w:szCs w:val="22"/>
        </w:rPr>
        <w:t xml:space="preserve">dopĺňa zákon č. 211/2000 Z. z. o slobodnom prístupe k informáciám a o zmene a doplnení niektorých zákonov (zákon o slobode informácií) v znení neskorších predpisov </w:t>
      </w:r>
    </w:p>
    <w:p w:rsidR="00BB799F" w:rsidRPr="00274F6A" w:rsidP="00274F6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BB799F" w:rsidRPr="00274F6A" w:rsidP="00274F6A">
      <w:pPr>
        <w:pStyle w:val="NormalWeb"/>
        <w:numPr>
          <w:numId w:val="2"/>
        </w:numPr>
        <w:bidi w:val="0"/>
        <w:spacing w:before="120" w:beforeAutospacing="0" w:after="0" w:afterAutospacing="0" w:line="276" w:lineRule="auto"/>
        <w:ind w:left="426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274F6A">
        <w:rPr>
          <w:rFonts w:ascii="Book Antiqua" w:hAnsi="Book Antiqua" w:cs="Book Antiqua"/>
          <w:b/>
          <w:bCs/>
          <w:sz w:val="22"/>
          <w:szCs w:val="22"/>
        </w:rPr>
        <w:t>Predmet návrhu zákona:</w:t>
      </w:r>
    </w:p>
    <w:p w:rsidR="00BB799F" w:rsidRPr="00274F6A" w:rsidP="00274F6A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274F6A">
        <w:rPr>
          <w:rFonts w:ascii="Book Antiqua" w:hAnsi="Book Antiqua" w:cs="Book Antiqua"/>
          <w:sz w:val="22"/>
          <w:szCs w:val="22"/>
        </w:rPr>
        <w:t>nie je upravený v primárnom práve Európskej únie,</w:t>
      </w:r>
    </w:p>
    <w:p w:rsidR="00BB799F" w:rsidRPr="00274F6A" w:rsidP="00274F6A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274F6A">
        <w:rPr>
          <w:rFonts w:ascii="Book Antiqua" w:hAnsi="Book Antiqua" w:cs="Book Antiqua"/>
          <w:sz w:val="22"/>
          <w:szCs w:val="22"/>
        </w:rPr>
        <w:t>nie je upravený v sekundárnom práve Európskej únie,</w:t>
      </w:r>
    </w:p>
    <w:p w:rsidR="00BB799F" w:rsidRPr="00274F6A" w:rsidP="00274F6A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274F6A">
        <w:rPr>
          <w:rFonts w:ascii="Book Antiqua" w:hAnsi="Book Antiqua" w:cs="Book Antiqua"/>
          <w:sz w:val="22"/>
          <w:szCs w:val="22"/>
        </w:rPr>
        <w:t>nie je obsiahnutý v judikatúre Súdneho dvora Európskej únie. </w:t>
      </w:r>
    </w:p>
    <w:p w:rsidR="00BB799F" w:rsidRPr="00274F6A" w:rsidP="00274F6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BB799F" w:rsidRPr="00274F6A" w:rsidP="00274F6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274F6A">
        <w:rPr>
          <w:rFonts w:ascii="Book Antiqua" w:hAnsi="Book Antiqua" w:cs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</w:p>
    <w:p w:rsidR="00BB799F" w:rsidRPr="00274F6A" w:rsidP="00274F6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 w:cs="Book Antiqua"/>
          <w:color w:val="FF0000"/>
          <w:sz w:val="22"/>
          <w:szCs w:val="22"/>
        </w:rPr>
      </w:pPr>
    </w:p>
    <w:p w:rsidR="00BB799F" w:rsidRPr="00274F6A" w:rsidP="00274F6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 w:cs="Book Antiqua"/>
          <w:color w:val="FF0000"/>
          <w:sz w:val="22"/>
          <w:szCs w:val="22"/>
        </w:rPr>
      </w:pPr>
    </w:p>
    <w:p w:rsidR="00BB799F" w:rsidRPr="00274F6A" w:rsidP="00274F6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 w:cs="Book Antiqua"/>
          <w:color w:val="FF0000"/>
          <w:sz w:val="22"/>
          <w:szCs w:val="22"/>
        </w:rPr>
      </w:pPr>
    </w:p>
    <w:p w:rsidR="00BB799F" w:rsidRPr="00274F6A" w:rsidP="00274F6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 w:cs="Book Antiqua"/>
          <w:color w:val="FF0000"/>
          <w:sz w:val="22"/>
          <w:szCs w:val="22"/>
        </w:rPr>
      </w:pPr>
    </w:p>
    <w:p w:rsidR="00BB799F" w:rsidRPr="00274F6A" w:rsidP="00274F6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 w:cs="Book Antiqua"/>
          <w:color w:val="FF0000"/>
          <w:sz w:val="22"/>
          <w:szCs w:val="22"/>
        </w:rPr>
      </w:pPr>
    </w:p>
    <w:p w:rsidR="00BB799F" w:rsidRPr="00274F6A" w:rsidP="00274F6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 w:cs="Book Antiqua"/>
          <w:color w:val="FF0000"/>
          <w:sz w:val="22"/>
          <w:szCs w:val="22"/>
        </w:rPr>
      </w:pPr>
    </w:p>
    <w:p w:rsidR="00BB799F" w:rsidRPr="00274F6A" w:rsidP="00274F6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 w:cs="Book Antiqua"/>
          <w:color w:val="FF0000"/>
          <w:sz w:val="22"/>
          <w:szCs w:val="22"/>
        </w:rPr>
      </w:pPr>
    </w:p>
    <w:p w:rsidR="00BB799F" w:rsidRPr="00274F6A" w:rsidP="00274F6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 w:cs="Book Antiqua"/>
          <w:color w:val="FF0000"/>
          <w:sz w:val="22"/>
          <w:szCs w:val="22"/>
        </w:rPr>
      </w:pPr>
    </w:p>
    <w:p w:rsidR="00BB799F" w:rsidRPr="00274F6A" w:rsidP="00274F6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 w:cs="Book Antiqua"/>
          <w:b/>
          <w:bCs/>
          <w:caps/>
          <w:color w:val="FF0000"/>
          <w:spacing w:val="30"/>
          <w:sz w:val="22"/>
          <w:szCs w:val="22"/>
        </w:rPr>
      </w:pPr>
    </w:p>
    <w:p w:rsidR="00BB799F" w:rsidRPr="00274F6A" w:rsidP="00274F6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 w:cs="Book Antiqua"/>
          <w:b/>
          <w:bCs/>
          <w:caps/>
          <w:color w:val="FF0000"/>
          <w:spacing w:val="30"/>
          <w:sz w:val="22"/>
          <w:szCs w:val="22"/>
        </w:rPr>
      </w:pPr>
    </w:p>
    <w:p w:rsidR="00BB799F" w:rsidRPr="00274F6A" w:rsidP="00274F6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 w:cs="Book Antiqua"/>
          <w:b/>
          <w:bCs/>
          <w:caps/>
          <w:color w:val="FF0000"/>
          <w:spacing w:val="30"/>
          <w:sz w:val="22"/>
          <w:szCs w:val="22"/>
        </w:rPr>
      </w:pPr>
    </w:p>
    <w:p w:rsidR="00BB799F" w:rsidRPr="00274F6A" w:rsidP="00274F6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 w:cs="Book Antiqua"/>
          <w:b/>
          <w:bCs/>
          <w:caps/>
          <w:color w:val="FF0000"/>
          <w:spacing w:val="30"/>
          <w:sz w:val="22"/>
          <w:szCs w:val="22"/>
        </w:rPr>
      </w:pPr>
    </w:p>
    <w:p w:rsidR="00BB799F" w:rsidRPr="00274F6A" w:rsidP="00274F6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 w:cs="Book Antiqua"/>
          <w:b/>
          <w:bCs/>
          <w:caps/>
          <w:color w:val="FF0000"/>
          <w:spacing w:val="30"/>
          <w:sz w:val="22"/>
          <w:szCs w:val="22"/>
        </w:rPr>
      </w:pPr>
    </w:p>
    <w:p w:rsidR="00BB799F" w:rsidRPr="00274F6A" w:rsidP="00274F6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274F6A">
        <w:rPr>
          <w:rFonts w:ascii="Book Antiqua" w:hAnsi="Book Antiqua" w:cs="Book Antiqua"/>
          <w:b/>
          <w:bCs/>
          <w:caps/>
          <w:color w:val="FF0000"/>
          <w:spacing w:val="30"/>
          <w:sz w:val="22"/>
          <w:szCs w:val="22"/>
        </w:rPr>
        <w:br w:type="page"/>
      </w:r>
      <w:r w:rsidRPr="00274F6A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Doložka</w:t>
      </w:r>
    </w:p>
    <w:p w:rsidR="00BB799F" w:rsidRPr="00274F6A" w:rsidP="00274F6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274F6A">
        <w:rPr>
          <w:rFonts w:ascii="Book Antiqua" w:hAnsi="Book Antiqua" w:cs="Book Antiqua"/>
          <w:b/>
          <w:bCs/>
          <w:sz w:val="22"/>
          <w:szCs w:val="22"/>
        </w:rPr>
        <w:t>vybraných vplyvov</w:t>
      </w:r>
    </w:p>
    <w:p w:rsidR="00BB799F" w:rsidRPr="00274F6A" w:rsidP="00274F6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 w:cs="Book Antiqua"/>
          <w:sz w:val="22"/>
          <w:szCs w:val="22"/>
        </w:rPr>
      </w:pPr>
      <w:r w:rsidRPr="00274F6A">
        <w:rPr>
          <w:rFonts w:ascii="Book Antiqua" w:hAnsi="Book Antiqua" w:cs="Book Antiqua"/>
          <w:sz w:val="22"/>
          <w:szCs w:val="22"/>
        </w:rPr>
        <w:t> </w:t>
      </w:r>
    </w:p>
    <w:p w:rsidR="00BB799F" w:rsidRPr="00274F6A" w:rsidP="00274F6A">
      <w:pPr>
        <w:bidi w:val="0"/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274F6A">
        <w:rPr>
          <w:rFonts w:ascii="Book Antiqua" w:hAnsi="Book Antiqua" w:cs="Book Antiqua"/>
          <w:b/>
          <w:bCs/>
          <w:sz w:val="22"/>
          <w:szCs w:val="22"/>
        </w:rPr>
        <w:t xml:space="preserve">A.1. Názov materiálu: </w:t>
      </w:r>
      <w:r w:rsidR="0051149A">
        <w:rPr>
          <w:rFonts w:ascii="Book Antiqua" w:hAnsi="Book Antiqua" w:cs="Book Antiqua"/>
          <w:sz w:val="22"/>
          <w:szCs w:val="22"/>
        </w:rPr>
        <w:t xml:space="preserve">návrh zákona, ktorým sa </w:t>
      </w:r>
      <w:r w:rsidRPr="00274F6A">
        <w:rPr>
          <w:rFonts w:ascii="Book Antiqua" w:hAnsi="Book Antiqua" w:cs="Book Antiqua"/>
          <w:sz w:val="22"/>
          <w:szCs w:val="22"/>
        </w:rPr>
        <w:t>dopĺňa zákon č. 211/2000 Z. z. o slobodnom prístupe k informáciám a o zmene a doplnení niektorých zákonov (zákon o slobode informácií) v znení neskorších predpisov</w:t>
      </w:r>
    </w:p>
    <w:p w:rsidR="00BB799F" w:rsidRPr="00274F6A" w:rsidP="00274F6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274F6A">
        <w:rPr>
          <w:rFonts w:ascii="Book Antiqua" w:hAnsi="Book Antiqua" w:cs="Book Antiqua"/>
          <w:b/>
          <w:bCs/>
          <w:sz w:val="22"/>
          <w:szCs w:val="22"/>
        </w:rPr>
        <w:t>Termín začatia a ukončenia PPK:</w:t>
      </w:r>
      <w:r w:rsidRPr="00274F6A">
        <w:rPr>
          <w:rFonts w:ascii="Book Antiqua" w:hAnsi="Book Antiqua" w:cs="Book Antiqua"/>
          <w:sz w:val="22"/>
          <w:szCs w:val="22"/>
        </w:rPr>
        <w:t xml:space="preserve"> </w:t>
      </w:r>
      <w:r w:rsidRPr="00274F6A">
        <w:rPr>
          <w:rFonts w:ascii="Book Antiqua" w:hAnsi="Book Antiqua" w:cs="Book Antiqua"/>
          <w:i/>
          <w:iCs/>
          <w:sz w:val="22"/>
          <w:szCs w:val="22"/>
        </w:rPr>
        <w:t>bezpredmetné</w:t>
      </w:r>
    </w:p>
    <w:p w:rsidR="00BB799F" w:rsidRPr="00274F6A" w:rsidP="00274F6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BB799F" w:rsidRPr="00274F6A" w:rsidP="00274F6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274F6A">
        <w:rPr>
          <w:rFonts w:ascii="Book Antiqua" w:hAnsi="Book Antiqua" w:cs="Book Antiqua"/>
          <w:b/>
          <w:bCs/>
          <w:sz w:val="22"/>
          <w:szCs w:val="22"/>
        </w:rPr>
        <w:t>A.2. Vplyvy:</w:t>
      </w:r>
    </w:p>
    <w:tbl>
      <w:tblPr>
        <w:tblStyle w:val="TableNormal"/>
        <w:tblW w:w="5000" w:type="pct"/>
        <w:tblInd w:w="2" w:type="dxa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B799F" w:rsidRPr="00274F6A" w:rsidP="00274F6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 w:cs="Book Antiqua"/>
                <w:sz w:val="22"/>
                <w:szCs w:val="22"/>
              </w:rPr>
            </w:pPr>
            <w:r w:rsidRPr="00274F6A">
              <w:rPr>
                <w:rFonts w:ascii="Book Antiqua" w:hAnsi="Book Antiqua" w:cs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B799F" w:rsidRPr="00274F6A" w:rsidP="00274F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274F6A">
              <w:rPr>
                <w:rFonts w:ascii="Book Antiqua" w:hAnsi="Book Antiqua" w:cs="Book Antiqua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B799F" w:rsidRPr="00274F6A" w:rsidP="00274F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274F6A">
              <w:rPr>
                <w:rFonts w:ascii="Book Antiqua" w:hAnsi="Book Antiqua" w:cs="Book Antiqua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B799F" w:rsidRPr="00274F6A" w:rsidP="00274F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274F6A">
              <w:rPr>
                <w:rFonts w:ascii="Book Antiqua" w:hAnsi="Book Antiqua" w:cs="Book Antiqua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B799F" w:rsidRPr="00274F6A" w:rsidP="00274F6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 w:cs="Book Antiqua"/>
                <w:sz w:val="22"/>
                <w:szCs w:val="22"/>
              </w:rPr>
            </w:pPr>
            <w:r w:rsidRPr="00274F6A">
              <w:rPr>
                <w:rFonts w:ascii="Book Antiqua" w:hAnsi="Book Antiqua" w:cs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B799F" w:rsidRPr="00274F6A" w:rsidP="00274F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274F6A">
              <w:rPr>
                <w:rFonts w:ascii="Book Antiqua" w:hAnsi="Book Antiqua" w:cs="Book Antiqua"/>
                <w:sz w:val="22"/>
                <w:szCs w:val="22"/>
              </w:rPr>
              <w:t> 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B799F" w:rsidRPr="00274F6A" w:rsidP="00274F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B799F" w:rsidRPr="00274F6A" w:rsidP="00274F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B799F" w:rsidRPr="00274F6A" w:rsidP="00274F6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 w:cs="Book Antiqua"/>
                <w:sz w:val="22"/>
                <w:szCs w:val="22"/>
              </w:rPr>
            </w:pPr>
            <w:r w:rsidRPr="00274F6A">
              <w:rPr>
                <w:rFonts w:ascii="Book Antiqua" w:hAnsi="Book Antiqua" w:cs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B799F" w:rsidRPr="00274F6A" w:rsidP="00274F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B799F" w:rsidRPr="00274F6A" w:rsidP="00274F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274F6A">
              <w:rPr>
                <w:rFonts w:ascii="Book Antiqua" w:hAnsi="Book Antiqua" w:cs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B799F" w:rsidRPr="00274F6A" w:rsidP="00274F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B799F" w:rsidRPr="00274F6A" w:rsidP="00274F6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 w:cs="Book Antiqua"/>
                <w:sz w:val="22"/>
                <w:szCs w:val="22"/>
              </w:rPr>
            </w:pPr>
            <w:r w:rsidRPr="00274F6A">
              <w:rPr>
                <w:rFonts w:ascii="Book Antiqua" w:hAnsi="Book Antiqua" w:cs="Book Antiqua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B799F" w:rsidRPr="00274F6A" w:rsidP="00274F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B799F" w:rsidRPr="00274F6A" w:rsidP="00274F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274F6A">
              <w:rPr>
                <w:rFonts w:ascii="Book Antiqua" w:hAnsi="Book Antiqua" w:cs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B799F" w:rsidRPr="00274F6A" w:rsidP="00274F6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 w:cs="Book Antiqua"/>
                <w:sz w:val="22"/>
                <w:szCs w:val="22"/>
              </w:rPr>
            </w:pPr>
            <w:r w:rsidRPr="00274F6A">
              <w:rPr>
                <w:rFonts w:ascii="Book Antiqua" w:hAnsi="Book Antiqua" w:cs="Book Antiqua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B799F" w:rsidRPr="00274F6A" w:rsidP="00274F6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 w:cs="Book Antiqua"/>
                <w:sz w:val="22"/>
                <w:szCs w:val="22"/>
              </w:rPr>
            </w:pPr>
            <w:r w:rsidRPr="00274F6A">
              <w:rPr>
                <w:rFonts w:ascii="Book Antiqua" w:hAnsi="Book Antiqua" w:cs="Book Antiqua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B799F" w:rsidRPr="00274F6A" w:rsidP="00274F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B799F" w:rsidRPr="00274F6A" w:rsidP="00274F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274F6A">
              <w:rPr>
                <w:rFonts w:ascii="Book Antiqua" w:hAnsi="Book Antiqua" w:cs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B799F" w:rsidRPr="00274F6A" w:rsidP="00274F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274F6A">
              <w:rPr>
                <w:rFonts w:ascii="Book Antiqua" w:hAnsi="Book Antiqua" w:cs="Book Antiqua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B799F" w:rsidRPr="00274F6A" w:rsidP="00274F6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 w:cs="Book Antiqua"/>
                <w:sz w:val="22"/>
                <w:szCs w:val="22"/>
              </w:rPr>
            </w:pPr>
            <w:r w:rsidRPr="00274F6A">
              <w:rPr>
                <w:rFonts w:ascii="Book Antiqua" w:hAnsi="Book Antiqua" w:cs="Book Antiqua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B799F" w:rsidRPr="00274F6A" w:rsidP="00274F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274F6A">
              <w:rPr>
                <w:rFonts w:ascii="Book Antiqua" w:hAnsi="Book Antiqua" w:cs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B799F" w:rsidRPr="00274F6A" w:rsidP="00274F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274F6A">
              <w:rPr>
                <w:rFonts w:ascii="Book Antiqua" w:hAnsi="Book Antiqua" w:cs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B799F" w:rsidRPr="00274F6A" w:rsidP="00274F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274F6A">
              <w:rPr>
                <w:rFonts w:ascii="Book Antiqua" w:hAnsi="Book Antiqua" w:cs="Book Antiqua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B799F" w:rsidRPr="00274F6A" w:rsidP="00274F6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 w:cs="Book Antiqua"/>
                <w:sz w:val="22"/>
                <w:szCs w:val="22"/>
              </w:rPr>
            </w:pPr>
            <w:r w:rsidRPr="00274F6A">
              <w:rPr>
                <w:rFonts w:ascii="Book Antiqua" w:hAnsi="Book Antiqua" w:cs="Book Antiqua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B799F" w:rsidRPr="00274F6A" w:rsidP="00274F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B799F" w:rsidRPr="00274F6A" w:rsidP="00274F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274F6A">
              <w:rPr>
                <w:rFonts w:ascii="Book Antiqua" w:hAnsi="Book Antiqua" w:cs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B799F" w:rsidRPr="00274F6A" w:rsidP="00274F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274F6A">
              <w:rPr>
                <w:rFonts w:ascii="Book Antiqua" w:hAnsi="Book Antiqua" w:cs="Book Antiqua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B799F" w:rsidRPr="00274F6A" w:rsidP="00274F6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 w:cs="Book Antiqua"/>
                <w:sz w:val="22"/>
                <w:szCs w:val="22"/>
              </w:rPr>
            </w:pPr>
            <w:r w:rsidRPr="00274F6A">
              <w:rPr>
                <w:rFonts w:ascii="Book Antiqua" w:hAnsi="Book Antiqua" w:cs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B799F" w:rsidRPr="00274F6A" w:rsidP="00274F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274F6A">
              <w:rPr>
                <w:rFonts w:ascii="Book Antiqua" w:hAnsi="Book Antiqua" w:cs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B799F" w:rsidRPr="00274F6A" w:rsidP="00274F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274F6A">
              <w:rPr>
                <w:rFonts w:ascii="Book Antiqua" w:hAnsi="Book Antiqua" w:cs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B799F" w:rsidRPr="00274F6A" w:rsidP="00274F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274F6A">
              <w:rPr>
                <w:rFonts w:ascii="Book Antiqua" w:hAnsi="Book Antiqua" w:cs="Book Antiqua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B799F" w:rsidRPr="00274F6A" w:rsidP="00274F6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 w:cs="Book Antiqua"/>
                <w:sz w:val="22"/>
                <w:szCs w:val="22"/>
              </w:rPr>
            </w:pPr>
            <w:r w:rsidRPr="00274F6A">
              <w:rPr>
                <w:rFonts w:ascii="Book Antiqua" w:hAnsi="Book Antiqua" w:cs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B799F" w:rsidRPr="00274F6A" w:rsidP="00274F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274F6A">
              <w:rPr>
                <w:rFonts w:ascii="Book Antiqua" w:hAnsi="Book Antiqua" w:cs="Book Antiqua"/>
                <w:sz w:val="22"/>
                <w:szCs w:val="22"/>
              </w:rPr>
              <w:t> 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B799F" w:rsidRPr="00274F6A" w:rsidP="00274F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B799F" w:rsidRPr="00274F6A" w:rsidP="00274F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274F6A">
              <w:rPr>
                <w:rFonts w:ascii="Book Antiqua" w:hAnsi="Book Antiqua" w:cs="Book Antiqua"/>
                <w:sz w:val="22"/>
                <w:szCs w:val="22"/>
              </w:rPr>
              <w:t> </w:t>
            </w:r>
          </w:p>
        </w:tc>
      </w:tr>
    </w:tbl>
    <w:p w:rsidR="00BB799F" w:rsidRPr="00274F6A" w:rsidP="00274F6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 w:cs="Book Antiqua"/>
          <w:sz w:val="22"/>
          <w:szCs w:val="22"/>
        </w:rPr>
      </w:pPr>
      <w:r w:rsidRPr="00274F6A">
        <w:rPr>
          <w:rFonts w:ascii="Book Antiqua" w:hAnsi="Book Antiqua" w:cs="Book Antiqua"/>
          <w:sz w:val="22"/>
          <w:szCs w:val="22"/>
        </w:rPr>
        <w:t> </w:t>
      </w:r>
    </w:p>
    <w:p w:rsidR="00BB799F" w:rsidRPr="00274F6A" w:rsidP="00274F6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274F6A">
        <w:rPr>
          <w:rFonts w:ascii="Book Antiqua" w:hAnsi="Book Antiqua" w:cs="Book Antiqua"/>
          <w:b/>
          <w:bCs/>
          <w:sz w:val="22"/>
          <w:szCs w:val="22"/>
        </w:rPr>
        <w:t>A.3. Poznámky</w:t>
      </w:r>
    </w:p>
    <w:p w:rsidR="00BE026F" w:rsidRPr="00274F6A" w:rsidP="00274F6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cs="Book Antiqua"/>
          <w:i/>
          <w:iCs/>
          <w:sz w:val="22"/>
          <w:szCs w:val="22"/>
        </w:rPr>
      </w:pPr>
      <w:r w:rsidRPr="00274F6A" w:rsidR="00BB799F">
        <w:rPr>
          <w:rFonts w:ascii="Book Antiqua" w:hAnsi="Book Antiqua" w:cs="Book Antiqua"/>
          <w:i/>
          <w:iCs/>
          <w:sz w:val="22"/>
          <w:szCs w:val="22"/>
        </w:rPr>
        <w:t xml:space="preserve">Napriek mierne zvýšeným požiadavkám administratívneho charakteru sa od návrhu zákona očakáva výrazný pozitívny vplyv v oblasti vplyvov na rozpočet verejnej správy, a to najmä vďaka </w:t>
      </w:r>
      <w:r w:rsidR="0051149A">
        <w:rPr>
          <w:rFonts w:ascii="Book Antiqua" w:hAnsi="Book Antiqua" w:cs="Book Antiqua"/>
          <w:i/>
          <w:iCs/>
          <w:sz w:val="22"/>
          <w:szCs w:val="22"/>
        </w:rPr>
        <w:t>úsporám pri nakladaní s</w:t>
      </w:r>
      <w:r w:rsidRPr="00274F6A" w:rsidR="00BB799F">
        <w:rPr>
          <w:rFonts w:ascii="Book Antiqua" w:hAnsi="Book Antiqua" w:cs="Book Antiqua"/>
          <w:i/>
          <w:iCs/>
          <w:sz w:val="22"/>
          <w:szCs w:val="22"/>
        </w:rPr>
        <w:t> verejnými financiami</w:t>
      </w:r>
      <w:r w:rsidR="0051149A">
        <w:rPr>
          <w:rFonts w:ascii="Book Antiqua" w:hAnsi="Book Antiqua" w:cs="Book Antiqua"/>
          <w:i/>
          <w:iCs/>
          <w:sz w:val="22"/>
          <w:szCs w:val="22"/>
        </w:rPr>
        <w:t>, osobitne pri zadávaní zákaziek spočívajúcich vo vypracovaní analýz, štúdií a pod</w:t>
      </w:r>
      <w:r w:rsidRPr="00274F6A" w:rsidR="00BB799F">
        <w:rPr>
          <w:rFonts w:ascii="Book Antiqua" w:hAnsi="Book Antiqua" w:cs="Book Antiqua"/>
          <w:i/>
          <w:iCs/>
          <w:sz w:val="22"/>
          <w:szCs w:val="22"/>
        </w:rPr>
        <w:t xml:space="preserve">. </w:t>
      </w:r>
      <w:r w:rsidR="00C20D6F">
        <w:rPr>
          <w:rFonts w:ascii="Book Antiqua" w:hAnsi="Book Antiqua" w:cs="Book Antiqua"/>
          <w:i/>
          <w:iCs/>
          <w:sz w:val="22"/>
          <w:szCs w:val="22"/>
        </w:rPr>
        <w:t xml:space="preserve">Ide o predpoklad, ktorý sa nemusí naplniť a sekundárny efekt návrhu zákona, preto sa priamy pozitívny vplyv ani nevyčísluje. </w:t>
      </w:r>
      <w:r w:rsidRPr="00274F6A" w:rsidR="00BB799F">
        <w:rPr>
          <w:rFonts w:ascii="Book Antiqua" w:hAnsi="Book Antiqua" w:cs="Book Antiqua"/>
          <w:i/>
          <w:iCs/>
          <w:sz w:val="22"/>
          <w:szCs w:val="22"/>
        </w:rPr>
        <w:t xml:space="preserve">Od návrhu zákona sa očakáva aj významný pozitívny vplyv na informatizáciu spoločnosti, </w:t>
      </w:r>
      <w:r w:rsidR="0051149A">
        <w:rPr>
          <w:rFonts w:ascii="Book Antiqua" w:hAnsi="Book Antiqua" w:cs="Book Antiqua"/>
          <w:i/>
          <w:iCs/>
          <w:sz w:val="22"/>
          <w:szCs w:val="22"/>
        </w:rPr>
        <w:t>keďže zverejňovanie poskytne verejnosti dostupnosť ďalších údajov prostredníctvom informačných technol</w:t>
      </w:r>
      <w:r>
        <w:rPr>
          <w:rFonts w:ascii="Book Antiqua" w:hAnsi="Book Antiqua" w:cs="Book Antiqua"/>
          <w:i/>
          <w:iCs/>
          <w:sz w:val="22"/>
          <w:szCs w:val="22"/>
        </w:rPr>
        <w:t>ógií.</w:t>
      </w:r>
      <w:r w:rsidRPr="00274F6A" w:rsidR="00BB799F">
        <w:rPr>
          <w:rFonts w:ascii="Book Antiqua" w:hAnsi="Book Antiqua" w:cs="Book Antiqua"/>
          <w:i/>
          <w:iCs/>
          <w:sz w:val="22"/>
          <w:szCs w:val="22"/>
        </w:rPr>
        <w:t xml:space="preserve"> Návrh zákona nemá žiadne sociálne vplyvy, a tiež nemá vplyv ani na podnikateľské prostredie a životné prostr</w:t>
      </w:r>
      <w:r>
        <w:rPr>
          <w:rFonts w:ascii="Book Antiqua" w:hAnsi="Book Antiqua" w:cs="Book Antiqua"/>
          <w:i/>
          <w:iCs/>
          <w:sz w:val="22"/>
          <w:szCs w:val="22"/>
        </w:rPr>
        <w:t>edie.</w:t>
      </w:r>
    </w:p>
    <w:p w:rsidR="00BB799F" w:rsidRPr="00274F6A" w:rsidP="00274F6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274F6A">
        <w:rPr>
          <w:rFonts w:ascii="Book Antiqua" w:hAnsi="Book Antiqua" w:cs="Book Antiqua"/>
          <w:b/>
          <w:bCs/>
          <w:sz w:val="22"/>
          <w:szCs w:val="22"/>
        </w:rPr>
        <w:t>A.4. Alternatívne riešenia</w:t>
      </w:r>
    </w:p>
    <w:p w:rsidR="00BE026F" w:rsidRPr="00274F6A" w:rsidP="00274F6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cs="Book Antiqua"/>
          <w:i/>
          <w:iCs/>
          <w:sz w:val="22"/>
          <w:szCs w:val="22"/>
        </w:rPr>
      </w:pPr>
      <w:r>
        <w:rPr>
          <w:rFonts w:ascii="Book Antiqua" w:hAnsi="Book Antiqua" w:cs="Book Antiqua"/>
          <w:i/>
          <w:iCs/>
          <w:sz w:val="22"/>
          <w:szCs w:val="22"/>
        </w:rPr>
        <w:t>b</w:t>
      </w:r>
      <w:r w:rsidRPr="00274F6A" w:rsidR="00BB799F">
        <w:rPr>
          <w:rFonts w:ascii="Book Antiqua" w:hAnsi="Book Antiqua" w:cs="Book Antiqua"/>
          <w:i/>
          <w:iCs/>
          <w:sz w:val="22"/>
          <w:szCs w:val="22"/>
        </w:rPr>
        <w:t>ezpredmetné</w:t>
      </w:r>
    </w:p>
    <w:p w:rsidR="00BB799F" w:rsidRPr="00274F6A" w:rsidP="00274F6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274F6A">
        <w:rPr>
          <w:rFonts w:ascii="Book Antiqua" w:hAnsi="Book Antiqua" w:cs="Book Antiqua"/>
          <w:b/>
          <w:bCs/>
          <w:sz w:val="22"/>
          <w:szCs w:val="22"/>
        </w:rPr>
        <w:t>A.5. Stanovisko gestorov</w:t>
      </w:r>
    </w:p>
    <w:p w:rsidR="00BB799F" w:rsidRPr="00274F6A" w:rsidP="00274F6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274F6A">
        <w:rPr>
          <w:rFonts w:ascii="Book Antiqua" w:hAnsi="Book Antiqua" w:cs="Book Antiqua"/>
          <w:i/>
          <w:iCs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 w:rsidSect="00421A64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Book Antiqua">
    <w:altName w:val="Palatino"/>
    <w:panose1 w:val="00000000000000000000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99F">
    <w:pPr>
      <w:pStyle w:val="Footer"/>
      <w:bidi w:val="0"/>
      <w:jc w:val="right"/>
      <w:rPr>
        <w:rFonts w:ascii="Times New Roman" w:hAnsi="Times New Roman"/>
      </w:rPr>
    </w:pPr>
    <w:r w:rsidR="00E062EF">
      <w:rPr>
        <w:rFonts w:ascii="Times New Roman" w:hAnsi="Times New Roman"/>
      </w:rPr>
      <w:fldChar w:fldCharType="begin"/>
    </w:r>
    <w:r w:rsidR="00E062EF">
      <w:rPr>
        <w:rFonts w:ascii="Times New Roman" w:hAnsi="Times New Roman"/>
      </w:rPr>
      <w:instrText>PAGE   \* MERGEFORMAT</w:instrText>
    </w:r>
    <w:r w:rsidR="00E062EF">
      <w:rPr>
        <w:rFonts w:ascii="Times New Roman" w:hAnsi="Times New Roman"/>
      </w:rPr>
      <w:fldChar w:fldCharType="separate"/>
    </w:r>
    <w:r w:rsidR="005C58D1">
      <w:rPr>
        <w:rFonts w:ascii="Times New Roman" w:hAnsi="Times New Roman"/>
        <w:noProof/>
      </w:rPr>
      <w:t>2</w:t>
    </w:r>
    <w:r w:rsidR="00E062EF">
      <w:rPr>
        <w:rFonts w:ascii="Times New Roman" w:hAnsi="Times New Roman"/>
      </w:rPr>
      <w:fldChar w:fldCharType="end"/>
    </w:r>
  </w:p>
  <w:p w:rsidR="00BB799F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D7151"/>
    <w:multiLevelType w:val="hybridMultilevel"/>
    <w:tmpl w:val="8C1A3B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7032A21"/>
    <w:multiLevelType w:val="multilevel"/>
    <w:tmpl w:val="D4E631F2"/>
    <w:lvl w:ilvl="0">
      <w:start w:val="1"/>
      <w:numFmt w:val="lowerLetter"/>
      <w:lvlText w:val="%1)"/>
      <w:lvlJc w:val="left"/>
      <w:pPr>
        <w:ind w:left="163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35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7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9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51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23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95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7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95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/>
  <w:rsids>
    <w:rsidRoot w:val="0009637D"/>
    <w:rsid w:val="00034945"/>
    <w:rsid w:val="000524E9"/>
    <w:rsid w:val="00081945"/>
    <w:rsid w:val="00093C4F"/>
    <w:rsid w:val="0009637D"/>
    <w:rsid w:val="000D66F1"/>
    <w:rsid w:val="000F2555"/>
    <w:rsid w:val="001B564A"/>
    <w:rsid w:val="001B72E2"/>
    <w:rsid w:val="001E5E89"/>
    <w:rsid w:val="001F061C"/>
    <w:rsid w:val="001F3F7A"/>
    <w:rsid w:val="00225E11"/>
    <w:rsid w:val="00266D56"/>
    <w:rsid w:val="00274F6A"/>
    <w:rsid w:val="00276EEE"/>
    <w:rsid w:val="002B45E6"/>
    <w:rsid w:val="00301B58"/>
    <w:rsid w:val="00316337"/>
    <w:rsid w:val="004122E0"/>
    <w:rsid w:val="00421A64"/>
    <w:rsid w:val="00466045"/>
    <w:rsid w:val="00474F82"/>
    <w:rsid w:val="0050078F"/>
    <w:rsid w:val="0051149A"/>
    <w:rsid w:val="005148FB"/>
    <w:rsid w:val="00520DB0"/>
    <w:rsid w:val="00531EAF"/>
    <w:rsid w:val="005706DA"/>
    <w:rsid w:val="005A315C"/>
    <w:rsid w:val="005C58D1"/>
    <w:rsid w:val="00692A82"/>
    <w:rsid w:val="006C7F07"/>
    <w:rsid w:val="00713F3C"/>
    <w:rsid w:val="007270F2"/>
    <w:rsid w:val="00791BB8"/>
    <w:rsid w:val="00810D0D"/>
    <w:rsid w:val="00812F2B"/>
    <w:rsid w:val="00842133"/>
    <w:rsid w:val="008C19A4"/>
    <w:rsid w:val="009347B8"/>
    <w:rsid w:val="009C2D2B"/>
    <w:rsid w:val="009F4360"/>
    <w:rsid w:val="00A4123D"/>
    <w:rsid w:val="00A66460"/>
    <w:rsid w:val="00A67827"/>
    <w:rsid w:val="00AD5ED3"/>
    <w:rsid w:val="00B0498F"/>
    <w:rsid w:val="00B603F0"/>
    <w:rsid w:val="00B62DE1"/>
    <w:rsid w:val="00B77448"/>
    <w:rsid w:val="00B93810"/>
    <w:rsid w:val="00BB0960"/>
    <w:rsid w:val="00BB799F"/>
    <w:rsid w:val="00BC5BA7"/>
    <w:rsid w:val="00BD250E"/>
    <w:rsid w:val="00BE026F"/>
    <w:rsid w:val="00C20D6F"/>
    <w:rsid w:val="00C245F3"/>
    <w:rsid w:val="00C24AE9"/>
    <w:rsid w:val="00C63650"/>
    <w:rsid w:val="00CF15FE"/>
    <w:rsid w:val="00D03BE5"/>
    <w:rsid w:val="00D26AEA"/>
    <w:rsid w:val="00D758D4"/>
    <w:rsid w:val="00D872E6"/>
    <w:rsid w:val="00DA6CAE"/>
    <w:rsid w:val="00DB2CD9"/>
    <w:rsid w:val="00DC4711"/>
    <w:rsid w:val="00DE5D57"/>
    <w:rsid w:val="00E062EF"/>
    <w:rsid w:val="00E728F6"/>
    <w:rsid w:val="00E865EB"/>
    <w:rsid w:val="00EA7689"/>
    <w:rsid w:val="00EB3849"/>
    <w:rsid w:val="00EB3F92"/>
    <w:rsid w:val="00EC2A8A"/>
    <w:rsid w:val="00EC4790"/>
    <w:rsid w:val="00F50EEE"/>
    <w:rsid w:val="00F71A0B"/>
    <w:rsid w:val="00F7700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37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09637D"/>
    <w:pPr>
      <w:keepNext/>
      <w:autoSpaceDE w:val="0"/>
      <w:autoSpaceDN w:val="0"/>
      <w:adjustRightInd w:val="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09637D"/>
    <w:rPr>
      <w:rFonts w:ascii="Cambria" w:hAnsi="Cambria" w:cs="Cambria"/>
      <w:b/>
      <w:bCs/>
      <w:kern w:val="32"/>
      <w:sz w:val="20"/>
      <w:szCs w:val="20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09637D"/>
    <w:pPr>
      <w:spacing w:before="100" w:beforeAutospacing="1" w:after="100" w:afterAutospacing="1"/>
      <w:jc w:val="left"/>
    </w:pPr>
  </w:style>
  <w:style w:type="paragraph" w:styleId="Footer">
    <w:name w:val="footer"/>
    <w:basedOn w:val="Normal"/>
    <w:link w:val="PtaChar"/>
    <w:uiPriority w:val="99"/>
    <w:rsid w:val="0009637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9637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noteText">
    <w:name w:val="footnote text"/>
    <w:basedOn w:val="Normal"/>
    <w:link w:val="TextpoznmkypodiarouChar"/>
    <w:uiPriority w:val="99"/>
    <w:semiHidden/>
    <w:rsid w:val="00E728F6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728F6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rsid w:val="00E728F6"/>
    <w:rPr>
      <w:rFonts w:cs="Times New Roman"/>
      <w:vertAlign w:val="superscript"/>
      <w:rtl w:val="0"/>
      <w:cs w:val="0"/>
    </w:rPr>
  </w:style>
  <w:style w:type="paragraph" w:styleId="ListParagraph">
    <w:name w:val="List Paragraph"/>
    <w:basedOn w:val="Normal"/>
    <w:uiPriority w:val="99"/>
    <w:qFormat/>
    <w:rsid w:val="00AD5ED3"/>
    <w:pPr>
      <w:suppressAutoHyphens/>
      <w:ind w:left="720"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5C58D1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C58D1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1134</Words>
  <Characters>6464</Characters>
  <Application>Microsoft Office Word</Application>
  <DocSecurity>0</DocSecurity>
  <Lines>0</Lines>
  <Paragraphs>0</Paragraphs>
  <ScaleCrop>false</ScaleCrop>
  <Company>Kancelaria NR SR</Company>
  <LinksUpToDate>false</LinksUpToDate>
  <CharactersWithSpaces>7583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Lukáč, Jozef (asistent)</dc:creator>
  <cp:lastModifiedBy>Gálisová, Natália</cp:lastModifiedBy>
  <cp:revision>2</cp:revision>
  <cp:lastPrinted>2017-05-26T13:01:00Z</cp:lastPrinted>
  <dcterms:created xsi:type="dcterms:W3CDTF">2017-05-26T13:01:00Z</dcterms:created>
  <dcterms:modified xsi:type="dcterms:W3CDTF">2017-05-26T13:01:00Z</dcterms:modified>
</cp:coreProperties>
</file>