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ackground w:color="ffffff">
    <v:background id="_x0000_s1025" o:bwmode="white" filled="t"/>
  </w:background>
  <w:body>
    <w:p w:rsidR="000E7C35" w:rsidRPr="00CD723D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CD723D" w:rsidR="008D2B06">
        <w:rPr>
          <w:rFonts w:ascii="Times New Roman" w:eastAsia="Verdana" w:hAnsi="Times New Roman" w:cs="Times New Roman" w:hint="default"/>
          <w:b/>
          <w:sz w:val="24"/>
          <w:szCs w:val="24"/>
        </w:rPr>
        <w:t>Dô</w:t>
      </w:r>
      <w:r w:rsidRPr="00CD723D" w:rsidR="008D2B06">
        <w:rPr>
          <w:rFonts w:ascii="Times New Roman" w:eastAsia="Verdana" w:hAnsi="Times New Roman" w:cs="Times New Roman" w:hint="default"/>
          <w:b/>
          <w:sz w:val="24"/>
          <w:szCs w:val="24"/>
        </w:rPr>
        <w:t>vodová</w:t>
      </w:r>
      <w:r w:rsidRPr="00CD723D" w:rsidR="008D2B06">
        <w:rPr>
          <w:rFonts w:ascii="Times New Roman" w:eastAsia="Verdana" w:hAnsi="Times New Roman" w:cs="Times New Roman" w:hint="default"/>
          <w:b/>
          <w:sz w:val="24"/>
          <w:szCs w:val="24"/>
        </w:rPr>
        <w:t xml:space="preserve"> sprá</w:t>
      </w:r>
      <w:r w:rsidRPr="00CD723D" w:rsidR="008D2B06">
        <w:rPr>
          <w:rFonts w:ascii="Times New Roman" w:eastAsia="Verdana" w:hAnsi="Times New Roman" w:cs="Times New Roman" w:hint="default"/>
          <w:b/>
          <w:sz w:val="24"/>
          <w:szCs w:val="24"/>
        </w:rPr>
        <w:t>va</w:t>
      </w:r>
    </w:p>
    <w:p w:rsidR="000E7C35" w:rsidRPr="00CD723D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0E7C35" w:rsidRPr="00CD723D" w:rsidP="006D4E68">
      <w:pPr>
        <w:bidi w:val="0"/>
        <w:rPr>
          <w:rFonts w:ascii="Times New Roman" w:hAnsi="Times New Roman" w:cs="Times New Roman"/>
          <w:sz w:val="24"/>
          <w:szCs w:val="24"/>
        </w:rPr>
      </w:pPr>
      <w:r w:rsidR="00F1092A">
        <w:rPr>
          <w:rFonts w:ascii="Times New Roman" w:eastAsia="Verdana" w:hAnsi="Times New Roman" w:cs="Times New Roman"/>
          <w:b/>
          <w:sz w:val="24"/>
          <w:szCs w:val="24"/>
          <w:u w:val="single"/>
        </w:rPr>
        <w:t xml:space="preserve">I.  </w:t>
      </w:r>
      <w:r w:rsidRPr="00CD723D" w:rsidR="008D2B06">
        <w:rPr>
          <w:rFonts w:ascii="Times New Roman" w:eastAsia="Verdana" w:hAnsi="Times New Roman" w:cs="Times New Roman" w:hint="default"/>
          <w:b/>
          <w:sz w:val="24"/>
          <w:szCs w:val="24"/>
          <w:u w:val="single"/>
        </w:rPr>
        <w:t>Vš</w:t>
      </w:r>
      <w:r w:rsidRPr="00CD723D" w:rsidR="008D2B06">
        <w:rPr>
          <w:rFonts w:ascii="Times New Roman" w:eastAsia="Verdana" w:hAnsi="Times New Roman" w:cs="Times New Roman" w:hint="default"/>
          <w:b/>
          <w:sz w:val="24"/>
          <w:szCs w:val="24"/>
          <w:u w:val="single"/>
        </w:rPr>
        <w:t>eobecná</w:t>
      </w:r>
      <w:r w:rsidRPr="00CD723D" w:rsidR="008D2B06">
        <w:rPr>
          <w:rFonts w:ascii="Times New Roman" w:eastAsia="Verdana" w:hAnsi="Times New Roman" w:cs="Times New Roman" w:hint="default"/>
          <w:b/>
          <w:sz w:val="24"/>
          <w:szCs w:val="24"/>
          <w:u w:val="single"/>
        </w:rPr>
        <w:t xml:space="preserve"> č</w:t>
      </w:r>
      <w:r w:rsidRPr="00CD723D" w:rsidR="008D2B06">
        <w:rPr>
          <w:rFonts w:ascii="Times New Roman" w:eastAsia="Verdana" w:hAnsi="Times New Roman" w:cs="Times New Roman" w:hint="default"/>
          <w:b/>
          <w:sz w:val="24"/>
          <w:szCs w:val="24"/>
          <w:u w:val="single"/>
        </w:rPr>
        <w:t>asť</w:t>
      </w:r>
    </w:p>
    <w:p w:rsidR="000E7C35" w:rsidRPr="00CD723D" w:rsidP="006D4E68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0E7C35" w:rsidRPr="00CD723D" w:rsidP="006D4E68">
      <w:pPr>
        <w:bidi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 súč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asnosti sa ukazuje, 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e prá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vna ú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prava zá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lož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né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h</w:t>
      </w:r>
      <w:r w:rsidR="00F1092A">
        <w:rPr>
          <w:rFonts w:ascii="Times New Roman" w:eastAsia="Verdana" w:hAnsi="Times New Roman" w:cs="Times New Roman" w:hint="default"/>
          <w:sz w:val="24"/>
          <w:szCs w:val="24"/>
        </w:rPr>
        <w:t>o prá</w:t>
      </w:r>
      <w:r w:rsidR="00F1092A">
        <w:rPr>
          <w:rFonts w:ascii="Times New Roman" w:eastAsia="Verdana" w:hAnsi="Times New Roman" w:cs="Times New Roman" w:hint="default"/>
          <w:sz w:val="24"/>
          <w:szCs w:val="24"/>
        </w:rPr>
        <w:t>va má</w:t>
      </w:r>
      <w:r w:rsidR="00F1092A">
        <w:rPr>
          <w:rFonts w:ascii="Times New Roman" w:eastAsia="Verdana" w:hAnsi="Times New Roman" w:cs="Times New Roman" w:hint="default"/>
          <w:sz w:val="24"/>
          <w:szCs w:val="24"/>
        </w:rPr>
        <w:t xml:space="preserve"> niektoré</w:t>
      </w:r>
      <w:r w:rsidR="00F1092A">
        <w:rPr>
          <w:rFonts w:ascii="Times New Roman" w:eastAsia="Verdana" w:hAnsi="Times New Roman" w:cs="Times New Roman" w:hint="default"/>
          <w:sz w:val="24"/>
          <w:szCs w:val="24"/>
        </w:rPr>
        <w:t xml:space="preserve"> nedostatky</w:t>
      </w:r>
      <w:r w:rsidRPr="00CD723D" w:rsidR="008D2B06">
        <w:rPr>
          <w:rFonts w:ascii="Times New Roman" w:eastAsia="Verdana" w:hAnsi="Times New Roman" w:cs="Times New Roman"/>
          <w:sz w:val="24"/>
          <w:szCs w:val="24"/>
        </w:rPr>
        <w:t>, ktor</w:t>
      </w:r>
      <w:r w:rsidR="00F1092A">
        <w:rPr>
          <w:rFonts w:ascii="Times New Roman" w:eastAsia="Verdana" w:hAnsi="Times New Roman" w:cs="Times New Roman" w:hint="default"/>
          <w:sz w:val="24"/>
          <w:szCs w:val="24"/>
        </w:rPr>
        <w:t>é</w:t>
      </w:r>
      <w:r w:rsidR="00F1092A">
        <w:rPr>
          <w:rFonts w:ascii="Times New Roman" w:eastAsia="Verdana" w:hAnsi="Times New Roman" w:cs="Times New Roman" w:hint="default"/>
          <w:sz w:val="24"/>
          <w:szCs w:val="24"/>
        </w:rPr>
        <w:t xml:space="preserve"> vytvá</w:t>
      </w:r>
      <w:r w:rsidR="00F1092A">
        <w:rPr>
          <w:rFonts w:ascii="Times New Roman" w:eastAsia="Verdana" w:hAnsi="Times New Roman" w:cs="Times New Roman" w:hint="default"/>
          <w:sz w:val="24"/>
          <w:szCs w:val="24"/>
        </w:rPr>
        <w:t>rajú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pochybnosť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o ú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stavnej konformnosti prá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vnej ú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pravy zá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lož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né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ho prá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va.</w:t>
      </w:r>
      <w:r w:rsidR="00F1092A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So zá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lož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ný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m prá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vom ú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zko sú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visia dobrovoľ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né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draž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by. Podľ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a §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53 ods. 10 </w:t>
      </w:r>
      <w:r w:rsidR="00A647C1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Obč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ianskeho </w:t>
      </w:r>
      <w:r w:rsidR="00A647C1">
        <w:rPr>
          <w:rFonts w:ascii="Times New Roman" w:eastAsia="Verdana" w:hAnsi="Times New Roman" w:cs="Times New Roman"/>
          <w:sz w:val="24"/>
          <w:szCs w:val="24"/>
        </w:rPr>
        <w:t xml:space="preserve">  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zá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konní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ka </w:t>
      </w:r>
      <w:r w:rsidR="00A647C1">
        <w:rPr>
          <w:rFonts w:ascii="Times New Roman" w:eastAsia="Verdana" w:hAnsi="Times New Roman" w:cs="Times New Roman"/>
          <w:sz w:val="24"/>
          <w:szCs w:val="24"/>
        </w:rPr>
        <w:t xml:space="preserve">  </w:t>
      </w:r>
      <w:r w:rsidRPr="00CD723D" w:rsidR="008D2B06">
        <w:rPr>
          <w:rFonts w:ascii="Times New Roman" w:eastAsia="Verdana" w:hAnsi="Times New Roman" w:cs="Times New Roman"/>
          <w:sz w:val="24"/>
          <w:szCs w:val="24"/>
        </w:rPr>
        <w:t>v</w:t>
      </w:r>
      <w:r w:rsidR="00A647C1">
        <w:rPr>
          <w:rFonts w:ascii="Times New Roman" w:eastAsia="Verdana" w:hAnsi="Times New Roman" w:cs="Times New Roman"/>
          <w:sz w:val="24"/>
          <w:szCs w:val="24"/>
        </w:rPr>
        <w:t xml:space="preserve">  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znení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</w:t>
      </w:r>
      <w:r w:rsidR="00A647C1">
        <w:rPr>
          <w:rFonts w:ascii="Times New Roman" w:eastAsia="Verdana" w:hAnsi="Times New Roman" w:cs="Times New Roman"/>
          <w:sz w:val="24"/>
          <w:szCs w:val="24"/>
        </w:rPr>
        <w:t xml:space="preserve">    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zá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kona č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. 106/2014 Z. z.: „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Ak zá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lož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né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prá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vo zabezpeč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uje zá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vä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zok zo spotrebiteľ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skej zmluvy, môž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e sa zá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lož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ný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veriteľ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v rá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mci vý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konu zá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lož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né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ho prá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va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uspokojiť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len predajom zá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lohu na draž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be podľ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a osobitné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ho zá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kona alebo predajom zá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lohu podľ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a osobitný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ch zá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konov.“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. Jedná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sa o ustanovenie Obč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ianskeho zá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konní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ka, ktoré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nadobudlo úč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innosť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1. jú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na 2014. </w:t>
      </w:r>
      <w:r w:rsidRPr="00CD723D" w:rsidR="008D2B06">
        <w:rPr>
          <w:rFonts w:ascii="Times New Roman" w:eastAsia="Verdana" w:hAnsi="Times New Roman" w:cs="Times New Roman" w:hint="default"/>
          <w:b/>
          <w:sz w:val="24"/>
          <w:szCs w:val="24"/>
        </w:rPr>
        <w:t>Jeho cieľ</w:t>
      </w:r>
      <w:r w:rsidRPr="00CD723D" w:rsidR="008D2B06">
        <w:rPr>
          <w:rFonts w:ascii="Times New Roman" w:eastAsia="Verdana" w:hAnsi="Times New Roman" w:cs="Times New Roman" w:hint="default"/>
          <w:b/>
          <w:sz w:val="24"/>
          <w:szCs w:val="24"/>
        </w:rPr>
        <w:t>om bolo ochrá</w:t>
      </w:r>
      <w:r w:rsidRPr="00CD723D" w:rsidR="008D2B06">
        <w:rPr>
          <w:rFonts w:ascii="Times New Roman" w:eastAsia="Verdana" w:hAnsi="Times New Roman" w:cs="Times New Roman" w:hint="default"/>
          <w:b/>
          <w:sz w:val="24"/>
          <w:szCs w:val="24"/>
        </w:rPr>
        <w:t>niť</w:t>
      </w:r>
      <w:r w:rsidRPr="00CD723D" w:rsidR="008D2B06">
        <w:rPr>
          <w:rFonts w:ascii="Times New Roman" w:eastAsia="Verdana" w:hAnsi="Times New Roman" w:cs="Times New Roman" w:hint="default"/>
          <w:b/>
          <w:sz w:val="24"/>
          <w:szCs w:val="24"/>
        </w:rPr>
        <w:t xml:space="preserve"> spotrebiteľ</w:t>
      </w:r>
      <w:r w:rsidRPr="00CD723D" w:rsidR="008D2B06">
        <w:rPr>
          <w:rFonts w:ascii="Times New Roman" w:eastAsia="Verdana" w:hAnsi="Times New Roman" w:cs="Times New Roman" w:hint="default"/>
          <w:b/>
          <w:sz w:val="24"/>
          <w:szCs w:val="24"/>
        </w:rPr>
        <w:t>ov pred svojvôľ</w:t>
      </w:r>
      <w:r w:rsidRPr="00CD723D" w:rsidR="008D2B06">
        <w:rPr>
          <w:rFonts w:ascii="Times New Roman" w:eastAsia="Verdana" w:hAnsi="Times New Roman" w:cs="Times New Roman" w:hint="default"/>
          <w:b/>
          <w:sz w:val="24"/>
          <w:szCs w:val="24"/>
        </w:rPr>
        <w:t>ou z</w:t>
      </w:r>
      <w:r w:rsidRPr="00CD723D" w:rsidR="008D2B06">
        <w:rPr>
          <w:rFonts w:ascii="Times New Roman" w:eastAsia="Verdana" w:hAnsi="Times New Roman" w:cs="Times New Roman" w:hint="default"/>
          <w:b/>
          <w:sz w:val="24"/>
          <w:szCs w:val="24"/>
        </w:rPr>
        <w:t>á</w:t>
      </w:r>
      <w:r w:rsidRPr="00CD723D" w:rsidR="008D2B06">
        <w:rPr>
          <w:rFonts w:ascii="Times New Roman" w:eastAsia="Verdana" w:hAnsi="Times New Roman" w:cs="Times New Roman" w:hint="default"/>
          <w:b/>
          <w:sz w:val="24"/>
          <w:szCs w:val="24"/>
        </w:rPr>
        <w:t>lož</w:t>
      </w:r>
      <w:r w:rsidRPr="00CD723D" w:rsidR="008D2B06">
        <w:rPr>
          <w:rFonts w:ascii="Times New Roman" w:eastAsia="Verdana" w:hAnsi="Times New Roman" w:cs="Times New Roman" w:hint="default"/>
          <w:b/>
          <w:sz w:val="24"/>
          <w:szCs w:val="24"/>
        </w:rPr>
        <w:t>ný</w:t>
      </w:r>
      <w:r w:rsidRPr="00CD723D" w:rsidR="008D2B06">
        <w:rPr>
          <w:rFonts w:ascii="Times New Roman" w:eastAsia="Verdana" w:hAnsi="Times New Roman" w:cs="Times New Roman" w:hint="default"/>
          <w:b/>
          <w:sz w:val="24"/>
          <w:szCs w:val="24"/>
        </w:rPr>
        <w:t>ch veriteľ</w:t>
      </w:r>
      <w:r w:rsidRPr="00CD723D" w:rsidR="008D2B06">
        <w:rPr>
          <w:rFonts w:ascii="Times New Roman" w:eastAsia="Verdana" w:hAnsi="Times New Roman" w:cs="Times New Roman" w:hint="default"/>
          <w:b/>
          <w:sz w:val="24"/>
          <w:szCs w:val="24"/>
        </w:rPr>
        <w:t>ov. Prax vš</w:t>
      </w:r>
      <w:r w:rsidRPr="00CD723D" w:rsidR="008D2B06">
        <w:rPr>
          <w:rFonts w:ascii="Times New Roman" w:eastAsia="Verdana" w:hAnsi="Times New Roman" w:cs="Times New Roman" w:hint="default"/>
          <w:b/>
          <w:sz w:val="24"/>
          <w:szCs w:val="24"/>
        </w:rPr>
        <w:t>ak ukazuje, ž</w:t>
      </w:r>
      <w:r w:rsidRPr="00CD723D" w:rsidR="008D2B06">
        <w:rPr>
          <w:rFonts w:ascii="Times New Roman" w:eastAsia="Verdana" w:hAnsi="Times New Roman" w:cs="Times New Roman" w:hint="default"/>
          <w:b/>
          <w:sz w:val="24"/>
          <w:szCs w:val="24"/>
        </w:rPr>
        <w:t>e dobrý</w:t>
      </w:r>
      <w:r w:rsidRPr="00CD723D" w:rsidR="008D2B06">
        <w:rPr>
          <w:rFonts w:ascii="Times New Roman" w:eastAsia="Verdana" w:hAnsi="Times New Roman" w:cs="Times New Roman" w:hint="default"/>
          <w:b/>
          <w:sz w:val="24"/>
          <w:szCs w:val="24"/>
        </w:rPr>
        <w:t xml:space="preserve"> cieľ</w:t>
      </w:r>
      <w:r w:rsidRPr="00CD723D" w:rsidR="008D2B06">
        <w:rPr>
          <w:rFonts w:ascii="Times New Roman" w:eastAsia="Verdana" w:hAnsi="Times New Roman" w:cs="Times New Roman" w:hint="default"/>
          <w:b/>
          <w:sz w:val="24"/>
          <w:szCs w:val="24"/>
        </w:rPr>
        <w:t xml:space="preserve"> sa minul úč</w:t>
      </w:r>
      <w:r w:rsidRPr="00CD723D" w:rsidR="008D2B06">
        <w:rPr>
          <w:rFonts w:ascii="Times New Roman" w:eastAsia="Verdana" w:hAnsi="Times New Roman" w:cs="Times New Roman" w:hint="default"/>
          <w:b/>
          <w:sz w:val="24"/>
          <w:szCs w:val="24"/>
        </w:rPr>
        <w:t>inku.</w:t>
      </w:r>
    </w:p>
    <w:p w:rsidR="000E7C35" w:rsidRPr="00CD723D" w:rsidP="006D4E6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0E7C35" w:rsidRPr="00A647C1" w:rsidP="006D4E68">
      <w:pPr>
        <w:bidi w:val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Navrhovaná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novela Obč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ianskeho zá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konní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ka a zá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kona č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. 527/2002 Z. z. o dobrovoľ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ný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ch draž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bá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ch a o doplnení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zá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kona Slovenskej ná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rodnej rady č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. 323/1992 Zb. o notá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roch a notá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rskej č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innosti (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Notá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rsky poriadok) v znení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neskorší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ch predpisov v znení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neskorší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ch predpisov má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</w:t>
      </w:r>
      <w:r w:rsidRPr="00A647C1" w:rsidR="008D2B06">
        <w:rPr>
          <w:rFonts w:ascii="Times New Roman" w:eastAsia="Verdana" w:hAnsi="Times New Roman" w:cs="Times New Roman" w:hint="default"/>
          <w:b/>
          <w:sz w:val="24"/>
          <w:szCs w:val="24"/>
        </w:rPr>
        <w:t>za cieľ</w:t>
      </w:r>
      <w:r w:rsidRPr="00A647C1" w:rsidR="008D2B06">
        <w:rPr>
          <w:rFonts w:ascii="Times New Roman" w:eastAsia="Verdana" w:hAnsi="Times New Roman" w:cs="Times New Roman" w:hint="default"/>
          <w:b/>
          <w:sz w:val="24"/>
          <w:szCs w:val="24"/>
        </w:rPr>
        <w:t xml:space="preserve"> odstrá</w:t>
      </w:r>
      <w:r w:rsidRPr="00A647C1" w:rsidR="008D2B06">
        <w:rPr>
          <w:rFonts w:ascii="Times New Roman" w:eastAsia="Verdana" w:hAnsi="Times New Roman" w:cs="Times New Roman" w:hint="default"/>
          <w:b/>
          <w:sz w:val="24"/>
          <w:szCs w:val="24"/>
        </w:rPr>
        <w:t>niť</w:t>
      </w:r>
      <w:r w:rsidRPr="00A647C1" w:rsidR="008D2B06">
        <w:rPr>
          <w:rFonts w:ascii="Times New Roman" w:eastAsia="Verdana" w:hAnsi="Times New Roman" w:cs="Times New Roman" w:hint="default"/>
          <w:b/>
          <w:sz w:val="24"/>
          <w:szCs w:val="24"/>
        </w:rPr>
        <w:t xml:space="preserve"> súč</w:t>
      </w:r>
      <w:r w:rsidRPr="00A647C1" w:rsidR="008D2B06">
        <w:rPr>
          <w:rFonts w:ascii="Times New Roman" w:eastAsia="Verdana" w:hAnsi="Times New Roman" w:cs="Times New Roman" w:hint="default"/>
          <w:b/>
          <w:sz w:val="24"/>
          <w:szCs w:val="24"/>
        </w:rPr>
        <w:t>asný</w:t>
      </w:r>
      <w:r w:rsidRPr="00A647C1" w:rsidR="008D2B06">
        <w:rPr>
          <w:rFonts w:ascii="Times New Roman" w:eastAsia="Verdana" w:hAnsi="Times New Roman" w:cs="Times New Roman" w:hint="default"/>
          <w:b/>
          <w:sz w:val="24"/>
          <w:szCs w:val="24"/>
        </w:rPr>
        <w:t xml:space="preserve"> problematický</w:t>
      </w:r>
      <w:r w:rsidRPr="00A647C1" w:rsidR="008D2B06">
        <w:rPr>
          <w:rFonts w:ascii="Times New Roman" w:eastAsia="Verdana" w:hAnsi="Times New Roman" w:cs="Times New Roman" w:hint="default"/>
          <w:b/>
          <w:sz w:val="24"/>
          <w:szCs w:val="24"/>
        </w:rPr>
        <w:t xml:space="preserve"> stav, kedy je mož</w:t>
      </w:r>
      <w:r w:rsidRPr="00A647C1" w:rsidR="008D2B06">
        <w:rPr>
          <w:rFonts w:ascii="Times New Roman" w:eastAsia="Verdana" w:hAnsi="Times New Roman" w:cs="Times New Roman" w:hint="default"/>
          <w:b/>
          <w:sz w:val="24"/>
          <w:szCs w:val="24"/>
        </w:rPr>
        <w:t>né</w:t>
      </w:r>
      <w:r w:rsidRPr="00A647C1" w:rsidR="008D2B06">
        <w:rPr>
          <w:rFonts w:ascii="Times New Roman" w:eastAsia="Verdana" w:hAnsi="Times New Roman" w:cs="Times New Roman" w:hint="default"/>
          <w:b/>
          <w:sz w:val="24"/>
          <w:szCs w:val="24"/>
        </w:rPr>
        <w:t>, aby sa zá</w:t>
      </w:r>
      <w:r w:rsidRPr="00A647C1" w:rsidR="008D2B06">
        <w:rPr>
          <w:rFonts w:ascii="Times New Roman" w:eastAsia="Verdana" w:hAnsi="Times New Roman" w:cs="Times New Roman" w:hint="default"/>
          <w:b/>
          <w:sz w:val="24"/>
          <w:szCs w:val="24"/>
        </w:rPr>
        <w:t>lož</w:t>
      </w:r>
      <w:r w:rsidRPr="00A647C1" w:rsidR="008D2B06">
        <w:rPr>
          <w:rFonts w:ascii="Times New Roman" w:eastAsia="Verdana" w:hAnsi="Times New Roman" w:cs="Times New Roman" w:hint="default"/>
          <w:b/>
          <w:sz w:val="24"/>
          <w:szCs w:val="24"/>
        </w:rPr>
        <w:t>ný</w:t>
      </w:r>
      <w:r w:rsidRPr="00A647C1" w:rsidR="008D2B06">
        <w:rPr>
          <w:rFonts w:ascii="Times New Roman" w:eastAsia="Verdana" w:hAnsi="Times New Roman" w:cs="Times New Roman" w:hint="default"/>
          <w:b/>
          <w:sz w:val="24"/>
          <w:szCs w:val="24"/>
        </w:rPr>
        <w:t xml:space="preserve"> veriteľ</w:t>
      </w:r>
      <w:r w:rsidRPr="00A647C1" w:rsidR="008D2B06">
        <w:rPr>
          <w:rFonts w:ascii="Times New Roman" w:eastAsia="Verdana" w:hAnsi="Times New Roman" w:cs="Times New Roman" w:hint="default"/>
          <w:b/>
          <w:sz w:val="24"/>
          <w:szCs w:val="24"/>
        </w:rPr>
        <w:t xml:space="preserve"> domá</w:t>
      </w:r>
      <w:r w:rsidRPr="00A647C1" w:rsidR="008D2B06">
        <w:rPr>
          <w:rFonts w:ascii="Times New Roman" w:eastAsia="Verdana" w:hAnsi="Times New Roman" w:cs="Times New Roman" w:hint="default"/>
          <w:b/>
          <w:sz w:val="24"/>
          <w:szCs w:val="24"/>
        </w:rPr>
        <w:t>hal uspokojenia svojej pohľ</w:t>
      </w:r>
      <w:r w:rsidRPr="00A647C1" w:rsidR="008D2B06">
        <w:rPr>
          <w:rFonts w:ascii="Times New Roman" w:eastAsia="Verdana" w:hAnsi="Times New Roman" w:cs="Times New Roman" w:hint="default"/>
          <w:b/>
          <w:sz w:val="24"/>
          <w:szCs w:val="24"/>
        </w:rPr>
        <w:t>adá</w:t>
      </w:r>
      <w:r w:rsidRPr="00A647C1" w:rsidR="008D2B06">
        <w:rPr>
          <w:rFonts w:ascii="Times New Roman" w:eastAsia="Verdana" w:hAnsi="Times New Roman" w:cs="Times New Roman" w:hint="default"/>
          <w:b/>
          <w:sz w:val="24"/>
          <w:szCs w:val="24"/>
        </w:rPr>
        <w:t>vky zabezpeč</w:t>
      </w:r>
      <w:r w:rsidRPr="00A647C1" w:rsidR="008D2B06">
        <w:rPr>
          <w:rFonts w:ascii="Times New Roman" w:eastAsia="Verdana" w:hAnsi="Times New Roman" w:cs="Times New Roman" w:hint="default"/>
          <w:b/>
          <w:sz w:val="24"/>
          <w:szCs w:val="24"/>
        </w:rPr>
        <w:t>enej nehnuteľ</w:t>
      </w:r>
      <w:r w:rsidRPr="00A647C1" w:rsidR="008D2B06">
        <w:rPr>
          <w:rFonts w:ascii="Times New Roman" w:eastAsia="Verdana" w:hAnsi="Times New Roman" w:cs="Times New Roman" w:hint="default"/>
          <w:b/>
          <w:sz w:val="24"/>
          <w:szCs w:val="24"/>
        </w:rPr>
        <w:t>nosť</w:t>
      </w:r>
      <w:r w:rsidRPr="00A647C1" w:rsidR="008D2B06">
        <w:rPr>
          <w:rFonts w:ascii="Times New Roman" w:eastAsia="Verdana" w:hAnsi="Times New Roman" w:cs="Times New Roman" w:hint="default"/>
          <w:b/>
          <w:sz w:val="24"/>
          <w:szCs w:val="24"/>
        </w:rPr>
        <w:t>ou bez akejkoľ</w:t>
      </w:r>
      <w:r w:rsidRPr="00A647C1" w:rsidR="008D2B06">
        <w:rPr>
          <w:rFonts w:ascii="Times New Roman" w:eastAsia="Verdana" w:hAnsi="Times New Roman" w:cs="Times New Roman" w:hint="default"/>
          <w:b/>
          <w:sz w:val="24"/>
          <w:szCs w:val="24"/>
        </w:rPr>
        <w:t>vek efektí</w:t>
      </w:r>
      <w:r w:rsidRPr="00A647C1" w:rsidR="008D2B06">
        <w:rPr>
          <w:rFonts w:ascii="Times New Roman" w:eastAsia="Verdana" w:hAnsi="Times New Roman" w:cs="Times New Roman" w:hint="default"/>
          <w:b/>
          <w:sz w:val="24"/>
          <w:szCs w:val="24"/>
        </w:rPr>
        <w:t xml:space="preserve">vnej </w:t>
      </w:r>
      <w:r w:rsidRPr="00A647C1" w:rsidR="008D2B06">
        <w:rPr>
          <w:rFonts w:ascii="Times New Roman" w:eastAsia="Verdana" w:hAnsi="Times New Roman" w:cs="Times New Roman" w:hint="default"/>
          <w:b/>
          <w:sz w:val="24"/>
          <w:szCs w:val="24"/>
        </w:rPr>
        <w:t>preventí</w:t>
      </w:r>
      <w:r w:rsidRPr="00A647C1" w:rsidR="008D2B06">
        <w:rPr>
          <w:rFonts w:ascii="Times New Roman" w:eastAsia="Verdana" w:hAnsi="Times New Roman" w:cs="Times New Roman" w:hint="default"/>
          <w:b/>
          <w:sz w:val="24"/>
          <w:szCs w:val="24"/>
        </w:rPr>
        <w:t>vnej sú</w:t>
      </w:r>
      <w:r w:rsidRPr="00A647C1" w:rsidR="008D2B06">
        <w:rPr>
          <w:rFonts w:ascii="Times New Roman" w:eastAsia="Verdana" w:hAnsi="Times New Roman" w:cs="Times New Roman" w:hint="default"/>
          <w:b/>
          <w:sz w:val="24"/>
          <w:szCs w:val="24"/>
        </w:rPr>
        <w:t>dnej kontroly.</w:t>
      </w:r>
    </w:p>
    <w:p w:rsidR="000E7C35" w:rsidRPr="00CD723D" w:rsidP="006D4E6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0E7C35" w:rsidRPr="00CD723D" w:rsidP="006D4E68">
      <w:pPr>
        <w:bidi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Vý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kon zá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lož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né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ho prá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va na nehnuteľ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nosti je citlivá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zá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lež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itosť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. Eš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te citlivejší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je vý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kon zá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lož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né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ho prá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va, ak sa ní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m postihuje obydlie. V sú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lade s citovaný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m ustanovení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m §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53 ods. 10 Obč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ianskeho zá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konní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ka sa zá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lož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né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prá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vo zo spot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rebiteľ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skej zmluvy môž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e vykonať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len na dobrovoľ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nej draž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be alebo exekú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ciou. </w:t>
      </w:r>
    </w:p>
    <w:p w:rsidR="000E7C35" w:rsidRPr="00CD723D" w:rsidP="006D4E6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0E7C35" w:rsidRPr="00CD723D" w:rsidP="006D4E68">
      <w:pPr>
        <w:bidi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Cieľ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om navrhované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ho zá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kona je teda dostať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proces vý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konu zá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lož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né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ho prá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va k nehnuteľ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nostiam do jednoznač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ný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ch ú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stavný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ch mantinelov. Zá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lož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ný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m veriteľ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om, najmä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banká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m, sprá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vcom domov a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spoloč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enstvom vlastní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kov bytov, sa sí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ce sť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aží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dosiahnutie uspokojenia ich nesplá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caný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ch pohľ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adá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vok. Rozhodne sa im vš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ak neznemož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ní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dosiahnutie uspokojenia pohľ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adá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vky. Zmení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sa len to, 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e zá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lož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ní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veritelia, ktorý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majú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zá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lož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né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prá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vo k nehnuteľ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nosti, budú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pr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e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d tý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m, než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budú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mô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cť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pristú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piť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k vý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konu zá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lož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né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ho prá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va, mať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uplatň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ovanú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pohľ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adá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vku aj judikovanú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, respektí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ve vykonateľ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nú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. Nebudú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nevyhnutne potrebovať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rozhodnutie sú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du. Prí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pustná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bude aj notá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rska zá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pisnica, v ktorej dlž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ní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k a zá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lož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ca (ak pô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jde o odliš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né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o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s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oby) vyhlá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sia, 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e sú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hlasia s vykonateľ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nosť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ou pohľ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adá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vky. Pritom sa bude reš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pektovať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osobitná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prá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vna ú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prava ochraň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ujú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ca spotrebiteľ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ov. V prí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pade spotrebiteľ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ov už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teraz platí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, 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e zá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lož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né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prá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vo sa môž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e vykonať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len na dobrovoľ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nej draž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be alebo exekú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ciou. V prí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p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ade spotrebiteľ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ov spravidla nebude prichá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dzať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do ú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vahy rozhodcovský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rozsudok alebo notá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rska zá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pisnica, pretož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e to do znač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nej miery obmedzujú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súč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asné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predpisy. </w:t>
      </w:r>
    </w:p>
    <w:p w:rsidR="000E7C35" w:rsidRPr="00CD723D" w:rsidP="006D4E68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0E7C35" w:rsidRPr="00CD723D" w:rsidP="006D4E68">
      <w:pPr>
        <w:bidi w:val="0"/>
        <w:rPr>
          <w:rFonts w:ascii="Times New Roman" w:hAnsi="Times New Roman" w:cs="Times New Roman"/>
          <w:sz w:val="24"/>
          <w:szCs w:val="24"/>
        </w:rPr>
      </w:pPr>
      <w:r w:rsidRPr="00CD723D" w:rsidR="008D2B06">
        <w:rPr>
          <w:rFonts w:ascii="Times New Roman" w:eastAsia="Verdana" w:hAnsi="Times New Roman" w:cs="Times New Roman" w:hint="default"/>
          <w:b/>
          <w:sz w:val="24"/>
          <w:szCs w:val="24"/>
          <w:u w:val="single"/>
        </w:rPr>
        <w:t>Osobitná</w:t>
      </w:r>
      <w:r w:rsidRPr="00CD723D" w:rsidR="008D2B06">
        <w:rPr>
          <w:rFonts w:ascii="Times New Roman" w:eastAsia="Verdana" w:hAnsi="Times New Roman" w:cs="Times New Roman" w:hint="default"/>
          <w:b/>
          <w:sz w:val="24"/>
          <w:szCs w:val="24"/>
          <w:u w:val="single"/>
        </w:rPr>
        <w:t xml:space="preserve"> č</w:t>
      </w:r>
      <w:r w:rsidRPr="00CD723D" w:rsidR="008D2B06">
        <w:rPr>
          <w:rFonts w:ascii="Times New Roman" w:eastAsia="Verdana" w:hAnsi="Times New Roman" w:cs="Times New Roman" w:hint="default"/>
          <w:b/>
          <w:sz w:val="24"/>
          <w:szCs w:val="24"/>
          <w:u w:val="single"/>
        </w:rPr>
        <w:t>asť</w:t>
      </w:r>
    </w:p>
    <w:p w:rsidR="000E7C35" w:rsidRPr="00CD723D" w:rsidP="006D4E6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0E7C35" w:rsidRPr="00CD723D" w:rsidP="006D4E6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0E7C35" w:rsidRPr="00CD723D" w:rsidP="006D4E68">
      <w:pPr>
        <w:bidi w:val="0"/>
        <w:rPr>
          <w:rFonts w:ascii="Times New Roman" w:hAnsi="Times New Roman" w:cs="Times New Roman"/>
          <w:sz w:val="24"/>
          <w:szCs w:val="24"/>
        </w:rPr>
      </w:pPr>
      <w:r w:rsidRPr="00CD723D" w:rsidR="008D2B06">
        <w:rPr>
          <w:rFonts w:ascii="Times New Roman" w:eastAsia="Verdana" w:hAnsi="Times New Roman" w:cs="Times New Roman" w:hint="default"/>
          <w:b/>
          <w:sz w:val="24"/>
          <w:szCs w:val="24"/>
        </w:rPr>
        <w:t>K č</w:t>
      </w:r>
      <w:r w:rsidRPr="00CD723D" w:rsidR="008D2B06">
        <w:rPr>
          <w:rFonts w:ascii="Times New Roman" w:eastAsia="Verdana" w:hAnsi="Times New Roman" w:cs="Times New Roman" w:hint="default"/>
          <w:b/>
          <w:sz w:val="24"/>
          <w:szCs w:val="24"/>
        </w:rPr>
        <w:t>l. I</w:t>
      </w:r>
    </w:p>
    <w:p w:rsidR="000E7C35" w:rsidRPr="00CD723D" w:rsidP="006D4E68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0E7C35" w:rsidRPr="00CD723D" w:rsidP="006D4E6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Do §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151j ods. 1 Obč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ianskeho zá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konní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ka sa vkladá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nová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veta, ktorá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zavá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dza pre zá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lož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ný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ch veriteľ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ov, ktorí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majú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zá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lož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né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prá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vo k nehnuteľ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nosti, nová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podmienka pre vý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kon zá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lož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né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ho prá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va - a to mať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pohľ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adá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vku, na zá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klade ktorej zá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lož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né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prá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vo vykoná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vajú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, judiko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anú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sú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dom. Judikovanou pohľ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adá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vkou sa tu má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na mysli judikovaná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pohľ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adá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vka v 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irš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om zmysle a to - prá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voplatné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a vykonateľ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né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rozhodnutie sú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du o priznaní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pohľ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adá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vky zá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lož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né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mu veriteľ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ovi. Tam, kde to prá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vne predpisy pripúšť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ajú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, by prichá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dzala do ú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vahy aj not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rska zá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pisnica, v ktorej dlž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ní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k a zá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lož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ca, ak je odliš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ný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od dlž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ní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ka, sú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hlasia s vykonateľ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nosť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ou pohľ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adá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vky. Judikovanou pohľ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adá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vkou sa rozumejú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aj pohľ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adá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vky priznané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v rozhodcovský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ch rozsudkoch a v sú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dom schvá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lený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ch zmieroch. Z prá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vnych predpisov platný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c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h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v súč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asnosti pritom vyplý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va, 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e v prí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pade spotrebiteľ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ov by sa spravidla za judikovanú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pohľ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adá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vka nemohla považ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ovať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najmä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pohľ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adá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vka priznaná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rozhodcovský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m rozsudkom alebo pohľ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adá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vka z notá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rskej zá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pisnice. Bude ú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lohou sú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dov, aby nové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ustanovenie sprá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vne i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n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terpretovali najmä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vo vzť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ahu k spotrebiteľ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om. Sú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dy pritom budú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musieť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prihliadať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aj na tú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to dô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vodovú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sprá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vu k zá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konu pri vý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klade zá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kona. To vyplý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va z povahy dô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vodovej sprá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vy vyjadrujú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cej ú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mysel zá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konodarcu.</w:t>
      </w:r>
    </w:p>
    <w:p w:rsidR="000E7C35" w:rsidRPr="00CD723D" w:rsidP="006D4E68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0E7C35" w:rsidRPr="00CD723D" w:rsidP="006D4E68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0E7C35" w:rsidRPr="00CD723D" w:rsidP="006D4E68">
      <w:pPr>
        <w:bidi w:val="0"/>
        <w:rPr>
          <w:rFonts w:ascii="Times New Roman" w:hAnsi="Times New Roman" w:cs="Times New Roman"/>
          <w:sz w:val="24"/>
          <w:szCs w:val="24"/>
        </w:rPr>
      </w:pPr>
      <w:r w:rsidRPr="00CD723D" w:rsidR="008D2B06">
        <w:rPr>
          <w:rFonts w:ascii="Times New Roman" w:eastAsia="Verdana" w:hAnsi="Times New Roman" w:cs="Times New Roman" w:hint="default"/>
          <w:b/>
          <w:sz w:val="24"/>
          <w:szCs w:val="24"/>
        </w:rPr>
        <w:t>K č</w:t>
      </w:r>
      <w:r w:rsidRPr="00CD723D" w:rsidR="008D2B06">
        <w:rPr>
          <w:rFonts w:ascii="Times New Roman" w:eastAsia="Verdana" w:hAnsi="Times New Roman" w:cs="Times New Roman" w:hint="default"/>
          <w:b/>
          <w:sz w:val="24"/>
          <w:szCs w:val="24"/>
        </w:rPr>
        <w:t>l. II</w:t>
      </w:r>
    </w:p>
    <w:p w:rsidR="000E7C35" w:rsidRPr="00CD723D" w:rsidP="006D4E68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0E7C35" w:rsidRPr="00CD723D" w:rsidP="006D4E68">
      <w:pPr>
        <w:bidi w:val="0"/>
        <w:rPr>
          <w:rFonts w:ascii="Times New Roman" w:hAnsi="Times New Roman" w:cs="Times New Roman"/>
          <w:sz w:val="24"/>
          <w:szCs w:val="24"/>
        </w:rPr>
      </w:pPr>
      <w:r w:rsidRPr="00CD723D" w:rsidR="008D2B06">
        <w:rPr>
          <w:rFonts w:ascii="Times New Roman" w:eastAsia="Verdana" w:hAnsi="Times New Roman" w:cs="Times New Roman"/>
          <w:b/>
          <w:sz w:val="24"/>
          <w:szCs w:val="24"/>
        </w:rPr>
        <w:t>K bodu 1</w:t>
      </w:r>
    </w:p>
    <w:p w:rsidR="000E7C35" w:rsidRPr="00CD723D" w:rsidP="006D4E68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0E7C35" w:rsidRPr="00CD723D" w:rsidP="006D4E6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Do §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7 zá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kona č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. 527/2002 Z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. z. sa navrhuje vlož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iť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nový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odsek 3, ktorý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v intenciá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ch navrhovanej zmeny Obč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ianskeho zá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konní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ka uloží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navrhovateľ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om dobrovoľ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nej draž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by vymá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hajú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cich si pohľ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adá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vku povinnosť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predlož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iť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„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exekuč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ný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titul“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. Z formá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lneho hľ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adiska budú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musieť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skutoč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ne predlož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iť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l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i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stinu, ktorá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má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vlastnosti exekuč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né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ho titulu, vzhľ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adom na existenciu zá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lož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né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ho prá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va vš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ak samotnú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pohľ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adá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vku budú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vymá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hať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mimoexekuč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ne na dobrovoľ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nej draž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be. Zachová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va sa teda efektí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vna vymož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iteľ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nosť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pohľ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adá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vky zabezpeč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enej zá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lož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ný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m prá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vom, odstraň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uje sa 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ak i potenciá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lna svojvôľ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a zá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lož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ný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ch veriteľ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ov, ktorí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v súč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asnosti pristupujú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k dobrovoľ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nej draž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be bez aké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hokoľ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vek sú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dneho prieskumu uplatň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ovanej pohľ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adá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vky. Toto nové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ustanovenie bude mať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vý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znam najmä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pre spotrebiteľ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ov, pretož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e podľ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a dnes platný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ch predpi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s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ov sa pohľ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adá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vka zabezpeč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ená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zá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lož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ný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m prá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vom môž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e vymá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hať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len formou dobrovoľ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nej draž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by alebo exekú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cie (tá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ale je pod permanentnou sú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dnou kontrolou).</w:t>
      </w:r>
      <w:r w:rsidR="005B483C">
        <w:rPr>
          <w:rFonts w:ascii="Times New Roman" w:hAnsi="Times New Roman" w:cs="Times New Roman"/>
          <w:sz w:val="24"/>
          <w:szCs w:val="24"/>
        </w:rPr>
        <w:t xml:space="preserve"> 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Pozná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mka pod č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iarou má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len interpretač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ný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charakter. Odkazuje prá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ve na novelizované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znenie §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151j Obč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ianske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ho zá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konní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ka (č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l. I).</w:t>
      </w:r>
      <w:r w:rsidR="005B483C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Z legislatí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vno-technický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ch dô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vodov sa zá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roveň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navrhuje prečí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slovať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nasledujú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ce odseky.</w:t>
      </w:r>
    </w:p>
    <w:p w:rsidR="000E7C35" w:rsidRPr="00CD723D" w:rsidP="006D4E68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0E7C35" w:rsidRPr="00CD723D" w:rsidP="006D4E68">
      <w:pPr>
        <w:bidi w:val="0"/>
        <w:rPr>
          <w:rFonts w:ascii="Times New Roman" w:hAnsi="Times New Roman" w:cs="Times New Roman"/>
          <w:sz w:val="24"/>
          <w:szCs w:val="24"/>
        </w:rPr>
      </w:pPr>
      <w:r w:rsidRPr="00CD723D" w:rsidR="008D2B06">
        <w:rPr>
          <w:rFonts w:ascii="Times New Roman" w:eastAsia="Verdana" w:hAnsi="Times New Roman" w:cs="Times New Roman"/>
          <w:b/>
          <w:sz w:val="24"/>
          <w:szCs w:val="24"/>
        </w:rPr>
        <w:t>K bodu 2</w:t>
      </w:r>
    </w:p>
    <w:p w:rsidR="000E7C35" w:rsidRPr="00CD723D" w:rsidP="006D4E68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0E7C35" w:rsidRPr="00CD723D" w:rsidP="006D4E6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Zavá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dza sa nové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prechodné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ustanovenie v novom ustanovení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§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36c. Jeho cieľ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om je ú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stavno-konformne zaviesť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rovnosť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medzi vš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etký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ch 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zá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lož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ný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ch dlž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ní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kov a zá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lož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cov. Bolo by neopodstatnené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zavá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dzať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odliš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ný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rež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im pre zá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lož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ný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ch dlž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ní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kov a zá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lož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cov, voč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i ktorý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m sa už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draž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ba zač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ala, v porovnaní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s tý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mi, voč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i ktorý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m sa draž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ba nezač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ala. Ide o takzvanú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nepravú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retroaktivitu. Nepravá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retroaktivit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a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je normá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lny a nevyhnutný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ja v kaž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dej novej prá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vnej norme. Kaž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dá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nová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prá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vna norma prináš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a do existujú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cich prá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vnych vzť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ahov nový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prvok. Inak by nemala vý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znam. Nejde pritom o skutoč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né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pô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sobenie zá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kona do minulosti.</w:t>
      </w:r>
    </w:p>
    <w:p w:rsidR="000E7C35" w:rsidRPr="00CD723D" w:rsidP="006D4E68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0E7C35" w:rsidRPr="00CD723D" w:rsidP="006D4E68">
      <w:pPr>
        <w:bidi w:val="0"/>
        <w:rPr>
          <w:rFonts w:ascii="Times New Roman" w:hAnsi="Times New Roman" w:cs="Times New Roman"/>
          <w:sz w:val="24"/>
          <w:szCs w:val="24"/>
        </w:rPr>
      </w:pPr>
      <w:r w:rsidRPr="00CD723D" w:rsidR="008D2B06">
        <w:rPr>
          <w:rFonts w:ascii="Times New Roman" w:eastAsia="Verdana" w:hAnsi="Times New Roman" w:cs="Times New Roman" w:hint="default"/>
          <w:b/>
          <w:sz w:val="24"/>
          <w:szCs w:val="24"/>
        </w:rPr>
        <w:t>K č</w:t>
      </w:r>
      <w:r w:rsidRPr="00CD723D" w:rsidR="008D2B06">
        <w:rPr>
          <w:rFonts w:ascii="Times New Roman" w:eastAsia="Verdana" w:hAnsi="Times New Roman" w:cs="Times New Roman" w:hint="default"/>
          <w:b/>
          <w:sz w:val="24"/>
          <w:szCs w:val="24"/>
        </w:rPr>
        <w:t>l. III</w:t>
      </w:r>
    </w:p>
    <w:p w:rsidR="000E7C35" w:rsidRPr="00CD723D" w:rsidP="006D4E6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Vzhľ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adom na dĺž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ku legislatí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vneh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o procesu sa navrhuje, aby zá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kon nadobudol úč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>innosť</w:t>
      </w:r>
      <w:r w:rsidRPr="00CD723D" w:rsidR="008D2B06">
        <w:rPr>
          <w:rFonts w:ascii="Times New Roman" w:eastAsia="Verdana" w:hAnsi="Times New Roman" w:cs="Times New Roman" w:hint="default"/>
          <w:sz w:val="24"/>
          <w:szCs w:val="24"/>
        </w:rPr>
        <w:t xml:space="preserve"> 1. </w:t>
      </w:r>
      <w:r w:rsidR="003256FA">
        <w:rPr>
          <w:rFonts w:ascii="Times New Roman" w:eastAsia="Verdana" w:hAnsi="Times New Roman" w:cs="Times New Roman"/>
          <w:sz w:val="24"/>
          <w:szCs w:val="24"/>
        </w:rPr>
        <w:t>novembra</w:t>
      </w:r>
      <w:r w:rsidRPr="00CD723D" w:rsidR="008D2B06">
        <w:rPr>
          <w:rFonts w:ascii="Times New Roman" w:eastAsia="Verdana" w:hAnsi="Times New Roman" w:cs="Times New Roman"/>
          <w:sz w:val="24"/>
          <w:szCs w:val="24"/>
        </w:rPr>
        <w:t xml:space="preserve"> 2017</w:t>
      </w:r>
    </w:p>
    <w:p w:rsidR="000E7C35" w:rsidRPr="00CD723D" w:rsidP="006D4E68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0E7C35" w:rsidRPr="00CD723D" w:rsidP="006D4E68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0E7C35" w:rsidRPr="00CD723D" w:rsidP="006D4E68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0E7C35" w:rsidRPr="00CD723D" w:rsidP="006D4E68">
      <w:pPr>
        <w:bidi w:val="0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566" w:right="566" w:bottom="566" w:left="1700" w:header="0" w:footer="708" w:gutter="0"/>
      <w:lnNumType w:distance="0"/>
      <w:pgNumType w:start="1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108D2"/>
    <w:multiLevelType w:val="multilevel"/>
    <w:tmpl w:val="29C6FC90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  <w:u w:val="none"/>
        <w:rtl w:val="0"/>
        <w:cs w:val="0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rFonts w:cs="Times New Roman"/>
        <w:u w:val="none"/>
        <w:rtl w:val="0"/>
        <w:cs w:val="0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rFonts w:cs="Times New Roman"/>
        <w:u w:val="none"/>
        <w:rtl w:val="0"/>
        <w:cs w:val="0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rFonts w:cs="Times New Roman"/>
        <w:u w:val="none"/>
        <w:rtl w:val="0"/>
        <w:cs w:val="0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rFonts w:cs="Times New Roman"/>
        <w:u w:val="none"/>
        <w:rtl w:val="0"/>
        <w:cs w:val="0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rFonts w:cs="Times New Roman"/>
        <w:u w:val="none"/>
        <w:rtl w:val="0"/>
        <w:cs w:val="0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rFonts w:cs="Times New Roman"/>
        <w:u w:val="none"/>
        <w:rtl w:val="0"/>
        <w:cs w:val="0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rFonts w:cs="Times New Roman"/>
        <w:u w:val="none"/>
        <w:rtl w:val="0"/>
        <w:cs w:val="0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rFonts w:cs="Times New Roman"/>
        <w:u w:val="none"/>
        <w:rtl w:val="0"/>
        <w:cs w:val="0"/>
      </w:rPr>
    </w:lvl>
  </w:abstractNum>
  <w:abstractNum w:abstractNumId="1">
    <w:nsid w:val="431255DF"/>
    <w:multiLevelType w:val="multilevel"/>
    <w:tmpl w:val="216ED21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  <w:rtl w:val="0"/>
        <w:cs w:val="0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cs="Times New Roman"/>
        <w:u w:val="none"/>
        <w:rtl w:val="0"/>
        <w:cs w:val="0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  <w:rtl w:val="0"/>
        <w:cs w:val="0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  <w:rtl w:val="0"/>
        <w:cs w:val="0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cs="Times New Roman"/>
        <w:u w:val="none"/>
        <w:rtl w:val="0"/>
        <w:cs w:val="0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  <w:rtl w:val="0"/>
        <w:cs w:val="0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  <w:rtl w:val="0"/>
        <w:cs w:val="0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cs="Times New Roman"/>
        <w:u w:val="none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isplayBackgroundShape/>
  <w:doNotTrackMoves/>
  <w:defaultTabStop w:val="720"/>
  <w:hyphenationZone w:val="425"/>
  <w:characterSpacingControl w:val="doNotCompress"/>
  <w:compat/>
  <w:rsids>
    <w:rsidRoot w:val="000E7C35"/>
    <w:rsid w:val="000E7C35"/>
    <w:rsid w:val="00121EDB"/>
    <w:rsid w:val="0030733F"/>
    <w:rsid w:val="003256FA"/>
    <w:rsid w:val="005B483C"/>
    <w:rsid w:val="006D4E68"/>
    <w:rsid w:val="008D2B06"/>
    <w:rsid w:val="00A647C1"/>
    <w:rsid w:val="00CD723D"/>
    <w:rsid w:val="00F1092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color w:val="000000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framePr w:wrap="auto"/>
      <w:widowControl/>
      <w:autoSpaceDE/>
      <w:autoSpaceDN/>
      <w:adjustRightInd/>
      <w:spacing w:line="276" w:lineRule="auto"/>
      <w:ind w:left="0" w:right="0"/>
      <w:jc w:val="left"/>
      <w:textAlignment w:val="auto"/>
    </w:pPr>
    <w:rPr>
      <w:rFonts w:ascii="Arial" w:eastAsia="Arial" w:hAnsi="Arial" w:cs="Arial"/>
      <w:color w:val="000000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jc w:val="left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jc w:val="left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jc w:val="left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jc w:val="left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jc w:val="left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jc w:val="left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pPr>
      <w:framePr w:wrap="auto"/>
      <w:widowControl/>
      <w:autoSpaceDE/>
      <w:autoSpaceDN/>
      <w:adjustRightInd/>
      <w:spacing w:line="276" w:lineRule="auto"/>
      <w:ind w:left="0" w:right="0"/>
      <w:jc w:val="left"/>
      <w:textAlignment w:val="auto"/>
    </w:pPr>
    <w:rPr>
      <w:rFonts w:ascii="Arial" w:eastAsia="Arial" w:hAnsi="Arial" w:cs="Arial"/>
      <w:color w:val="000000"/>
      <w:sz w:val="22"/>
      <w:szCs w:val="22"/>
      <w:rtl w:val="0"/>
      <w:cs w:val="0"/>
      <w:lang w:val="sk-SK" w:eastAsia="sk-SK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  <w:contextualSpacing/>
      <w:jc w:val="left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  <w:jc w:val="left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F1092A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3256FA"/>
    <w:pPr>
      <w:spacing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256FA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870</Words>
  <Characters>4959</Characters>
  <Application>Microsoft Office Word</Application>
  <DocSecurity>0</DocSecurity>
  <Lines>0</Lines>
  <Paragraphs>0</Paragraphs>
  <ScaleCrop>false</ScaleCrop>
  <Company>Kancelaria NR SR</Company>
  <LinksUpToDate>false</LinksUpToDate>
  <CharactersWithSpaces>5818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Pčolinská, Adriana (asistent)</dc:creator>
  <cp:lastModifiedBy>Gašparíková, Jarmila</cp:lastModifiedBy>
  <cp:revision>2</cp:revision>
  <cp:lastPrinted>2017-05-25T12:16:00Z</cp:lastPrinted>
  <dcterms:created xsi:type="dcterms:W3CDTF">2017-05-26T15:34:00Z</dcterms:created>
  <dcterms:modified xsi:type="dcterms:W3CDTF">2017-05-26T15:34:00Z</dcterms:modified>
</cp:coreProperties>
</file>