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796D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BE796D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3984"/>
        <w:gridCol w:w="5031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E796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BE796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E796D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 w:rsidRPr="00D56C03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</w:t>
            </w:r>
            <w:r w:rsidR="00D56C03">
              <w:rPr>
                <w:rFonts w:ascii="Times New Roman" w:hAnsi="Times New Roman"/>
                <w:sz w:val="22"/>
                <w:szCs w:val="22"/>
                <w:lang w:val="sk-SK"/>
              </w:rPr>
              <w:t>ú  sa nové elektronické služby?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04295" w:rsidP="00EF5E71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0E3602" w:rsidR="000E360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 zverejňovaním dokumentov súvisiacich so vznikom a činnosťou verejných výskumných inštitúcií a údajov z registra na webovom sídle ministerstva, zverejňovaním dosiahnutých výsledkov na centrálnom informačnom portáli a zverejňovaním </w:t>
            </w:r>
            <w:r w:rsidR="00EF5E7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vnútorných predpisov</w:t>
            </w:r>
            <w:r w:rsidRPr="000E3602" w:rsidR="000E360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na webovom sídle </w:t>
            </w:r>
            <w:r w:rsidR="00EF5E71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verejných výskumných inštitúcií (ako aj zriaďovateľa)</w:t>
            </w:r>
            <w:r w:rsidRPr="000E3602" w:rsidR="000E360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sa zavádzajú nové elektronické služby s úrovňou I (informatívna úroveň).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 w:rsidRPr="00D04295" w:rsidP="00D0429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</w:t>
            </w:r>
            <w:r w:rsidR="00D04295">
              <w:rPr>
                <w:rFonts w:ascii="Times New Roman" w:hAnsi="Times New Roman"/>
                <w:sz w:val="22"/>
                <w:szCs w:val="22"/>
                <w:lang w:val="sk-SK"/>
              </w:rPr>
              <w:t>re sémantickú interoperabilitu?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 w:rsidP="008C581B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BE796D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BE796D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 w:rsidRPr="002C187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</w:t>
            </w:r>
            <w:r w:rsidR="002C1875">
              <w:rPr>
                <w:rFonts w:ascii="Times New Roman" w:hAnsi="Times New Roman"/>
                <w:sz w:val="22"/>
                <w:szCs w:val="22"/>
                <w:lang w:val="sk-SK"/>
              </w:rPr>
              <w:t>a rozširovanie vedomostí o IKT?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E796D" w:rsidP="002C1875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2C1875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 w:rsidRPr="002C187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</w:t>
            </w:r>
            <w:r w:rsidR="002C1875">
              <w:rPr>
                <w:rFonts w:ascii="Times New Roman" w:hAnsi="Times New Roman"/>
                <w:sz w:val="22"/>
                <w:szCs w:val="22"/>
                <w:lang w:val="sk-SK"/>
              </w:rPr>
              <w:t>voj elektronického vzdelávania?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="002C1875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RPr="002C187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P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RPr="002C187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P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2C1875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2C1875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RPr="00DD13E7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</w:t>
            </w:r>
            <w:r w:rsidR="00DD13E7">
              <w:rPr>
                <w:rFonts w:ascii="Times New Roman" w:hAnsi="Times New Roman"/>
                <w:sz w:val="22"/>
                <w:szCs w:val="22"/>
                <w:lang w:val="sk-SK"/>
              </w:rPr>
              <w:t>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P="00647BB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0E3602" w:rsidR="000E360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Áno, zavádza sa nový informačný systém ktorým je register ve</w:t>
            </w:r>
            <w:r w:rsidR="000E360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rejných výskumných inštitúcií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RPr="002C1875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P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1875" w:rsidRPr="00DC6DD0" w:rsidP="00DC6DD0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</w:t>
            </w:r>
            <w:r w:rsidR="00DC6DD0">
              <w:rPr>
                <w:rFonts w:ascii="Times New Roman" w:hAnsi="Times New Roman"/>
                <w:sz w:val="22"/>
                <w:szCs w:val="22"/>
                <w:lang w:val="sk-SK"/>
              </w:rPr>
              <w:t>upnosť k elektronickým službám?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7BB9" w:rsidP="008C581B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Áno, 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údaje z </w:t>
            </w:r>
            <w:r w:rsidR="00DC6DD0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registr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a verejných výskumných inštitúcií</w:t>
            </w:r>
            <w:r w:rsidR="00DC6DD0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sa </w:t>
            </w:r>
            <w:r w:rsidR="00DC6DD0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sprístupn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ia</w:t>
            </w:r>
            <w:r w:rsidR="00DC6DD0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verejnosti </w:t>
            </w:r>
            <w:r w:rsidR="00876FA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na 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webovom sídle ministerstva. Verejná výskumná inštitúcia bude povinná zverejňovať výsledky svojej hlavnej činnosti na </w:t>
            </w:r>
            <w:r w:rsidR="00876FA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centrálnom 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informačnom </w:t>
            </w:r>
            <w:r w:rsidR="00876FA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portáli.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Verejná výskumná inštitúcia bude povinná mať svoje webové sídlo.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ED480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480F" w:rsidP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ED480F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D480F" w:rsidP="00ED480F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 Predpokladá sa využitie existujúcej kapacity.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 w:rsidRPr="00ED480F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 w:rsidP="00BE796D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Táto problematika nie je predmetom návrhu.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 w:rsidRPr="00ED480F" w:rsidP="00ED480F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Financovanie bude zabezpečené na rezortnej úrovni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, ak ide o zverejňovanie údajov z registra verejných výskumných inštitúcií na webovom sídle ministerstva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.</w:t>
            </w:r>
            <w:r w:rsidR="008C581B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 Zriadenie a prevádzka webového sídla verejnej výskumnej inštitúcie bude nákladovou položkou verejnej výskumnej inštitúcie.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ED480F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k-SK"/>
              </w:rPr>
              <w:t>(Stručne popíšte navrhované legislatívne zmeny.)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D480F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Nie.</w:t>
            </w:r>
          </w:p>
        </w:tc>
      </w:tr>
    </w:tbl>
    <w:p w:rsidR="00BE796D" w:rsidP="00ED480F">
      <w:pPr>
        <w:bidi w:val="0"/>
        <w:spacing w:line="240" w:lineRule="atLeast"/>
        <w:jc w:val="center"/>
        <w:rPr>
          <w:rFonts w:ascii="Times New Roman" w:hAnsi="Times New Roman"/>
          <w:lang w:val="sk-SK"/>
        </w:rPr>
      </w:pPr>
    </w:p>
    <w:sectPr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Times New Roman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6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E796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6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F5E7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BE796D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6D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6D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345F2"/>
    <w:multiLevelType w:val="hybridMultilevel"/>
    <w:tmpl w:val="1F4881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B5BE8"/>
    <w:multiLevelType w:val="hybridMultilevel"/>
    <w:tmpl w:val="D4AA0E1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C729C"/>
    <w:multiLevelType w:val="hybridMultilevel"/>
    <w:tmpl w:val="0B2AA9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A37CD8"/>
    <w:multiLevelType w:val="hybridMultilevel"/>
    <w:tmpl w:val="7DD49C1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56C03"/>
    <w:rsid w:val="000E3602"/>
    <w:rsid w:val="001B2A60"/>
    <w:rsid w:val="001B528A"/>
    <w:rsid w:val="002B22F0"/>
    <w:rsid w:val="002C1875"/>
    <w:rsid w:val="003B18AE"/>
    <w:rsid w:val="004776CD"/>
    <w:rsid w:val="004A2E10"/>
    <w:rsid w:val="004F5E81"/>
    <w:rsid w:val="0050261C"/>
    <w:rsid w:val="00503912"/>
    <w:rsid w:val="005B3A76"/>
    <w:rsid w:val="00647BB9"/>
    <w:rsid w:val="007C31BC"/>
    <w:rsid w:val="00876FAB"/>
    <w:rsid w:val="008C581B"/>
    <w:rsid w:val="00904138"/>
    <w:rsid w:val="00A5588D"/>
    <w:rsid w:val="00A717D2"/>
    <w:rsid w:val="00B45413"/>
    <w:rsid w:val="00BE796D"/>
    <w:rsid w:val="00D04295"/>
    <w:rsid w:val="00D56C03"/>
    <w:rsid w:val="00DA5542"/>
    <w:rsid w:val="00DC6DD0"/>
    <w:rsid w:val="00DD13E7"/>
    <w:rsid w:val="00E01E7A"/>
    <w:rsid w:val="00E35D40"/>
    <w:rsid w:val="00ED480F"/>
    <w:rsid w:val="00EF5E7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sk-SK"/>
    </w:rPr>
  </w:style>
  <w:style w:type="paragraph" w:customStyle="1" w:styleId="Pojem">
    <w:name w:val="Pojem"/>
    <w:basedOn w:val="Normal"/>
    <w:pPr>
      <w:keepNext/>
      <w:jc w:val="left"/>
    </w:pPr>
    <w:rPr>
      <w:rFonts w:ascii="Arial" w:hAnsi="Arial" w:cs="Arial"/>
      <w:b/>
      <w:bCs/>
      <w:lang w:val="sk-SK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NoSpacing">
    <w:name w:val="No Spacing"/>
    <w:uiPriority w:val="1"/>
    <w:qFormat/>
    <w:rsid w:val="00E35D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2</Pages>
  <Words>420</Words>
  <Characters>2400</Characters>
  <Application>Microsoft Office Word</Application>
  <DocSecurity>0</DocSecurity>
  <Lines>0</Lines>
  <Paragraphs>0</Paragraphs>
  <ScaleCrop>false</ScaleCrop>
  <Company>mhsr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zabkova</dc:creator>
  <cp:lastModifiedBy>marek.gilanyi</cp:lastModifiedBy>
  <cp:revision>9</cp:revision>
  <cp:lastPrinted>2008-05-07T12:27:00Z</cp:lastPrinted>
  <dcterms:created xsi:type="dcterms:W3CDTF">2014-11-25T17:25:00Z</dcterms:created>
  <dcterms:modified xsi:type="dcterms:W3CDTF">2015-02-09T10:37:00Z</dcterms:modified>
</cp:coreProperties>
</file>