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2787" w:rsidRPr="00CF66E2">
      <w:pPr>
        <w:pStyle w:val="NormalWeb"/>
        <w:bidi w:val="0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 w:rsidR="00851C1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602787" w:rsidRPr="00CF66E2">
      <w:pPr>
        <w:pStyle w:val="Standarduser"/>
        <w:autoSpaceDE/>
        <w:bidi w:val="0"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602787" w:rsidRPr="00CF66E2">
      <w:pPr>
        <w:pStyle w:val="Standarduser"/>
        <w:autoSpaceDE/>
        <w:bidi w:val="0"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 w:rsidR="00851C13">
        <w:rPr>
          <w:rFonts w:ascii="Book Antiqua" w:hAnsi="Book Antiqua" w:cs="Book Antiqua"/>
          <w:b/>
          <w:bCs/>
          <w:sz w:val="22"/>
          <w:szCs w:val="22"/>
          <w:lang w:bidi="hi-IN"/>
        </w:rPr>
        <w:t>A. Všeobecná časť</w:t>
      </w:r>
    </w:p>
    <w:p w:rsidR="00602787" w:rsidRPr="00B71DE9">
      <w:pPr>
        <w:pStyle w:val="Standarduser"/>
        <w:autoSpaceDE/>
        <w:bidi w:val="0"/>
        <w:spacing w:after="160" w:line="242" w:lineRule="auto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 w:rsidR="00851C13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Poslanci za stranu Kotleba – Ľudová strana Naše Slovensko Marian Kotleba, </w:t>
      </w:r>
      <w:r w:rsidRPr="00B71DE9" w:rsidR="00960AA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 w:rsidR="00851C13">
        <w:rPr>
          <w:rFonts w:ascii="Book Antiqua" w:hAnsi="Book Antiqua" w:cs="Book Antiqua"/>
          <w:kern w:val="0"/>
          <w:sz w:val="22"/>
          <w:szCs w:val="22"/>
          <w:lang w:eastAsia="zh-CN"/>
        </w:rPr>
        <w:t>Stanislav Drobný</w:t>
      </w:r>
      <w:r w:rsidRPr="00B71DE9" w:rsidR="00854B6F">
        <w:rPr>
          <w:rFonts w:ascii="Book Antiqua" w:hAnsi="Book Antiqua" w:cs="Book Antiqua"/>
          <w:kern w:val="0"/>
          <w:sz w:val="22"/>
          <w:szCs w:val="22"/>
          <w:lang w:eastAsia="zh-CN"/>
        </w:rPr>
        <w:t>, Ján Kecskés, Martin Kotleba, Milan Mazurek</w:t>
      </w:r>
      <w:r w:rsidRPr="00B71DE9" w:rsidR="00851C13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 predkladajú do Národnej rady Slovenskej republiky návrh ústavného zákona, ktorým sa mení a dopĺňa Ú</w:t>
      </w:r>
      <w:r w:rsidRPr="00B71DE9" w:rsidR="00960AA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stava Slovenskej republiky č. </w:t>
      </w:r>
      <w:r w:rsidRPr="00B71DE9" w:rsidR="00851C13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460/1992 Zb. v znení </w:t>
      </w:r>
      <w:r w:rsidRPr="00B71DE9" w:rsidR="00947463">
        <w:rPr>
          <w:rFonts w:ascii="Book Antiqua" w:hAnsi="Book Antiqua" w:cs="Book Antiqua"/>
          <w:kern w:val="0"/>
          <w:sz w:val="22"/>
          <w:szCs w:val="22"/>
          <w:lang w:eastAsia="zh-CN"/>
        </w:rPr>
        <w:t>neskorších predpisov.</w:t>
      </w:r>
    </w:p>
    <w:p w:rsidR="00624728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 w:rsidR="003F659A">
        <w:rPr>
          <w:rFonts w:ascii="Book Antiqua" w:hAnsi="Book Antiqua" w:cs="Book Antiqua"/>
          <w:kern w:val="0"/>
          <w:sz w:val="22"/>
          <w:szCs w:val="22"/>
          <w:lang w:eastAsia="zh-CN"/>
        </w:rPr>
        <w:t>S cieľom upevňovania demokratických pr</w:t>
      </w:r>
      <w:r w:rsidRPr="00B71DE9" w:rsidR="00960AA9">
        <w:rPr>
          <w:rFonts w:ascii="Book Antiqua" w:hAnsi="Book Antiqua" w:cs="Book Antiqua"/>
          <w:kern w:val="0"/>
          <w:sz w:val="22"/>
          <w:szCs w:val="22"/>
          <w:lang w:eastAsia="zh-CN"/>
        </w:rPr>
        <w:t>incípov a tradícií na Slovensku</w:t>
      </w:r>
      <w:r w:rsidRPr="00B71DE9" w:rsidR="003F659A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prichádza</w:t>
      </w:r>
      <w:r w:rsidRPr="00B71DE9" w:rsidR="00947463">
        <w:rPr>
          <w:rFonts w:ascii="Book Antiqua" w:hAnsi="Book Antiqua" w:cs="Book Antiqua"/>
          <w:kern w:val="0"/>
          <w:sz w:val="22"/>
          <w:szCs w:val="22"/>
          <w:lang w:eastAsia="zh-CN"/>
        </w:rPr>
        <w:t>me</w:t>
      </w:r>
      <w:r w:rsidRPr="00B71DE9" w:rsidR="003F659A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                   </w:t>
      </w:r>
      <w:r w:rsidRPr="00B71DE9" w:rsidR="00D46FC3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B71DE9" w:rsidR="003F659A">
        <w:rPr>
          <w:rFonts w:ascii="Book Antiqua" w:hAnsi="Book Antiqua" w:cs="Book Antiqua"/>
          <w:kern w:val="0"/>
          <w:sz w:val="22"/>
          <w:szCs w:val="22"/>
          <w:lang w:eastAsia="zh-CN"/>
        </w:rPr>
        <w:t>s návrhom ústavného zákona, ktorý prehĺbi demokratický systém štátneho zriadenia.</w:t>
      </w:r>
    </w:p>
    <w:p w:rsidR="00624728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Každý demokratický štát musí disponovať legislatívnym prostredím, využitím ktorého doc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t>hádza k naplneniu skutočnej idey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demokracie a nie len jej iluzórnej formy. Občania 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Slove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t>n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skej republiky čoraz viac pochybujú o reálnosti demokratického zriadenia v našom štáte. P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chybnosti v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plývajú zo série neúspešných všeľudových hlasovaní, teda nefunkčného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systému referenda na Slovensku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v spojitosti s chýbajúcim imperatívnym mandátom volených zástupcov. Súčasná legislatíva upravujúca demokratické 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t>inštitúty je nastavená spôsobom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neumožňujúcim ich reá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l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ne využitie. Preto si tento legislatívny návrh dáva za cieľ zefektívniť inštitút referenda a presunúť tak moc v štáte do rúk jeho občanov.</w:t>
      </w: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Kvórum minimálnej účasti oprávnených voličov stanovené na 50 % zo všetkých 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oprá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v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t>nených voličov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je nastavené spôsobom</w:t>
      </w:r>
      <w:r w:rsidRPr="00B71DE9" w:rsidR="00624728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ktorý odrádza občanov zúčastňovať sa referenda</w:t>
      </w:r>
      <w:r w:rsidRPr="00B71DE9" w:rsidR="00624728">
        <w:rPr>
          <w:rFonts w:ascii="Book Antiqua" w:hAnsi="Book Antiqua" w:cs="Book Antiqua"/>
          <w:kern w:val="0"/>
          <w:sz w:val="22"/>
          <w:szCs w:val="22"/>
          <w:lang w:eastAsia="zh-CN"/>
        </w:rPr>
        <w:t>.</w:t>
      </w:r>
      <w:r w:rsidRPr="00B71DE9" w:rsidR="00CF66E2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B71DE9" w:rsidR="00624728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Tým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sa referendum samotné stáva takmer nerealizovateľným. Nedemokratickým politikom, ignor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u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júcim potreby a názory svojho národa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sa tak na Slovensku vytvoril ideálny systém, 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kedy sa d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e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mokracia stáva iluzórnou a skutočné rozhodovacie právomoci nad osudom miliónov ľudí ost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á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vajú v rukách malej skupiny, v mnohých prípadoch nedisponujúcej žiadnym 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demokraticky zí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kaným mandátom.</w:t>
      </w: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Zníženie minimálneho kvóra z 50 % všetkých oprávnených voličov na polovicu z účasti na </w:t>
      </w:r>
      <w:r w:rsidR="00F55B25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referendu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bezprostredne predchádzajúcich voľbách do Národnej rady 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Slove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skej republiky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považujeme za skutočne objektívny a legitímne stanovený počet voličov potrebný na rozhodovanie o závažných politických otázkach v našom štáte. Keďže je voličská účasť na voľbách do Národnej rady</w:t>
      </w:r>
      <w:r w:rsidRPr="00B71DE9" w:rsidR="00875C0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Slovenskej republiky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najvyššia spomedzi všetkých volieb, predstavujú tieto voľby najo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b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jektívnejší ukazovateľ politickej angažovanosti občanov Slovenska.</w:t>
      </w: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Referendum je však pri súčasnej legislatíve</w:t>
      </w:r>
      <w:r w:rsidRPr="00B71DE9" w:rsidR="00875B78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z postavenia radových občanov</w:t>
      </w:r>
      <w:r w:rsidRPr="00B71DE9" w:rsidR="00875B78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B71DE9" w:rsidR="00875B78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nerealizov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a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teľným inštitútom. Je potrebné v rámci snahy o zlepšenie úrovne demokracie znížiť aj minimá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l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ny počet podpisov slovenských občanov, </w:t>
      </w:r>
      <w:r w:rsidRPr="00B71DE9" w:rsidR="00624728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ktorý je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nutný na samotné vyhlásenie </w:t>
      </w:r>
      <w:r w:rsidRPr="00B71DE9" w:rsidR="00875B78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referenda. </w:t>
      </w:r>
      <w:r w:rsidRPr="00B71DE9" w:rsidR="00D711D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V návrhu zákona je preto znížený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minimálny počet </w:t>
      </w:r>
      <w:r w:rsidRPr="00B71DE9" w:rsidR="00D711D6">
        <w:rPr>
          <w:rFonts w:ascii="Book Antiqua" w:hAnsi="Book Antiqua" w:cs="Book Antiqua"/>
          <w:kern w:val="0"/>
          <w:sz w:val="22"/>
          <w:szCs w:val="22"/>
          <w:lang w:eastAsia="zh-CN"/>
        </w:rPr>
        <w:t>podpisov od o</w:t>
      </w:r>
      <w:r w:rsidRPr="00B71DE9" w:rsidR="00D711D6">
        <w:rPr>
          <w:rFonts w:ascii="Book Antiqua" w:hAnsi="Book Antiqua" w:cs="Book Antiqua"/>
          <w:kern w:val="0"/>
          <w:sz w:val="22"/>
          <w:szCs w:val="22"/>
          <w:lang w:eastAsia="zh-CN"/>
        </w:rPr>
        <w:t>b</w:t>
      </w:r>
      <w:r w:rsidRPr="00B71DE9" w:rsidR="00D711D6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čanov Slovenska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z 350 000 na 250 000, čím sa samotný inštitút referenda výrazným spôsobom priblíži k skutočne demokr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a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tickým krajinám, kde je referendum bežnou súčasťou fung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vania štátu.</w:t>
      </w: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:rsidR="005A5310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:rsidR="005A5310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Vzhľadom na navrhované úpravy, ktoré v konečnom dôsledku docielia výrazný posun k reálne funkčnému inštitútu referenda</w:t>
      </w:r>
      <w:r w:rsidRPr="00B71DE9" w:rsidR="005A5310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je však potrebné zavie</w:t>
      </w:r>
      <w:r w:rsidRPr="00B71DE9" w:rsidR="005A5310">
        <w:rPr>
          <w:rFonts w:ascii="Book Antiqua" w:hAnsi="Book Antiqua" w:cs="Book Antiqua"/>
          <w:kern w:val="0"/>
          <w:sz w:val="22"/>
          <w:szCs w:val="22"/>
          <w:lang w:eastAsia="zh-CN"/>
        </w:rPr>
        <w:t>sť v ústave nové ochranné prvky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 cieľom zabrániť rôznym iredentistickým snahám zo strany protislovensky naladených </w:t>
      </w:r>
      <w:r w:rsidRPr="00B71DE9" w:rsidR="005A5310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jedno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t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livcov a hnutí. Preto navrhujeme rozšíriť okruh tém, pri k</w:t>
      </w:r>
      <w:r w:rsidRPr="00B71DE9" w:rsidR="005A531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torých je referendum </w:t>
        <w:br/>
        <w:t>neumožnené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o otázku </w:t>
      </w:r>
      <w:r w:rsidRPr="00B71DE9" w:rsidR="00E63A3C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zmeny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štátnych hraníc, postavenie orgánov štátnej moci, jednotnosť </w:t>
      </w:r>
      <w:r w:rsidRPr="00B71DE9" w:rsidR="005A5310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a nedeliteľnosť územia Slovenskej republiky.</w:t>
      </w: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</w:p>
    <w:p w:rsidR="003F659A" w:rsidRPr="00B71DE9" w:rsidP="003F659A">
      <w:pPr>
        <w:pStyle w:val="Standard"/>
        <w:bidi w:val="0"/>
        <w:ind w:firstLine="708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Sme presvedčení, že týmito legislatívnymi úpravami docielime posun Slovenska smerom k väčšej demokracii, všeobecnej slobode a skutočnej vláde ľudu, ktorá je dnes len iluzórnym javom. Rovnako však pomôžeme obmedziť extrémizmus štandardných politikov, prejavujúci sa v bezbrehom rozkrádaní štátneho majetku, ignorovaní vôle občanov a potlačovaní ich práv.</w:t>
      </w:r>
    </w:p>
    <w:p w:rsidR="00602787" w:rsidRPr="00CF66E2">
      <w:pPr>
        <w:pStyle w:val="Standarduser"/>
        <w:autoSpaceDE/>
        <w:bidi w:val="0"/>
        <w:spacing w:after="160" w:line="242" w:lineRule="auto"/>
        <w:ind w:firstLine="708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:rsidR="003E4691" w:rsidRPr="00CF66E2" w:rsidP="004069DE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 w:rsidR="00851C13">
        <w:rPr>
          <w:rFonts w:ascii="Book Antiqua" w:hAnsi="Book Antiqua" w:cs="Book Antiqua"/>
          <w:sz w:val="22"/>
          <w:szCs w:val="22"/>
          <w:lang w:bidi="hi-IN"/>
        </w:rPr>
        <w:tab/>
      </w:r>
    </w:p>
    <w:p w:rsidR="003E4691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5A5310" w:rsidRPr="00CF66E2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:rsidR="00602787" w:rsidRPr="00CF66E2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 w:rsidR="00851C13">
        <w:rPr>
          <w:rFonts w:ascii="Book Antiqua" w:hAnsi="Book Antiqua" w:cs="Book Antiqua"/>
          <w:b/>
          <w:bCs/>
          <w:sz w:val="22"/>
          <w:szCs w:val="22"/>
          <w:lang w:bidi="hi-IN"/>
        </w:rPr>
        <w:t>B. Osobitná časť</w:t>
      </w:r>
    </w:p>
    <w:p w:rsidR="00602787" w:rsidRPr="00CF66E2">
      <w:pPr>
        <w:pStyle w:val="Standarduser"/>
        <w:tabs>
          <w:tab w:val="left" w:pos="2835"/>
        </w:tabs>
        <w:autoSpaceDE/>
        <w:bidi w:val="0"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:rsidR="00602787" w:rsidRPr="00A621EC" w:rsidP="00A621EC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A621EC" w:rsidR="005A5310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Č</w:t>
      </w:r>
      <w:r w:rsidRPr="00A621EC" w:rsidR="00851C13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l. I</w:t>
      </w:r>
    </w:p>
    <w:p w:rsidR="00602787" w:rsidRPr="00A621EC" w:rsidP="00A621EC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1</w:t>
      </w:r>
    </w:p>
    <w:p w:rsidR="00602787" w:rsidRPr="00A621EC" w:rsidP="00A621EC">
      <w:pPr>
        <w:widowControl/>
        <w:autoSpaceDE/>
        <w:autoSpaceDN/>
        <w:bidi w:val="0"/>
        <w:spacing w:after="200" w:line="276" w:lineRule="auto"/>
        <w:ind w:left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Rozširuje sa okruh otázok, ktoré nemôžu byť predmetom referenda o oblasť zmeny </w:t>
      </w:r>
      <w:r w:rsidRPr="00A621EC" w:rsidR="005A531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štá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t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nych hraníc, postavenia orgánov štátnej moci, jednotnosti a nedeliteľnosti územia Slovenskej republiky.</w:t>
      </w:r>
    </w:p>
    <w:p w:rsidR="00602787" w:rsidRPr="00A621EC" w:rsidP="00A621EC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 bodu 2</w:t>
      </w:r>
    </w:p>
    <w:p w:rsidR="00602787" w:rsidRPr="00A621EC" w:rsidP="00A621EC">
      <w:pPr>
        <w:widowControl/>
        <w:autoSpaceDE/>
        <w:autoSpaceDN/>
        <w:bidi w:val="0"/>
        <w:spacing w:after="200" w:line="276" w:lineRule="auto"/>
        <w:ind w:left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Znižuje sa požiadavka na počet občanov petíciou pož</w:t>
      </w:r>
      <w:r w:rsidRPr="00A621EC" w:rsidR="005A531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adujúcich vyhlásenie referenda,</w:t>
        <w:br/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 to tak</w:t>
      </w:r>
      <w:r w:rsidRPr="00A621EC" w:rsidR="005A531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,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aby na vyhlásenie referenda postačila žiadosť 250 000 občanov namiesto súčasných 350 000 občanov.</w:t>
      </w:r>
    </w:p>
    <w:p w:rsidR="00602787" w:rsidRPr="00A621EC" w:rsidP="00A621EC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3</w:t>
      </w:r>
    </w:p>
    <w:p w:rsidR="00602787" w:rsidRPr="00A621EC" w:rsidP="00A621EC">
      <w:pPr>
        <w:widowControl/>
        <w:autoSpaceDE/>
        <w:autoSpaceDN/>
        <w:bidi w:val="0"/>
        <w:spacing w:after="200" w:line="276" w:lineRule="auto"/>
        <w:ind w:left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Ustanovuje požiadavka účasti minimálneho počtu oprávnených voličov na referende </w:t>
      </w:r>
      <w:r w:rsidRPr="00A621EC" w:rsidR="005A5310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br/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ako jedna z podmienok platnosti referenda. </w:t>
      </w:r>
      <w:r w:rsidRPr="00A621EC" w:rsidR="005A531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Uvedené nemá vplyv na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miestne referendum ani referendum na území vyššieho územného celku, ktoré sú upravené samostatne v čl.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67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ods.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1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 Ústavy SR. </w:t>
      </w:r>
      <w:r w:rsidRPr="00A621EC" w:rsidR="005A531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Spôsob 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vykonania miestneho referenda a referenda na území vyššieho územného celku upr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vujú naďalej v zmysle spomínaného čl.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67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ods.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1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Ústavy SR  zákony, konkrétne ustanovujú ich spôsob vykonávania vrátane podmienok platnosti (§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11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a ods.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8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zákona č.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369/1990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Zb. a §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15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ods.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5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zákona č. </w:t>
      </w:r>
      <w:r w:rsidRPr="00A621EC" w:rsidR="00851C13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>302/2001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Z.</w:t>
      </w:r>
      <w:r w:rsidRPr="00A621EC" w:rsidR="005A531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z.).</w:t>
      </w:r>
    </w:p>
    <w:p w:rsidR="00602787" w:rsidRPr="00A621EC" w:rsidP="00A621EC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  bodu 4</w:t>
      </w:r>
    </w:p>
    <w:p w:rsidR="00602787" w:rsidRPr="00A621EC" w:rsidP="00A621EC">
      <w:pPr>
        <w:widowControl/>
        <w:autoSpaceDE/>
        <w:autoSpaceDN/>
        <w:bidi w:val="0"/>
        <w:spacing w:after="200" w:line="276" w:lineRule="auto"/>
        <w:ind w:left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Ustanovuje sa spôsob určenia požadovaného minimálneho počtu oprávnených voličov ako účastníkov referenda jednou polovicou z celkového počtu oprávnených voličov, ktorí sa zúčastnili posledných referendu bezprostredne predchádzajúcich voľbách </w:t>
      </w:r>
      <w:r w:rsid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do Národnej rady Slovenskej republiky.</w:t>
      </w:r>
      <w:r w:rsidRPr="00A621EC" w:rsidR="005A5310">
        <w:rPr>
          <w:rFonts w:ascii="Book Antiqua" w:hAnsi="Book Antiqua" w:cs="Book Antiqua" w:hint="cs"/>
          <w:bCs/>
          <w:kern w:val="0"/>
          <w:sz w:val="22"/>
          <w:szCs w:val="22"/>
          <w:cs/>
          <w:lang w:eastAsia="zh-CN" w:bidi="hi-IN"/>
        </w:rPr>
        <w:t xml:space="preserve"> 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Podrobnosti o zisťovaní a zverejnení uvedeného požadovaného minimálne počtu oprávnených voličov budú ponechané na zákonnú úpravu, vrátane úpravy zaokrúhľovania požadovaného minimálneho počtu oprávnených voličov ako účastníkov referenda na celé číslo pre p</w:t>
      </w:r>
      <w:r w:rsidRPr="00A621EC" w:rsidR="005A531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rípad, že celkový počet voličov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zúčastnených na posledných referendu bezprostredne predchádzajúcich voľbách do Národnej rady Slovenskej republiky by bolo nepárne </w:t>
      </w:r>
      <w:r w:rsidRPr="00A621EC" w:rsid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číslo</w:t>
      </w:r>
      <w:r w:rsidRPr="00A621EC" w:rsidR="00851C13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.</w:t>
      </w:r>
    </w:p>
    <w:p w:rsidR="00602787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  <w:r w:rsidR="00A621EC">
        <w:rPr>
          <w:rFonts w:ascii="Book Antiqua" w:hAnsi="Book Antiqua" w:cs="Book Antiqua"/>
          <w:sz w:val="22"/>
          <w:szCs w:val="22"/>
          <w:lang w:bidi="hi-IN"/>
        </w:rPr>
        <w:t>K bodu 5</w:t>
      </w:r>
    </w:p>
    <w:p w:rsidR="00A621EC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  <w:r>
        <w:rPr>
          <w:rFonts w:ascii="Book Antiqua" w:hAnsi="Book Antiqua" w:cs="Book Antiqua"/>
          <w:sz w:val="22"/>
          <w:szCs w:val="22"/>
          <w:lang w:bidi="hi-IN"/>
        </w:rPr>
        <w:tab/>
        <w:t>Zmena číslovania v odsekoch.</w:t>
      </w:r>
    </w:p>
    <w:p w:rsidR="00A621EC" w:rsidRPr="00A621EC">
      <w:pPr>
        <w:pStyle w:val="Standarduser"/>
        <w:autoSpaceDE/>
        <w:bidi w:val="0"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:rsidR="00602787" w:rsidRPr="00A621EC">
      <w:pPr>
        <w:pStyle w:val="Standarduser"/>
        <w:autoSpaceDE/>
        <w:bidi w:val="0"/>
        <w:spacing w:after="160" w:line="242" w:lineRule="auto"/>
        <w:rPr>
          <w:rFonts w:ascii="Book Antiqua" w:hAnsi="Book Antiqua" w:cs="Book Antiqua"/>
          <w:bCs/>
          <w:sz w:val="22"/>
          <w:szCs w:val="22"/>
          <w:lang w:bidi="hi-IN"/>
        </w:rPr>
      </w:pPr>
    </w:p>
    <w:p w:rsidR="00602787" w:rsidRPr="00CF66E2">
      <w:pPr>
        <w:pStyle w:val="Standarduser"/>
        <w:autoSpaceDE/>
        <w:bidi w:val="0"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="005A5310">
        <w:rPr>
          <w:rFonts w:ascii="Book Antiqua" w:hAnsi="Book Antiqua" w:cs="Book Antiqua"/>
          <w:b/>
          <w:bCs/>
          <w:sz w:val="22"/>
          <w:szCs w:val="22"/>
          <w:lang w:bidi="hi-IN"/>
        </w:rPr>
        <w:t>Č</w:t>
      </w:r>
      <w:r w:rsidRPr="00CF66E2" w:rsidR="00851C13">
        <w:rPr>
          <w:rFonts w:ascii="Book Antiqua" w:hAnsi="Book Antiqua" w:cs="Book Antiqua"/>
          <w:b/>
          <w:bCs/>
          <w:sz w:val="22"/>
          <w:szCs w:val="22"/>
          <w:lang w:bidi="hi-IN"/>
        </w:rPr>
        <w:t>l. II</w:t>
      </w:r>
    </w:p>
    <w:p w:rsidR="00A621EC" w:rsidP="00A621EC">
      <w:pPr>
        <w:pStyle w:val="Standarduser"/>
        <w:autoSpaceDE/>
        <w:bidi w:val="0"/>
        <w:spacing w:after="160" w:line="242" w:lineRule="auto"/>
        <w:ind w:left="720"/>
        <w:jc w:val="both"/>
        <w:rPr>
          <w:rFonts w:ascii="Book Antiqua" w:hAnsi="Book Antiqua" w:cs="Book Antiqua"/>
          <w:sz w:val="22"/>
          <w:szCs w:val="22"/>
          <w:lang w:bidi="hi-IN"/>
        </w:rPr>
      </w:pPr>
      <w:r w:rsidRPr="00A621EC" w:rsidR="00851C13">
        <w:rPr>
          <w:rFonts w:ascii="Book Antiqua" w:hAnsi="Book Antiqua" w:cs="Book Antiqua"/>
          <w:sz w:val="22"/>
          <w:szCs w:val="22"/>
          <w:lang w:bidi="hi-IN"/>
        </w:rPr>
        <w:t>Zavádza sa primeraná legisvakančná lehota za účelom oboznámenia sa s novou právnou úpravou s ohľadom na predpokladaný dátum</w:t>
      </w:r>
      <w:r w:rsidRPr="00A621EC" w:rsidR="005A5310">
        <w:rPr>
          <w:rFonts w:ascii="Book Antiqua" w:hAnsi="Book Antiqua" w:cs="Book Antiqua"/>
          <w:sz w:val="22"/>
          <w:szCs w:val="22"/>
          <w:lang w:bidi="hi-IN"/>
        </w:rPr>
        <w:t xml:space="preserve"> vyhlásenia ústavného zákona v</w:t>
      </w:r>
      <w:r w:rsidRPr="00A621EC" w:rsidR="00851C13">
        <w:rPr>
          <w:rFonts w:ascii="Book Antiqua" w:hAnsi="Book Antiqua" w:cs="Book Antiqua"/>
          <w:sz w:val="22"/>
          <w:szCs w:val="22"/>
          <w:lang w:bidi="hi-IN"/>
        </w:rPr>
        <w:t xml:space="preserve"> Zbierke zákonov SR.</w:t>
      </w:r>
      <w:r w:rsidRPr="00A621EC" w:rsidR="005A5310">
        <w:rPr>
          <w:rFonts w:ascii="Book Antiqua" w:hAnsi="Book Antiqua" w:cs="Book Antiqua"/>
          <w:sz w:val="22"/>
          <w:szCs w:val="22"/>
          <w:lang w:bidi="hi-IN"/>
        </w:rPr>
        <w:t xml:space="preserve"> </w:t>
      </w:r>
    </w:p>
    <w:p w:rsidR="00A621EC" w:rsidRPr="00A621EC" w:rsidP="00A621EC">
      <w:pPr>
        <w:pStyle w:val="Standarduser"/>
        <w:autoSpaceDE/>
        <w:bidi w:val="0"/>
        <w:spacing w:after="160" w:line="242" w:lineRule="auto"/>
        <w:ind w:left="720"/>
        <w:jc w:val="both"/>
        <w:rPr>
          <w:rFonts w:ascii="Book Antiqua" w:hAnsi="Book Antiqua" w:cs="Book Antiqua"/>
          <w:sz w:val="22"/>
          <w:szCs w:val="22"/>
          <w:lang w:bidi="hi-IN"/>
        </w:rPr>
        <w:sectPr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602787" w:rsidRPr="00CF66E2">
      <w:pPr>
        <w:pStyle w:val="Standarduser"/>
        <w:bidi w:val="0"/>
        <w:rPr>
          <w:rFonts w:ascii="Book Antiqua" w:hAnsi="Book Antiqua" w:cs="Book Antiqua"/>
          <w:sz w:val="22"/>
          <w:szCs w:val="22"/>
          <w:lang w:eastAsia="zh-CN" w:bidi="hi-IN"/>
        </w:rPr>
      </w:pPr>
    </w:p>
    <w:sectPr>
      <w:type w:val="continuous"/>
      <w:pgSz w:w="12240" w:h="15840"/>
      <w:pgMar w:top="1417" w:right="1417" w:bottom="1417" w:left="1417" w:header="708" w:footer="708" w:gutter="0"/>
      <w:lnNumType w:distance="0"/>
      <w:cols w:space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67C3"/>
    <w:multiLevelType w:val="multilevel"/>
    <w:tmpl w:val="D31085A8"/>
    <w:styleLink w:val="RTFNum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rtl w:val="0"/>
        <w:cs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02787"/>
    <w:rsid w:val="000C0274"/>
    <w:rsid w:val="001C02E1"/>
    <w:rsid w:val="002A5D03"/>
    <w:rsid w:val="003E4691"/>
    <w:rsid w:val="003F659A"/>
    <w:rsid w:val="004069DE"/>
    <w:rsid w:val="005A5310"/>
    <w:rsid w:val="00602787"/>
    <w:rsid w:val="00624728"/>
    <w:rsid w:val="0063075A"/>
    <w:rsid w:val="006C416D"/>
    <w:rsid w:val="00851C13"/>
    <w:rsid w:val="00854B6F"/>
    <w:rsid w:val="00875B78"/>
    <w:rsid w:val="00875C09"/>
    <w:rsid w:val="00947463"/>
    <w:rsid w:val="00960AA9"/>
    <w:rsid w:val="00A621EC"/>
    <w:rsid w:val="00B50504"/>
    <w:rsid w:val="00B71DE9"/>
    <w:rsid w:val="00CF66E2"/>
    <w:rsid w:val="00D46FC3"/>
    <w:rsid w:val="00D711D6"/>
    <w:rsid w:val="00E63A3C"/>
    <w:rsid w:val="00EA3B6A"/>
    <w:rsid w:val="00F55B2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pPr>
      <w:framePr w:wrap="auto"/>
      <w:widowControl w:val="0"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Standard"/>
    <w:next w:val="Textbody"/>
    <w:link w:val="NzovChar"/>
    <w:uiPriority w:val="99"/>
    <w:qFormat/>
    <w:pPr>
      <w:keepNext/>
      <w:spacing w:before="240" w:after="120"/>
      <w:jc w:val="left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pPr>
      <w:spacing w:after="120"/>
      <w:jc w:val="left"/>
    </w:pPr>
  </w:style>
  <w:style w:type="paragraph" w:styleId="Subtitle">
    <w:name w:val="Subtitle"/>
    <w:basedOn w:val="Title"/>
    <w:next w:val="Textbod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basedOn w:val="DefaultParagraphFont"/>
    <w:link w:val="Subtitle"/>
    <w:uiPriority w:val="99"/>
    <w:locked/>
    <w:rPr>
      <w:rFonts w:ascii="Calibri Light" w:hAnsi="Calibri Light" w:cs="Times New Roman"/>
      <w:rtl w:val="0"/>
      <w:cs w:val="0"/>
    </w:rPr>
  </w:style>
  <w:style w:type="paragraph" w:styleId="List">
    <w:name w:val="List"/>
    <w:basedOn w:val="Textbodyuser"/>
    <w:uiPriority w:val="99"/>
    <w:pPr>
      <w:jc w:val="left"/>
    </w:pPr>
    <w:rPr>
      <w:rFonts w:cs="Lucida Sans"/>
    </w:rPr>
  </w:style>
  <w:style w:type="paragraph" w:styleId="Caption">
    <w:name w:val="caption"/>
    <w:basedOn w:val="Standarduser"/>
    <w:uiPriority w:val="99"/>
    <w:qFormat/>
    <w:pPr>
      <w:spacing w:before="120" w:after="120"/>
      <w:jc w:val="left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pPr>
      <w:jc w:val="left"/>
    </w:pPr>
    <w:rPr>
      <w:rFonts w:cs="Lucida Sans"/>
    </w:rPr>
  </w:style>
  <w:style w:type="paragraph" w:customStyle="1" w:styleId="Standarduser">
    <w:name w:val="Standard (user)"/>
    <w:uiPriority w:val="99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ar-SA"/>
    </w:rPr>
  </w:style>
  <w:style w:type="paragraph" w:customStyle="1" w:styleId="Textbodyuser">
    <w:name w:val="Text body (user)"/>
    <w:basedOn w:val="Standarduser"/>
    <w:uiPriority w:val="99"/>
    <w:pPr>
      <w:spacing w:after="120"/>
      <w:jc w:val="left"/>
    </w:pPr>
  </w:style>
  <w:style w:type="paragraph" w:customStyle="1" w:styleId="TableContentsuser">
    <w:name w:val="Table Contents (user)"/>
    <w:basedOn w:val="Standarduser"/>
    <w:uiPriority w:val="99"/>
    <w:pPr>
      <w:jc w:val="left"/>
    </w:pPr>
  </w:style>
  <w:style w:type="paragraph" w:customStyle="1" w:styleId="TableHeadinguser">
    <w:name w:val="Table Heading (user)"/>
    <w:basedOn w:val="TableContentsuser"/>
    <w:uiPriority w:val="99"/>
    <w:pPr>
      <w:jc w:val="center"/>
    </w:pPr>
    <w:rPr>
      <w:b/>
      <w:bCs/>
    </w:rPr>
  </w:style>
  <w:style w:type="paragraph" w:styleId="NormalWeb">
    <w:name w:val="Normal (Web)"/>
    <w:basedOn w:val="Standarduser"/>
    <w:uiPriority w:val="99"/>
    <w:pPr>
      <w:autoSpaceDE/>
      <w:spacing w:before="280" w:after="280"/>
      <w:jc w:val="left"/>
    </w:pPr>
  </w:style>
  <w:style w:type="paragraph" w:customStyle="1" w:styleId="TableContents">
    <w:name w:val="Table Contents"/>
    <w:basedOn w:val="Standard"/>
    <w:uiPriority w:val="99"/>
    <w:pPr>
      <w:suppressLineNumbers/>
      <w:jc w:val="left"/>
    </w:p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Internetlinkuser">
    <w:name w:val="Internet link (user)"/>
    <w:uiPriority w:val="99"/>
    <w:rPr>
      <w:color w:val="000080"/>
      <w:u w:val="single" w:color="auto"/>
    </w:rPr>
  </w:style>
  <w:style w:type="character" w:customStyle="1" w:styleId="NumberingSymbolsuser">
    <w:name w:val="Numbering Symbols (user)"/>
    <w:uiPriority w:val="99"/>
  </w:style>
  <w:style w:type="numbering" w:customStyle="1" w:styleId="RTFNum2">
    <w:name w:val="RTF_Num 2"/>
    <w:basedOn w:val="NoList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836</Words>
  <Characters>4770</Characters>
  <Application>Microsoft Office Word</Application>
  <DocSecurity>0</DocSecurity>
  <Lines>0</Lines>
  <Paragraphs>0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Beluský, Martin</cp:lastModifiedBy>
  <cp:revision>2</cp:revision>
  <cp:lastPrinted>2016-10-17T21:58:00Z</cp:lastPrinted>
  <dcterms:created xsi:type="dcterms:W3CDTF">2017-05-26T09:36:00Z</dcterms:created>
  <dcterms:modified xsi:type="dcterms:W3CDTF">2017-05-26T09:36:00Z</dcterms:modified>
</cp:coreProperties>
</file>