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39EE" w:rsidRPr="009A7EE2" w:rsidP="004C39EE">
      <w:pPr>
        <w:bidi w:val="0"/>
        <w:jc w:val="center"/>
        <w:rPr>
          <w:rFonts w:ascii="Times New Roman" w:hAnsi="Times New Roman"/>
          <w:b/>
          <w:sz w:val="24"/>
          <w:szCs w:val="24"/>
        </w:rPr>
      </w:pPr>
      <w:r w:rsidRPr="0002219A">
        <w:rPr>
          <w:rFonts w:ascii="Times New Roman" w:hAnsi="Times New Roman"/>
          <w:b/>
          <w:sz w:val="24"/>
          <w:szCs w:val="24"/>
        </w:rPr>
        <w:t>Dôvodová správa</w:t>
      </w:r>
    </w:p>
    <w:p w:rsidR="004C39EE" w:rsidRPr="009A7EE2" w:rsidP="004C39EE">
      <w:pPr>
        <w:numPr>
          <w:numId w:val="1"/>
        </w:numPr>
        <w:bidi w:val="0"/>
        <w:spacing w:after="0" w:line="240" w:lineRule="auto"/>
        <w:rPr>
          <w:rFonts w:ascii="Times New Roman" w:hAnsi="Times New Roman"/>
          <w:b/>
          <w:sz w:val="24"/>
          <w:szCs w:val="24"/>
        </w:rPr>
      </w:pPr>
      <w:r w:rsidRPr="009A7EE2">
        <w:rPr>
          <w:rFonts w:ascii="Times New Roman" w:hAnsi="Times New Roman"/>
          <w:b/>
          <w:sz w:val="24"/>
          <w:szCs w:val="24"/>
        </w:rPr>
        <w:t>Všeobecná časť</w:t>
      </w:r>
    </w:p>
    <w:p w:rsidR="004C39EE" w:rsidP="004C39EE">
      <w:pPr>
        <w:pStyle w:val="BodyText"/>
        <w:widowControl/>
        <w:bidi w:val="0"/>
        <w:spacing w:line="276" w:lineRule="auto"/>
        <w:jc w:val="both"/>
        <w:rPr>
          <w:rFonts w:ascii="Times New Roman" w:hAnsi="Times New Roman"/>
          <w:sz w:val="24"/>
        </w:rPr>
      </w:pPr>
    </w:p>
    <w:p w:rsidR="004C39EE" w:rsidP="004C39EE">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 xml:space="preserve">Poslanci Národnej rady Slovenskej republiky Peter Antal, Béla Bugár a Gábor Gál predkladajú na schôdzu Národnej rady Slovenskej republiky návrh novely zákona </w:t>
      </w:r>
      <w:r w:rsidRPr="00B06366">
        <w:rPr>
          <w:rFonts w:ascii="Times New Roman" w:hAnsi="Times New Roman"/>
          <w:sz w:val="24"/>
        </w:rPr>
        <w:t xml:space="preserve">č. </w:t>
      </w:r>
      <w:r>
        <w:rPr>
          <w:rFonts w:ascii="Times New Roman" w:hAnsi="Times New Roman"/>
          <w:sz w:val="24"/>
        </w:rPr>
        <w:t xml:space="preserve">343/2015 Z. z. o verejnom obstarávaní a o zmene a doplnení niektorých zákonov </w:t>
      </w:r>
      <w:r w:rsidRPr="00B06366">
        <w:rPr>
          <w:rFonts w:ascii="Times New Roman" w:hAnsi="Times New Roman"/>
          <w:sz w:val="24"/>
        </w:rPr>
        <w:t xml:space="preserve">v znení </w:t>
      </w:r>
      <w:r>
        <w:rPr>
          <w:rFonts w:ascii="Times New Roman" w:hAnsi="Times New Roman"/>
          <w:sz w:val="24"/>
        </w:rPr>
        <w:t>neskorších predpisov</w:t>
      </w:r>
      <w:r w:rsidRPr="00B06366">
        <w:rPr>
          <w:rFonts w:ascii="Times New Roman" w:hAnsi="Times New Roman"/>
          <w:sz w:val="24"/>
        </w:rPr>
        <w:t xml:space="preserve"> </w:t>
      </w:r>
      <w:r>
        <w:rPr>
          <w:rFonts w:ascii="Times New Roman" w:hAnsi="Times New Roman"/>
          <w:sz w:val="24"/>
        </w:rPr>
        <w:t>(ďalej len „zákon o verejnom obstarávaní“).</w:t>
      </w:r>
      <w:r w:rsidRPr="00B06366">
        <w:rPr>
          <w:rFonts w:ascii="Times New Roman" w:hAnsi="Times New Roman"/>
          <w:sz w:val="24"/>
        </w:rPr>
        <w:t xml:space="preserve">                            </w:t>
      </w:r>
      <w:r>
        <w:rPr>
          <w:rFonts w:ascii="Times New Roman" w:hAnsi="Times New Roman"/>
          <w:sz w:val="24"/>
        </w:rPr>
        <w:t xml:space="preserve">          </w:t>
      </w:r>
    </w:p>
    <w:p w:rsidR="004C39EE" w:rsidP="004C39EE">
      <w:pPr>
        <w:pStyle w:val="BodyText"/>
        <w:widowControl/>
        <w:bidi w:val="0"/>
        <w:spacing w:line="276" w:lineRule="auto"/>
        <w:ind w:left="360"/>
        <w:jc w:val="both"/>
        <w:rPr>
          <w:rFonts w:ascii="Times New Roman" w:hAnsi="Times New Roman"/>
          <w:sz w:val="24"/>
        </w:rPr>
      </w:pPr>
    </w:p>
    <w:p w:rsidR="004C39EE" w:rsidP="004C39EE">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Cieľom navrhovanej úpravy je zefektívnenie, zjednodušenie, zjednotenie                        a zrýchlenie postupov verejného obstarávania pre verejných obstarávateľov a obstarávateľov ako i pre hospodárske subjekty. Návrh si rovnako kladie za cieľ zníženie administratívnej záťaže a odstránenie niektorých problémov aplikačnej praxe.</w:t>
      </w:r>
    </w:p>
    <w:p w:rsidR="004C39EE" w:rsidP="004C39EE">
      <w:pPr>
        <w:pStyle w:val="BodyText"/>
        <w:widowControl/>
        <w:bidi w:val="0"/>
        <w:spacing w:line="276" w:lineRule="auto"/>
        <w:ind w:left="360"/>
        <w:jc w:val="both"/>
        <w:rPr>
          <w:rFonts w:ascii="Times New Roman" w:hAnsi="Times New Roman"/>
          <w:sz w:val="24"/>
        </w:rPr>
      </w:pPr>
    </w:p>
    <w:p w:rsidR="004C39EE" w:rsidP="004C39EE">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Súčasné znenie zákona o verejnom obstarávaní upravuje postupy verejného obstarávania do veľkej miery podrobne a relatívne striktne. Takéto znenie pritom sleduje plne legitímne ciele, akými sú ochrana hospodárskej súťaže a zároveň efektívne nakladanie s verejným prostriedkami. V niektorých prípadoch je však zákonom vyžadovaný postup vzhľadom ku konkrétnym okolnostiam neflexibilný a nadmieru komplikovaný, čo vedie k častokrát zbytočnému zvyšovaniu administratívnej záťaže pre verejných obstarávateľov a obstarávateľov na jednej strane a hospodárske subjekty na strane druhej. Zároveň tým dochádza k neúčelnému predlžovaniu procesu verejného obstarávania a koniec koncov k nižšej efektivite verejného obstarávania. Zákonom sledovaný cieľ je pritom v niektorých prípadoch možné dosiahnuť aj iným, menej rigidným a zjednodušeným postupom.</w:t>
      </w:r>
    </w:p>
    <w:p w:rsidR="004C39EE" w:rsidP="004C39EE">
      <w:pPr>
        <w:pStyle w:val="BodyText"/>
        <w:widowControl/>
        <w:bidi w:val="0"/>
        <w:spacing w:line="276" w:lineRule="auto"/>
        <w:ind w:left="360"/>
        <w:jc w:val="both"/>
        <w:rPr>
          <w:rFonts w:ascii="Times New Roman" w:hAnsi="Times New Roman"/>
          <w:sz w:val="24"/>
        </w:rPr>
      </w:pPr>
    </w:p>
    <w:p w:rsidR="004C39EE" w:rsidP="004C39EE">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Návrh novely zákona o verejnom obstarávaní preto prináša zjednodušenie a zefektívnenie procesu verejného obstarávania pri nízkych prahových hodnotách. Konkrétne ide o zjednodušenie nákupu potravín pre zariadenia školského stravovania, ktoré budú vďaka tomu môcť vo zvýšenej miere využívať ponuky regionálnych výrobcov a overených dodávateľov. Cieľom návrhu je tiež zatraktívniť dynamický nákupný systém, ktorý sám o sebe predstavuje rýchlejšiu a flexibilnejšiu formu verejného obstarávania.</w:t>
      </w:r>
      <w:r w:rsidRPr="00364091">
        <w:rPr>
          <w:rFonts w:ascii="Times New Roman" w:hAnsi="Times New Roman"/>
          <w:sz w:val="24"/>
        </w:rPr>
        <w:t xml:space="preserve"> </w:t>
      </w:r>
      <w:r>
        <w:rPr>
          <w:rFonts w:ascii="Times New Roman" w:hAnsi="Times New Roman"/>
          <w:sz w:val="24"/>
        </w:rPr>
        <w:t xml:space="preserve">Zásadnou zmenou predloženého návrhu je zjednodušenie postupu v prípade tzv. podlimitných zákaziek. Návrh dopĺňa možnosť zadávania podlimitnej zákazky bez elektronického trhoviska aj na bežne dostupné tovary, služby alebo stavebné práce. Umožňuje tiež v prípade podlimitných zákaziek využiť tzv. jednoobálkový systém alebo zmeniť poradie vyhodnocovania dokumentov. Návrh ďalej </w:t>
      </w:r>
      <w:r w:rsidRPr="006D3AE8">
        <w:rPr>
          <w:rFonts w:ascii="Times New Roman" w:hAnsi="Times New Roman"/>
          <w:sz w:val="24"/>
        </w:rPr>
        <w:t>redukuje povinnosť vyhodnotiť</w:t>
      </w:r>
      <w:r>
        <w:rPr>
          <w:rFonts w:ascii="Times New Roman" w:hAnsi="Times New Roman"/>
          <w:sz w:val="24"/>
        </w:rPr>
        <w:t xml:space="preserve"> splnenie podmienok účasti len na prípad uchádzača, ktorý sa svojou ponukou umiestnil na prvom mieste namiesto súčasných prvých troch uchádzačov.</w:t>
      </w:r>
      <w:r w:rsidRPr="00364091">
        <w:rPr>
          <w:rFonts w:ascii="Times New Roman" w:hAnsi="Times New Roman"/>
          <w:sz w:val="24"/>
        </w:rPr>
        <w:t xml:space="preserve"> </w:t>
      </w:r>
      <w:r>
        <w:rPr>
          <w:rFonts w:ascii="Times New Roman" w:hAnsi="Times New Roman"/>
          <w:sz w:val="24"/>
        </w:rPr>
        <w:t>Návrh ďalej ukladá verejným obstarávateľom a obstarávateľom, aby využívali už existujúci register referencií, čím sa zjednotí ich postup a uľahčí účasť hospodárskych subjektov na verejnom obstarávaní. Všetky uvedené kroky rozširujú možnosti verejného obstarávania, znižujú administratívnu náročnosť, celý proces urýchľujú a tým verejné obstarávanie zefektívňujú.</w:t>
      </w:r>
    </w:p>
    <w:p w:rsidR="004C39EE" w:rsidRPr="009A7EE2" w:rsidP="004C39EE">
      <w:pPr>
        <w:pStyle w:val="BodyText"/>
        <w:widowControl/>
        <w:bidi w:val="0"/>
        <w:spacing w:line="276" w:lineRule="auto"/>
        <w:jc w:val="both"/>
        <w:rPr>
          <w:rFonts w:ascii="Times New Roman" w:hAnsi="Times New Roman"/>
          <w:color w:val="000000"/>
          <w:sz w:val="24"/>
        </w:rPr>
      </w:pPr>
    </w:p>
    <w:p w:rsidR="004C39EE" w:rsidRPr="009A7EE2" w:rsidP="004C39EE">
      <w:pPr>
        <w:bidi w:val="0"/>
        <w:ind w:left="426" w:firstLine="567"/>
        <w:jc w:val="both"/>
        <w:rPr>
          <w:rFonts w:ascii="Times New Roman" w:hAnsi="Times New Roman"/>
          <w:sz w:val="24"/>
          <w:szCs w:val="24"/>
        </w:rPr>
      </w:pPr>
      <w:r w:rsidRPr="009A7EE2">
        <w:rPr>
          <w:rFonts w:ascii="Times New Roman" w:hAnsi="Times New Roman"/>
          <w:sz w:val="24"/>
          <w:szCs w:val="24"/>
        </w:rPr>
        <w:t xml:space="preserve">Návrh zákona je v súlade s Ústavou Slovenskej republiky, zákonmi a ostatnými všeobecne záväznými právnymi predpismi, ako aj s medzinárodnými zmluvami, ktorými je Slovenská republika viazaná. </w:t>
      </w:r>
    </w:p>
    <w:p w:rsidR="004C39EE" w:rsidRPr="009A7EE2" w:rsidP="004C39EE">
      <w:pPr>
        <w:bidi w:val="0"/>
        <w:ind w:left="426" w:firstLine="567"/>
        <w:jc w:val="both"/>
        <w:rPr>
          <w:rFonts w:ascii="Times New Roman" w:hAnsi="Times New Roman"/>
          <w:sz w:val="24"/>
          <w:szCs w:val="24"/>
        </w:rPr>
      </w:pPr>
      <w:r w:rsidRPr="00847ED7">
        <w:rPr>
          <w:rFonts w:ascii="Times New Roman" w:hAnsi="Times New Roman"/>
          <w:sz w:val="24"/>
          <w:szCs w:val="24"/>
        </w:rPr>
        <w:t>Predložený návrh zákona nebude mať dopad na verejné financie. Nebude mať tiež dopad na životné prostredie, zamestnanosť a informatizáciu spoločnosti, predpokladá sa však pozitívny dopad na podnikateľské prostredie.</w:t>
      </w:r>
    </w:p>
    <w:p w:rsidR="004C39EE" w:rsidRPr="009A7EE2" w:rsidP="004C39EE">
      <w:pPr>
        <w:bidi w:val="0"/>
        <w:jc w:val="both"/>
        <w:rPr>
          <w:rFonts w:ascii="Times New Roman" w:hAnsi="Times New Roman"/>
          <w:b/>
        </w:rPr>
      </w:pPr>
    </w:p>
    <w:p w:rsidR="004C39EE" w:rsidRPr="008B1E7C" w:rsidP="004C39EE">
      <w:pPr>
        <w:bidi w:val="0"/>
        <w:spacing w:after="0" w:line="240" w:lineRule="auto"/>
        <w:rPr>
          <w:rFonts w:ascii="Times New Roman" w:hAnsi="Times New Roman"/>
          <w:b/>
          <w:sz w:val="24"/>
          <w:szCs w:val="24"/>
          <w:lang w:val="en-US"/>
        </w:rPr>
      </w:pPr>
      <w:r>
        <w:rPr>
          <w:rFonts w:ascii="Times New Roman" w:hAnsi="Times New Roman"/>
          <w:b/>
          <w:sz w:val="24"/>
          <w:szCs w:val="24"/>
        </w:rPr>
        <w:br w:type="page"/>
      </w:r>
    </w:p>
    <w:p w:rsidR="004C39EE" w:rsidRPr="0090561C" w:rsidP="004C39EE">
      <w:pPr>
        <w:bidi w:val="0"/>
        <w:spacing w:after="0"/>
        <w:rPr>
          <w:rFonts w:ascii="Times New Roman" w:hAnsi="Times New Roman"/>
          <w:b/>
          <w:sz w:val="24"/>
          <w:szCs w:val="24"/>
        </w:rPr>
      </w:pPr>
      <w:r w:rsidRPr="0090561C">
        <w:rPr>
          <w:rFonts w:ascii="Times New Roman" w:hAnsi="Times New Roman"/>
          <w:b/>
          <w:sz w:val="24"/>
          <w:szCs w:val="24"/>
        </w:rPr>
        <w:t xml:space="preserve">B. Osobitná časť </w:t>
      </w:r>
    </w:p>
    <w:p w:rsidR="004C39EE" w:rsidRPr="0090561C" w:rsidP="004C39EE">
      <w:pPr>
        <w:bidi w:val="0"/>
        <w:spacing w:after="0"/>
        <w:rPr>
          <w:rFonts w:ascii="Times New Roman" w:hAnsi="Times New Roman"/>
          <w:b/>
          <w:sz w:val="24"/>
          <w:szCs w:val="24"/>
          <w:u w:val="single"/>
        </w:rPr>
      </w:pPr>
    </w:p>
    <w:p w:rsidR="004C39EE" w:rsidRPr="0090561C" w:rsidP="004C39EE">
      <w:pPr>
        <w:bidi w:val="0"/>
        <w:spacing w:after="0"/>
        <w:rPr>
          <w:rFonts w:ascii="Times New Roman" w:hAnsi="Times New Roman"/>
          <w:b/>
          <w:sz w:val="24"/>
          <w:szCs w:val="24"/>
          <w:u w:val="single"/>
        </w:rPr>
      </w:pPr>
      <w:r w:rsidRPr="0090561C">
        <w:rPr>
          <w:rFonts w:ascii="Times New Roman" w:hAnsi="Times New Roman"/>
          <w:b/>
          <w:sz w:val="24"/>
          <w:szCs w:val="24"/>
          <w:u w:val="single"/>
        </w:rPr>
        <w:t xml:space="preserve">K čl. I, 1. bodu </w:t>
      </w:r>
    </w:p>
    <w:p w:rsidR="004C39EE" w:rsidRPr="001A517F" w:rsidP="004C39EE">
      <w:pPr>
        <w:bidi w:val="0"/>
        <w:spacing w:after="0"/>
        <w:ind w:firstLine="709"/>
        <w:jc w:val="both"/>
        <w:rPr>
          <w:rFonts w:ascii="Times New Roman" w:hAnsi="Times New Roman"/>
          <w:sz w:val="24"/>
          <w:szCs w:val="24"/>
        </w:rPr>
      </w:pPr>
      <w:r w:rsidRPr="00AD043C">
        <w:rPr>
          <w:rFonts w:ascii="Times New Roman" w:hAnsi="Times New Roman"/>
          <w:sz w:val="24"/>
          <w:szCs w:val="24"/>
        </w:rPr>
        <w:t>Navrhovaným zvýšením finančného limitu na nákup potravín pre zariadenia školského stravovania, t. j. školy, školské zariadenia a ich školské jedálne až do výšky 200.000 eur</w:t>
      </w:r>
      <w:r w:rsidRPr="001A517F">
        <w:rPr>
          <w:rFonts w:ascii="Times New Roman" w:hAnsi="Times New Roman"/>
          <w:sz w:val="24"/>
          <w:szCs w:val="24"/>
        </w:rPr>
        <w:t xml:space="preserve"> sa sleduje zjednodušenie a zefektívnenie procesu verejného obstávania pri nízkych prahových hodnotách, a tým zníženie administratívnej záťaže verejných obstarávateľov, ktorými sú zariadenia školského stravovania. Tieto tak nebudú obmedzené kritériom najnižšej ceny, ale budú môcť nakupovať čo najkvalitnejšie potraviny. Zároveň budú môcť využívať najmä služby regionálnych výrobcov a overených dodávateľov.</w:t>
      </w:r>
    </w:p>
    <w:p w:rsidR="004C39EE" w:rsidRPr="001A517F" w:rsidP="004C39EE">
      <w:pPr>
        <w:bidi w:val="0"/>
        <w:spacing w:after="0"/>
        <w:jc w:val="both"/>
        <w:rPr>
          <w:rFonts w:ascii="Times New Roman" w:hAnsi="Times New Roman"/>
          <w:b/>
          <w:sz w:val="24"/>
          <w:szCs w:val="24"/>
          <w:u w:val="single"/>
        </w:rPr>
      </w:pPr>
    </w:p>
    <w:p w:rsidR="004C39EE" w:rsidRPr="001A517F" w:rsidP="004C39EE">
      <w:pPr>
        <w:bidi w:val="0"/>
        <w:spacing w:after="0"/>
        <w:jc w:val="both"/>
        <w:rPr>
          <w:rFonts w:ascii="Times New Roman" w:hAnsi="Times New Roman"/>
          <w:b/>
          <w:sz w:val="24"/>
          <w:szCs w:val="24"/>
          <w:u w:val="single"/>
        </w:rPr>
      </w:pPr>
      <w:r w:rsidRPr="005B6912">
        <w:rPr>
          <w:rFonts w:ascii="Times New Roman" w:hAnsi="Times New Roman"/>
          <w:b/>
          <w:sz w:val="24"/>
          <w:szCs w:val="24"/>
          <w:u w:val="single"/>
        </w:rPr>
        <w:t>K čl. I, 2. bodu</w:t>
      </w:r>
    </w:p>
    <w:p w:rsidR="004C39EE" w:rsidRPr="001A517F" w:rsidP="004C39EE">
      <w:pPr>
        <w:bidi w:val="0"/>
        <w:ind w:firstLine="709"/>
        <w:jc w:val="both"/>
        <w:rPr>
          <w:rFonts w:ascii="Times New Roman" w:hAnsi="Times New Roman"/>
          <w:sz w:val="24"/>
          <w:szCs w:val="24"/>
        </w:rPr>
      </w:pPr>
      <w:r w:rsidRPr="001A517F">
        <w:rPr>
          <w:rFonts w:ascii="Times New Roman" w:hAnsi="Times New Roman"/>
          <w:sz w:val="24"/>
          <w:szCs w:val="24"/>
        </w:rPr>
        <w:t xml:space="preserve">Navrhovaná legislatívna zmena zavádza </w:t>
      </w:r>
      <w:r w:rsidRPr="00AD043C">
        <w:rPr>
          <w:rFonts w:ascii="Times New Roman" w:hAnsi="Times New Roman"/>
          <w:sz w:val="24"/>
          <w:szCs w:val="24"/>
        </w:rPr>
        <w:t>povinnosť</w:t>
      </w:r>
      <w:r w:rsidRPr="001A517F">
        <w:rPr>
          <w:rFonts w:ascii="Times New Roman" w:hAnsi="Times New Roman"/>
          <w:sz w:val="24"/>
          <w:szCs w:val="24"/>
        </w:rPr>
        <w:t xml:space="preserve"> verejných obstarávateľov a obstarávateľov </w:t>
      </w:r>
      <w:r w:rsidRPr="00AD043C">
        <w:rPr>
          <w:rFonts w:ascii="Times New Roman" w:hAnsi="Times New Roman"/>
          <w:sz w:val="24"/>
          <w:szCs w:val="24"/>
        </w:rPr>
        <w:t>vyhľadať referencie o dodávateľoch v existujúcom registri referencií, ktorý</w:t>
      </w:r>
      <w:r w:rsidRPr="001A517F">
        <w:rPr>
          <w:rFonts w:ascii="Times New Roman" w:hAnsi="Times New Roman"/>
          <w:sz w:val="24"/>
          <w:szCs w:val="24"/>
        </w:rPr>
        <w:t xml:space="preserve"> vedie Úrad pre verejné obstarávanie.</w:t>
      </w:r>
    </w:p>
    <w:p w:rsidR="004C39EE" w:rsidRPr="001A517F" w:rsidP="004C39EE">
      <w:pPr>
        <w:tabs>
          <w:tab w:val="left" w:pos="5670"/>
        </w:tabs>
        <w:bidi w:val="0"/>
        <w:spacing w:after="0"/>
        <w:ind w:firstLine="709"/>
        <w:jc w:val="both"/>
        <w:rPr>
          <w:rFonts w:ascii="Times New Roman" w:hAnsi="Times New Roman"/>
          <w:sz w:val="24"/>
          <w:szCs w:val="24"/>
        </w:rPr>
      </w:pPr>
      <w:r w:rsidRPr="001A517F">
        <w:rPr>
          <w:rFonts w:ascii="Times New Roman" w:hAnsi="Times New Roman"/>
          <w:sz w:val="24"/>
          <w:szCs w:val="24"/>
        </w:rPr>
        <w:t xml:space="preserve">Táto zmena odstráni existujúce aplikačné problémy pri využívaní elektronickej evidencie referencií. V súčasnosti </w:t>
      </w:r>
      <w:r>
        <w:rPr>
          <w:rFonts w:ascii="Times New Roman" w:hAnsi="Times New Roman"/>
          <w:sz w:val="24"/>
          <w:szCs w:val="24"/>
        </w:rPr>
        <w:t xml:space="preserve">totiž </w:t>
      </w:r>
      <w:r w:rsidRPr="001A517F">
        <w:rPr>
          <w:rFonts w:ascii="Times New Roman" w:hAnsi="Times New Roman"/>
          <w:sz w:val="24"/>
          <w:szCs w:val="24"/>
        </w:rPr>
        <w:t>existujú rozdielne názory na povinnosť verejných obstarávateľov a obstarávateľov automaticky dohľadať a overiť referencie, ktoré sa už nachádzajú v evidencii referencií.  Existujúci elektronický register referencií sa tak využíva na svoj pôvodný účel len čiastočne a z toh</w:t>
      </w:r>
      <w:r>
        <w:rPr>
          <w:rFonts w:ascii="Times New Roman" w:hAnsi="Times New Roman"/>
          <w:sz w:val="24"/>
          <w:szCs w:val="24"/>
        </w:rPr>
        <w:t>t</w:t>
      </w:r>
      <w:r w:rsidRPr="001A517F">
        <w:rPr>
          <w:rFonts w:ascii="Times New Roman" w:hAnsi="Times New Roman"/>
          <w:sz w:val="24"/>
          <w:szCs w:val="24"/>
        </w:rPr>
        <w:t>o dôvodu dochádza k zbytočnému vylučovaniu uchádzačov a znižovan</w:t>
      </w:r>
      <w:r>
        <w:rPr>
          <w:rFonts w:ascii="Times New Roman" w:hAnsi="Times New Roman"/>
          <w:sz w:val="24"/>
          <w:szCs w:val="24"/>
        </w:rPr>
        <w:t>iu počtu vyhodnocovaných ponúk.</w:t>
      </w:r>
      <w:r w:rsidRPr="001A517F">
        <w:rPr>
          <w:rFonts w:ascii="Times New Roman" w:hAnsi="Times New Roman"/>
          <w:sz w:val="24"/>
          <w:szCs w:val="24"/>
        </w:rPr>
        <w:t xml:space="preserve"> Navrhovaná zmena uľahčí účasť hospodárskych subjektov vo verejnom obstarávaní a zároveň zjednotí postup verejných obstarávateľov a obstarávateľov pri vyhodnocovaní splnenia podmienok účasti týkajúcich sa technickej a odbornej spôsobilosti. Uvedená zmena nemá negatívny vplyv na verejné financie a nevyžaduje si žiadne investície, keďže evidencia referencií už existuje.</w:t>
      </w:r>
    </w:p>
    <w:p w:rsidR="004C39EE" w:rsidRPr="001A517F" w:rsidP="004C39EE">
      <w:pPr>
        <w:bidi w:val="0"/>
        <w:spacing w:after="0"/>
        <w:jc w:val="both"/>
        <w:rPr>
          <w:rFonts w:ascii="Times New Roman" w:hAnsi="Times New Roman"/>
          <w:b/>
          <w:sz w:val="24"/>
          <w:szCs w:val="24"/>
          <w:u w:val="single"/>
        </w:rPr>
      </w:pPr>
    </w:p>
    <w:p w:rsidR="004C39EE" w:rsidRPr="001A517F" w:rsidP="004C39EE">
      <w:pPr>
        <w:bidi w:val="0"/>
        <w:spacing w:after="0"/>
        <w:jc w:val="both"/>
        <w:rPr>
          <w:rFonts w:ascii="Times New Roman" w:hAnsi="Times New Roman"/>
          <w:b/>
          <w:sz w:val="24"/>
          <w:szCs w:val="24"/>
          <w:u w:val="single"/>
        </w:rPr>
      </w:pPr>
      <w:r w:rsidRPr="005B6912">
        <w:rPr>
          <w:rFonts w:ascii="Times New Roman" w:hAnsi="Times New Roman"/>
          <w:b/>
          <w:sz w:val="24"/>
          <w:szCs w:val="24"/>
          <w:u w:val="single"/>
        </w:rPr>
        <w:t>K čl. I, 3. bodu</w:t>
      </w:r>
    </w:p>
    <w:p w:rsidR="004C39EE" w:rsidRPr="001A517F" w:rsidP="004C39EE">
      <w:pPr>
        <w:bidi w:val="0"/>
        <w:spacing w:after="0"/>
        <w:ind w:firstLine="709"/>
        <w:contextualSpacing/>
        <w:jc w:val="both"/>
        <w:rPr>
          <w:rFonts w:ascii="Times New Roman" w:hAnsi="Times New Roman"/>
          <w:sz w:val="24"/>
          <w:szCs w:val="24"/>
        </w:rPr>
      </w:pPr>
      <w:r w:rsidRPr="001A517F">
        <w:rPr>
          <w:rFonts w:ascii="Times New Roman" w:hAnsi="Times New Roman"/>
          <w:sz w:val="24"/>
          <w:szCs w:val="24"/>
        </w:rPr>
        <w:t xml:space="preserve">Zákon o verejnom obstarávaní je nastavený tak, že ukladá verejným obstarávateľom a obstarávateľom povinnosť overiť splnenie podmienok účasti uchádzačov nachádzajúcich sa na prvom až treťom mieste. Zmluva však vo väčšine prípadov môže byť podpísaná iba s uchádzačom  na prvom mieste. Uchádzači nachádzajúci sa na druhom a treťom mieste však aj napriek tejto skutočnosti musia byť podľa súčasne platného a účinného zákona vyzvaní na preukázanie splnenia podmienok účasti doložením príslušných dokladov. Ak ich nepredložia, verejný obstarávateľ alebo obstarávateľ ich musí vylúčiť z verejného obstarávania, hoci s nimi nezamýšľa podpísať zmluvu.  Verejný obstarávateľ alebo obstarávateľ musí vždy, keď dôjde k vylúčeniu uchádzača, vyčkať 10 dní, počas ktorých má vylúčený uchádzač právo podať námietky.  </w:t>
      </w:r>
    </w:p>
    <w:p w:rsidR="004C39EE" w:rsidRPr="001A517F" w:rsidP="004C39EE">
      <w:pPr>
        <w:bidi w:val="0"/>
        <w:spacing w:after="0"/>
        <w:ind w:left="357"/>
        <w:contextualSpacing/>
        <w:jc w:val="both"/>
        <w:rPr>
          <w:rFonts w:ascii="Times New Roman" w:hAnsi="Times New Roman"/>
          <w:sz w:val="24"/>
          <w:szCs w:val="24"/>
        </w:rPr>
      </w:pPr>
    </w:p>
    <w:p w:rsidR="004C39EE" w:rsidRPr="001A517F" w:rsidP="004C39EE">
      <w:pPr>
        <w:bidi w:val="0"/>
        <w:spacing w:after="0"/>
        <w:ind w:firstLine="709"/>
        <w:contextualSpacing/>
        <w:jc w:val="both"/>
        <w:rPr>
          <w:rFonts w:ascii="Times New Roman" w:hAnsi="Times New Roman"/>
          <w:sz w:val="24"/>
          <w:szCs w:val="24"/>
        </w:rPr>
      </w:pPr>
      <w:r w:rsidRPr="001A517F">
        <w:rPr>
          <w:rFonts w:ascii="Times New Roman" w:hAnsi="Times New Roman"/>
          <w:sz w:val="24"/>
          <w:szCs w:val="24"/>
        </w:rPr>
        <w:t>Navrhovaná zmena mení povinnosť verejných obstarávateľov a </w:t>
      </w:r>
      <w:r w:rsidRPr="00AD043C">
        <w:rPr>
          <w:rFonts w:ascii="Times New Roman" w:hAnsi="Times New Roman"/>
          <w:sz w:val="24"/>
          <w:szCs w:val="24"/>
        </w:rPr>
        <w:t>obstarávateľov overovať splnenie podmienok účasti u prvých troch uchádzačov na povinnosť vyhodnotiť splnenie podmienok účasti len v prípade uchádzača, ktorý sa umiestnil na prvom mieste.</w:t>
      </w:r>
    </w:p>
    <w:p w:rsidR="004C39EE" w:rsidRPr="001A517F" w:rsidP="004C39EE">
      <w:pPr>
        <w:bidi w:val="0"/>
        <w:spacing w:after="0"/>
        <w:ind w:left="357"/>
        <w:contextualSpacing/>
        <w:jc w:val="both"/>
        <w:rPr>
          <w:rFonts w:ascii="Times New Roman" w:hAnsi="Times New Roman"/>
          <w:sz w:val="24"/>
          <w:szCs w:val="24"/>
        </w:rPr>
      </w:pPr>
    </w:p>
    <w:p w:rsidR="004C39EE" w:rsidRPr="001A517F" w:rsidP="004C39EE">
      <w:pPr>
        <w:bidi w:val="0"/>
        <w:spacing w:after="0"/>
        <w:ind w:firstLine="709"/>
        <w:contextualSpacing/>
        <w:jc w:val="both"/>
        <w:rPr>
          <w:rFonts w:ascii="Times New Roman" w:hAnsi="Times New Roman"/>
          <w:sz w:val="24"/>
          <w:szCs w:val="24"/>
        </w:rPr>
      </w:pPr>
      <w:r w:rsidRPr="001A517F">
        <w:rPr>
          <w:rFonts w:ascii="Times New Roman" w:hAnsi="Times New Roman"/>
          <w:sz w:val="24"/>
          <w:szCs w:val="24"/>
        </w:rPr>
        <w:t xml:space="preserve">Cieľom navrhovanej legislatívnej zmeny je zrýchlenie a zjednodušenie verejného obstarávania. Zrušením povinnosti automaticky požadovať doklady od uchádzačov na druhom a treťom mieste dôjde vo väčšine prípadov k zníženiu administratívnej náročnosti na strane podnikateľských subjektov aj verejných obstarávateľov a obstarávateľov. Zároveň sa odstraňuje problém so zbytočným vylučovaním uchádzačov nachádzajúcich sa na druhom a treťom mieste. V mnohých prípadoch sa tak skráti čas potrebný na podpis zmluvy, pretože nebude potrebné  vyčkať na uplynutie 10 dňovej prekluzívnej lehoty na podanie námietok proti vylúčeniu. </w:t>
      </w:r>
    </w:p>
    <w:p w:rsidR="004C39EE" w:rsidRPr="001A517F" w:rsidP="004C39EE">
      <w:pPr>
        <w:bidi w:val="0"/>
        <w:spacing w:after="0"/>
        <w:ind w:left="357"/>
        <w:contextualSpacing/>
        <w:jc w:val="both"/>
        <w:rPr>
          <w:rFonts w:ascii="Times New Roman" w:hAnsi="Times New Roman"/>
          <w:sz w:val="24"/>
          <w:szCs w:val="24"/>
        </w:rPr>
      </w:pPr>
    </w:p>
    <w:p w:rsidR="004C39EE" w:rsidRPr="001A517F" w:rsidP="004C39EE">
      <w:pPr>
        <w:bidi w:val="0"/>
        <w:spacing w:after="0"/>
        <w:ind w:firstLine="709"/>
        <w:contextualSpacing/>
        <w:jc w:val="both"/>
        <w:rPr>
          <w:rFonts w:ascii="Times New Roman" w:hAnsi="Times New Roman"/>
          <w:sz w:val="24"/>
          <w:szCs w:val="24"/>
        </w:rPr>
      </w:pPr>
      <w:r w:rsidRPr="001A517F">
        <w:rPr>
          <w:rFonts w:ascii="Times New Roman" w:hAnsi="Times New Roman"/>
          <w:sz w:val="24"/>
          <w:szCs w:val="24"/>
        </w:rPr>
        <w:t>Hoci sa ruší povinnosť vyhodnocovať splnenie podmienok účasti uchádzačov na druhom a treťom mieste, bude i naďalej existovať možnosť týchto uchádzačov doklady predložiť a možnosť verejných obstarávateľov a obstarávateľov ich vyhodnotiť. Takýto postup však nebude povinným a najmä nebude splnený s lehotami, ktoré ovplyvňujú ďalší postup vo verejnom obstarávaní.</w:t>
      </w:r>
    </w:p>
    <w:p w:rsidR="004C39EE" w:rsidRPr="001A517F" w:rsidP="004C39EE">
      <w:pPr>
        <w:bidi w:val="0"/>
        <w:spacing w:after="0"/>
        <w:ind w:left="357"/>
        <w:contextualSpacing/>
        <w:jc w:val="both"/>
        <w:rPr>
          <w:rFonts w:ascii="Times New Roman" w:hAnsi="Times New Roman"/>
          <w:sz w:val="24"/>
          <w:szCs w:val="24"/>
        </w:rPr>
      </w:pPr>
    </w:p>
    <w:p w:rsidR="004C39EE" w:rsidRPr="001A517F" w:rsidP="004C39EE">
      <w:pPr>
        <w:tabs>
          <w:tab w:val="left" w:pos="5670"/>
        </w:tabs>
        <w:bidi w:val="0"/>
        <w:spacing w:after="0"/>
        <w:ind w:firstLine="709"/>
        <w:jc w:val="both"/>
        <w:rPr>
          <w:rFonts w:ascii="Times New Roman" w:hAnsi="Times New Roman"/>
          <w:sz w:val="24"/>
          <w:szCs w:val="24"/>
        </w:rPr>
      </w:pPr>
      <w:r w:rsidRPr="001A517F">
        <w:rPr>
          <w:rFonts w:ascii="Times New Roman" w:hAnsi="Times New Roman"/>
          <w:sz w:val="24"/>
          <w:szCs w:val="24"/>
        </w:rPr>
        <w:t>Predkladaná zmena nemá vplyv na verejné financie, znižuje administratívnu náročnosť procesov verejného obstarávania a má pozitívny vplyv na rozvoj hospodárskej súťaže.</w:t>
      </w:r>
    </w:p>
    <w:p w:rsidR="004C39EE" w:rsidRPr="001A517F" w:rsidP="004C39EE">
      <w:pPr>
        <w:bidi w:val="0"/>
        <w:spacing w:after="0"/>
        <w:jc w:val="both"/>
        <w:rPr>
          <w:rFonts w:ascii="Times New Roman" w:hAnsi="Times New Roman"/>
          <w:b/>
          <w:sz w:val="24"/>
          <w:szCs w:val="24"/>
          <w:u w:val="single"/>
        </w:rPr>
      </w:pPr>
    </w:p>
    <w:p w:rsidR="004C39EE" w:rsidRPr="001A517F" w:rsidP="004C39EE">
      <w:pPr>
        <w:bidi w:val="0"/>
        <w:spacing w:after="0"/>
        <w:jc w:val="both"/>
        <w:rPr>
          <w:rFonts w:ascii="Times New Roman" w:hAnsi="Times New Roman"/>
          <w:b/>
          <w:sz w:val="24"/>
          <w:szCs w:val="24"/>
          <w:u w:val="single"/>
        </w:rPr>
      </w:pPr>
      <w:r w:rsidRPr="005B6912">
        <w:rPr>
          <w:rFonts w:ascii="Times New Roman" w:hAnsi="Times New Roman"/>
          <w:b/>
          <w:sz w:val="24"/>
          <w:szCs w:val="24"/>
          <w:u w:val="single"/>
        </w:rPr>
        <w:t>K čl. I, 4., 5. a 6. bodu</w:t>
      </w:r>
    </w:p>
    <w:p w:rsidR="004C39EE" w:rsidRPr="001A517F" w:rsidP="004C39EE">
      <w:pPr>
        <w:bidi w:val="0"/>
        <w:spacing w:after="0"/>
        <w:ind w:firstLine="709"/>
        <w:jc w:val="both"/>
        <w:rPr>
          <w:rFonts w:ascii="Times New Roman" w:hAnsi="Times New Roman"/>
          <w:sz w:val="24"/>
          <w:szCs w:val="24"/>
        </w:rPr>
      </w:pPr>
      <w:r w:rsidRPr="001A517F">
        <w:rPr>
          <w:rFonts w:ascii="Times New Roman" w:hAnsi="Times New Roman"/>
          <w:sz w:val="24"/>
          <w:szCs w:val="24"/>
        </w:rPr>
        <w:t>Legislatívne zmeny navrhované v dynamickom nákupnom systéme majú uľahčiť, sprehľadniť a zefektívniť jeho fungovanie. Ako prvé je potrebné uviesť, že ide o plne elektronický systém, ktorý si môže viesť každý verejný obstarávateľ alebo obstarávateľ. Prostredníctvom tohto systému môže zabezpečovať svoje potreby.</w:t>
      </w:r>
    </w:p>
    <w:p w:rsidR="004C39EE" w:rsidRPr="001A517F" w:rsidP="004C39EE">
      <w:pPr>
        <w:bidi w:val="0"/>
        <w:spacing w:after="0"/>
        <w:ind w:left="357"/>
        <w:jc w:val="both"/>
        <w:rPr>
          <w:rFonts w:ascii="Times New Roman" w:hAnsi="Times New Roman"/>
          <w:sz w:val="24"/>
          <w:szCs w:val="24"/>
        </w:rPr>
      </w:pPr>
    </w:p>
    <w:p w:rsidR="004C39EE" w:rsidRPr="001A517F" w:rsidP="004C39EE">
      <w:pPr>
        <w:bidi w:val="0"/>
        <w:spacing w:after="0"/>
        <w:ind w:firstLine="709"/>
        <w:jc w:val="both"/>
        <w:rPr>
          <w:rFonts w:ascii="Times New Roman" w:hAnsi="Times New Roman"/>
          <w:sz w:val="24"/>
          <w:szCs w:val="24"/>
        </w:rPr>
      </w:pPr>
      <w:r w:rsidRPr="001A517F">
        <w:rPr>
          <w:rFonts w:ascii="Times New Roman" w:hAnsi="Times New Roman"/>
          <w:sz w:val="24"/>
          <w:szCs w:val="24"/>
        </w:rPr>
        <w:t xml:space="preserve">Zmena uvedená v § 58 ods. 4 zabezpečí zjednodušenie nakupovania najmä tovarov a služieb prostredníctvom dynamického nákupného systému. V súčasnosti úprava dynamického nákupného systému vylučuje využitie </w:t>
      </w:r>
      <w:r w:rsidRPr="00AD043C">
        <w:rPr>
          <w:rFonts w:ascii="Times New Roman" w:hAnsi="Times New Roman"/>
          <w:sz w:val="24"/>
          <w:szCs w:val="24"/>
        </w:rPr>
        <w:t>rámcovej dohody. Toto</w:t>
      </w:r>
      <w:r w:rsidRPr="001A517F">
        <w:rPr>
          <w:rFonts w:ascii="Times New Roman" w:hAnsi="Times New Roman"/>
          <w:sz w:val="24"/>
          <w:szCs w:val="24"/>
        </w:rPr>
        <w:t xml:space="preserve"> obmedzenie však nemá žiadne opodstatnenie ani v smerniciach EÚ, ani v našom právnom systéme. Aj toto obmedzenie prispieva k nepružnosti a k obmedzenému využívaniu dynamického nákupného systému. Otvorením možnosti uzatvárať rámcové dohody cez dynamický nákupný systém sa výrazným spôsobom zatraktívni trh pre všetky podnikateľské subjekty, ktoré môžu do tohto systému vstúpiť kedykoľvek počas jeho existencie. Na druhej strane verejný obstarávateľ a obstarávateľ budú môcť využiť výhod, ktoré so sebou prinášajú rámcové dohody, </w:t>
      </w:r>
      <w:r>
        <w:rPr>
          <w:rFonts w:ascii="Times New Roman" w:hAnsi="Times New Roman"/>
          <w:sz w:val="24"/>
          <w:szCs w:val="24"/>
        </w:rPr>
        <w:t>akými sú napríklad</w:t>
      </w:r>
      <w:r w:rsidRPr="001A517F">
        <w:rPr>
          <w:rFonts w:ascii="Times New Roman" w:hAnsi="Times New Roman"/>
          <w:sz w:val="24"/>
          <w:szCs w:val="24"/>
        </w:rPr>
        <w:t xml:space="preserve"> zľavy pri odbere väčšieho objemu.</w:t>
      </w:r>
    </w:p>
    <w:p w:rsidR="004C39EE" w:rsidRPr="001A517F" w:rsidP="004C39EE">
      <w:pPr>
        <w:bidi w:val="0"/>
        <w:spacing w:after="0"/>
        <w:jc w:val="both"/>
        <w:rPr>
          <w:rFonts w:ascii="Times New Roman" w:hAnsi="Times New Roman"/>
          <w:sz w:val="24"/>
          <w:szCs w:val="24"/>
        </w:rPr>
      </w:pPr>
    </w:p>
    <w:p w:rsidR="004C39EE" w:rsidRPr="001A517F" w:rsidP="004C39EE">
      <w:pPr>
        <w:bidi w:val="0"/>
        <w:spacing w:after="0"/>
        <w:ind w:firstLine="709"/>
        <w:jc w:val="both"/>
        <w:rPr>
          <w:rFonts w:ascii="Times New Roman" w:hAnsi="Times New Roman"/>
          <w:sz w:val="24"/>
          <w:szCs w:val="24"/>
        </w:rPr>
      </w:pPr>
      <w:r w:rsidRPr="001A517F">
        <w:rPr>
          <w:rFonts w:ascii="Times New Roman" w:hAnsi="Times New Roman"/>
          <w:sz w:val="24"/>
          <w:szCs w:val="24"/>
        </w:rPr>
        <w:t xml:space="preserve">Verejní obstarávatelia a obstarávatelia majú jednoznačnú povinnosť zaregistrovať záujemcu do dynamického nákupného systému v čo najkratšom čase, zákon stanovuje povinnosť vyhodnotiť žiadosť o zaradenie do 10 dní. Táto povinnosť je dostatočne určená v § 59 ods. 4. Z dôvodu odstránenia duplicity resp. chybnej interpretácie spôsobujúcej zdržanie vyhlasovania jednotlivých zákaziek navrhujeme zmenu ustanovenia § 60 ods. 1 </w:t>
      </w:r>
      <w:r w:rsidRPr="00AD043C">
        <w:rPr>
          <w:rFonts w:ascii="Times New Roman" w:hAnsi="Times New Roman"/>
          <w:sz w:val="24"/>
          <w:szCs w:val="24"/>
        </w:rPr>
        <w:t>vypustením lehoty 15 dní,</w:t>
      </w:r>
      <w:r w:rsidRPr="001A517F">
        <w:rPr>
          <w:rFonts w:ascii="Times New Roman" w:hAnsi="Times New Roman"/>
          <w:sz w:val="24"/>
          <w:szCs w:val="24"/>
        </w:rPr>
        <w:t xml:space="preserve"> ktoré by mohlo spôsobiť zdržania vyhlasovania jednotlivých zákaziek. Vypustením ďalšej lehoty sa tiež zabráni interpretačným problémom.</w:t>
      </w:r>
    </w:p>
    <w:p w:rsidR="004C39EE" w:rsidRPr="001A517F" w:rsidP="004C39EE">
      <w:pPr>
        <w:bidi w:val="0"/>
        <w:spacing w:after="0"/>
        <w:ind w:left="357"/>
        <w:jc w:val="both"/>
        <w:rPr>
          <w:rFonts w:ascii="Times New Roman" w:hAnsi="Times New Roman"/>
          <w:sz w:val="24"/>
          <w:szCs w:val="24"/>
        </w:rPr>
      </w:pPr>
    </w:p>
    <w:p w:rsidR="004C39EE" w:rsidRPr="001A517F" w:rsidP="004C39EE">
      <w:pPr>
        <w:bidi w:val="0"/>
        <w:spacing w:after="0"/>
        <w:ind w:firstLine="709"/>
        <w:jc w:val="both"/>
        <w:rPr>
          <w:rFonts w:ascii="Times New Roman" w:hAnsi="Times New Roman"/>
          <w:sz w:val="24"/>
          <w:szCs w:val="24"/>
        </w:rPr>
      </w:pPr>
      <w:r w:rsidRPr="001A517F">
        <w:rPr>
          <w:rFonts w:ascii="Times New Roman" w:hAnsi="Times New Roman"/>
          <w:sz w:val="24"/>
          <w:szCs w:val="24"/>
        </w:rPr>
        <w:t xml:space="preserve">Doplnením </w:t>
      </w:r>
      <w:r w:rsidRPr="00AD043C">
        <w:rPr>
          <w:rFonts w:ascii="Times New Roman" w:hAnsi="Times New Roman"/>
          <w:sz w:val="24"/>
          <w:szCs w:val="24"/>
        </w:rPr>
        <w:t>minimálnej 10 dňovej lehoty na predkladanie ponúk</w:t>
      </w:r>
      <w:r w:rsidRPr="001A517F">
        <w:rPr>
          <w:rFonts w:ascii="Times New Roman" w:hAnsi="Times New Roman"/>
          <w:sz w:val="24"/>
          <w:szCs w:val="24"/>
        </w:rPr>
        <w:t xml:space="preserve"> v konkrétnej zákazke sa spresňujú a ujasňujú procesné pravidlá pri dynamickom nákupnom systéme. Ide však len o minimálnu lehotu, ktorú je potrebné vždy individuálne posúdiť s ohľadom na náročnosť konkrétnej zákazky a v prípade potreby je ju potrebné primerane predĺžiť. Uvedená lehota je v súlade s rozhodovacou praxou Úradu pre verejné obstarávanie, slovenských súdov, smernicami EÚ a judikatúrou Súdneho dvora EÚ. </w:t>
      </w:r>
    </w:p>
    <w:p w:rsidR="004C39EE" w:rsidRPr="001A517F" w:rsidP="004C39EE">
      <w:pPr>
        <w:bidi w:val="0"/>
        <w:spacing w:after="0"/>
        <w:ind w:left="357"/>
        <w:jc w:val="both"/>
        <w:rPr>
          <w:rFonts w:ascii="Times New Roman" w:hAnsi="Times New Roman"/>
          <w:sz w:val="24"/>
          <w:szCs w:val="24"/>
        </w:rPr>
      </w:pPr>
    </w:p>
    <w:p w:rsidR="004C39EE" w:rsidRPr="001A517F" w:rsidP="004C39EE">
      <w:pPr>
        <w:bidi w:val="0"/>
        <w:spacing w:after="0"/>
        <w:ind w:firstLine="709"/>
        <w:jc w:val="both"/>
        <w:rPr>
          <w:rFonts w:ascii="Times New Roman" w:hAnsi="Times New Roman"/>
          <w:sz w:val="24"/>
          <w:szCs w:val="24"/>
        </w:rPr>
      </w:pPr>
      <w:r>
        <w:rPr>
          <w:rFonts w:ascii="Times New Roman" w:hAnsi="Times New Roman"/>
          <w:sz w:val="24"/>
          <w:szCs w:val="24"/>
        </w:rPr>
        <w:t xml:space="preserve">Ustanovenie </w:t>
      </w:r>
      <w:r w:rsidRPr="001A517F">
        <w:rPr>
          <w:rFonts w:ascii="Times New Roman" w:hAnsi="Times New Roman"/>
          <w:sz w:val="24"/>
          <w:szCs w:val="24"/>
        </w:rPr>
        <w:t xml:space="preserve">§ 60 ods. 4 sa navrhuje vypustiť, pretože </w:t>
      </w:r>
      <w:r>
        <w:rPr>
          <w:rFonts w:ascii="Times New Roman" w:hAnsi="Times New Roman"/>
          <w:sz w:val="24"/>
          <w:szCs w:val="24"/>
        </w:rPr>
        <w:t>ho</w:t>
      </w:r>
      <w:r w:rsidRPr="001A517F">
        <w:rPr>
          <w:rFonts w:ascii="Times New Roman" w:hAnsi="Times New Roman"/>
          <w:sz w:val="24"/>
          <w:szCs w:val="24"/>
        </w:rPr>
        <w:t xml:space="preserve"> možno považovať </w:t>
      </w:r>
      <w:r>
        <w:rPr>
          <w:rFonts w:ascii="Times New Roman" w:hAnsi="Times New Roman"/>
          <w:sz w:val="24"/>
          <w:szCs w:val="24"/>
        </w:rPr>
        <w:t xml:space="preserve">za </w:t>
      </w:r>
      <w:r w:rsidRPr="001A517F">
        <w:rPr>
          <w:rFonts w:ascii="Times New Roman" w:hAnsi="Times New Roman"/>
          <w:sz w:val="24"/>
          <w:szCs w:val="24"/>
        </w:rPr>
        <w:t>nadbytočné. Ustanovenia týkajúce sa kritérií sú dostatočne jasné a zrozumiteľné. Navyše, ekonomicky naj</w:t>
      </w:r>
      <w:r>
        <w:rPr>
          <w:rFonts w:ascii="Times New Roman" w:hAnsi="Times New Roman"/>
          <w:sz w:val="24"/>
          <w:szCs w:val="24"/>
        </w:rPr>
        <w:t>výhodnejšia ponuka môže byť nie</w:t>
      </w:r>
      <w:r w:rsidRPr="001A517F">
        <w:rPr>
          <w:rFonts w:ascii="Times New Roman" w:hAnsi="Times New Roman"/>
          <w:sz w:val="24"/>
          <w:szCs w:val="24"/>
        </w:rPr>
        <w:t>len ponuka s najnižšou cenou, ale napr. aj ponuka, ktorá predstavuje najlepší pomer ceny a kvality, resp. ponuka s najnižšími nákladmi počas životného cyklu (§ 44</w:t>
      </w:r>
      <w:r>
        <w:rPr>
          <w:rFonts w:ascii="Times New Roman" w:hAnsi="Times New Roman"/>
          <w:sz w:val="24"/>
          <w:szCs w:val="24"/>
        </w:rPr>
        <w:t xml:space="preserve"> zákona</w:t>
      </w:r>
      <w:r w:rsidRPr="001A517F">
        <w:rPr>
          <w:rFonts w:ascii="Times New Roman" w:hAnsi="Times New Roman"/>
          <w:sz w:val="24"/>
          <w:szCs w:val="24"/>
        </w:rPr>
        <w:t>).</w:t>
      </w:r>
    </w:p>
    <w:p w:rsidR="004C39EE" w:rsidRPr="001A517F" w:rsidP="004C39EE">
      <w:pPr>
        <w:bidi w:val="0"/>
        <w:spacing w:after="0"/>
        <w:jc w:val="both"/>
        <w:rPr>
          <w:rFonts w:ascii="Times New Roman" w:hAnsi="Times New Roman"/>
          <w:sz w:val="24"/>
          <w:szCs w:val="24"/>
        </w:rPr>
      </w:pPr>
    </w:p>
    <w:p w:rsidR="004C39EE" w:rsidRPr="001A517F" w:rsidP="004C39EE">
      <w:pPr>
        <w:bidi w:val="0"/>
        <w:spacing w:after="0"/>
        <w:jc w:val="both"/>
        <w:rPr>
          <w:rFonts w:ascii="Times New Roman" w:hAnsi="Times New Roman"/>
          <w:b/>
          <w:sz w:val="24"/>
          <w:szCs w:val="24"/>
          <w:u w:val="single"/>
        </w:rPr>
      </w:pPr>
      <w:r w:rsidRPr="005B6912">
        <w:rPr>
          <w:rFonts w:ascii="Times New Roman" w:hAnsi="Times New Roman"/>
          <w:b/>
          <w:sz w:val="24"/>
          <w:szCs w:val="24"/>
          <w:u w:val="single"/>
        </w:rPr>
        <w:t>K čl. I, 7. bodu</w:t>
      </w:r>
    </w:p>
    <w:p w:rsidR="004C39EE" w:rsidRPr="001A517F" w:rsidP="004C39EE">
      <w:pPr>
        <w:tabs>
          <w:tab w:val="left" w:pos="5670"/>
        </w:tabs>
        <w:bidi w:val="0"/>
        <w:spacing w:after="0"/>
        <w:ind w:firstLine="709"/>
        <w:jc w:val="both"/>
        <w:rPr>
          <w:rFonts w:ascii="Times New Roman" w:hAnsi="Times New Roman"/>
          <w:sz w:val="24"/>
          <w:szCs w:val="24"/>
        </w:rPr>
      </w:pPr>
      <w:r w:rsidRPr="001A517F">
        <w:rPr>
          <w:rFonts w:ascii="Times New Roman" w:hAnsi="Times New Roman"/>
          <w:sz w:val="24"/>
          <w:szCs w:val="24"/>
        </w:rPr>
        <w:t xml:space="preserve">Nový zákon obmedzil možnosti verejných obstarávateľov na výber postupov zadávania podlimitných zákaziek. Pri zadávaní bežne dostupných tovarov, služieb alebo stavebných prác musia verejní obstarávatelia </w:t>
      </w:r>
      <w:r>
        <w:rPr>
          <w:rFonts w:ascii="Times New Roman" w:hAnsi="Times New Roman"/>
          <w:sz w:val="24"/>
          <w:szCs w:val="24"/>
        </w:rPr>
        <w:t xml:space="preserve">podľa súčasnej úpravy </w:t>
      </w:r>
      <w:r w:rsidRPr="001A517F">
        <w:rPr>
          <w:rFonts w:ascii="Times New Roman" w:hAnsi="Times New Roman"/>
          <w:sz w:val="24"/>
          <w:szCs w:val="24"/>
        </w:rPr>
        <w:t xml:space="preserve">povinne použiť elektronické trhovisko. To však bolo cielené len na jednoduché typy komodít, </w:t>
      </w:r>
      <w:r>
        <w:rPr>
          <w:rFonts w:ascii="Times New Roman" w:hAnsi="Times New Roman"/>
          <w:sz w:val="24"/>
          <w:szCs w:val="24"/>
        </w:rPr>
        <w:t>akými sú napr.</w:t>
      </w:r>
      <w:r w:rsidRPr="001A517F">
        <w:rPr>
          <w:rFonts w:ascii="Times New Roman" w:hAnsi="Times New Roman"/>
          <w:sz w:val="24"/>
          <w:szCs w:val="24"/>
        </w:rPr>
        <w:t xml:space="preserve"> kancelársky papier alebo benzín. </w:t>
      </w:r>
      <w:r>
        <w:rPr>
          <w:rFonts w:ascii="Times New Roman" w:hAnsi="Times New Roman"/>
          <w:sz w:val="24"/>
          <w:szCs w:val="24"/>
        </w:rPr>
        <w:t>Systém elektronického trhoviska však n</w:t>
      </w:r>
      <w:r w:rsidRPr="001A517F">
        <w:rPr>
          <w:rFonts w:ascii="Times New Roman" w:hAnsi="Times New Roman"/>
          <w:sz w:val="24"/>
          <w:szCs w:val="24"/>
        </w:rPr>
        <w:t>eumožňuje vložiť vlastnú zmluvu ani použiť zložitejšie kritériá. Na trhovisku nie je možné požiadať ani o preukázanie finančného a ekonomického postavenia, technickej a</w:t>
      </w:r>
      <w:r>
        <w:rPr>
          <w:rFonts w:ascii="Times New Roman" w:hAnsi="Times New Roman"/>
          <w:sz w:val="24"/>
          <w:szCs w:val="24"/>
        </w:rPr>
        <w:t>ni</w:t>
      </w:r>
      <w:r w:rsidRPr="001A517F">
        <w:rPr>
          <w:rFonts w:ascii="Times New Roman" w:hAnsi="Times New Roman"/>
          <w:sz w:val="24"/>
          <w:szCs w:val="24"/>
        </w:rPr>
        <w:t xml:space="preserve"> odbornej spôsobilosti. Doplnením možnosti rozhodnúť sa pre </w:t>
      </w:r>
      <w:r w:rsidRPr="00AD043C">
        <w:rPr>
          <w:rFonts w:ascii="Times New Roman" w:hAnsi="Times New Roman"/>
          <w:sz w:val="24"/>
          <w:szCs w:val="24"/>
        </w:rPr>
        <w:t>použitie podlimitného postupu zadávania zákazky bez elektronického trhoviska aj na bežne dostupné tovary, služby alebo stavebné práce sa vhodne rozšíria možnosti verejných obstarávateľov na zabezpečenie požadovaných</w:t>
      </w:r>
      <w:r w:rsidRPr="001A517F">
        <w:rPr>
          <w:rFonts w:ascii="Times New Roman" w:hAnsi="Times New Roman"/>
          <w:sz w:val="24"/>
          <w:szCs w:val="24"/>
        </w:rPr>
        <w:t xml:space="preserve"> tovarov, služieb a stavebných prác. V spojení so znížením administratívnej náročnosti a možnosti použiť jednoobálkové predkladanie ponúk, ktoré prispeje aj k skráteniu času potrebného na podpísanie zmluvy, sa doplnia možnosti verejných obstarávateľov na zabezpečenie potrebných tovarov, služieb alebo stavebných prác. Zároveň sa predíde možným špekuláciám pri odôvodňovaní inej ako bežnej dostupnosti na trhu. Verejným obstarávateľom sa tiež umožní využiť</w:t>
      </w:r>
      <w:r w:rsidRPr="001A517F">
        <w:rPr>
          <w:rFonts w:ascii="Times New Roman" w:hAnsi="Times New Roman"/>
          <w:b/>
          <w:sz w:val="24"/>
          <w:szCs w:val="24"/>
        </w:rPr>
        <w:t xml:space="preserve"> </w:t>
      </w:r>
      <w:r w:rsidRPr="001A517F">
        <w:rPr>
          <w:rFonts w:ascii="Times New Roman" w:hAnsi="Times New Roman"/>
          <w:sz w:val="24"/>
          <w:szCs w:val="24"/>
        </w:rPr>
        <w:t>rôznorodosť</w:t>
      </w:r>
      <w:r w:rsidRPr="001A517F">
        <w:rPr>
          <w:rFonts w:ascii="Times New Roman" w:hAnsi="Times New Roman"/>
          <w:b/>
          <w:sz w:val="24"/>
          <w:szCs w:val="24"/>
        </w:rPr>
        <w:t xml:space="preserve"> </w:t>
      </w:r>
      <w:r w:rsidRPr="001A517F">
        <w:rPr>
          <w:rFonts w:ascii="Times New Roman" w:hAnsi="Times New Roman"/>
          <w:sz w:val="24"/>
          <w:szCs w:val="24"/>
        </w:rPr>
        <w:t>kritérií, ktorými môžu dosiahnuť úspory pri servise, údržbe, či prevádzkových nákladoch.</w:t>
      </w:r>
    </w:p>
    <w:p w:rsidR="004C39EE" w:rsidRPr="001A517F" w:rsidP="004C39EE">
      <w:pPr>
        <w:tabs>
          <w:tab w:val="left" w:pos="5670"/>
        </w:tabs>
        <w:bidi w:val="0"/>
        <w:spacing w:after="0"/>
        <w:jc w:val="both"/>
        <w:rPr>
          <w:rFonts w:ascii="Times New Roman" w:hAnsi="Times New Roman"/>
          <w:sz w:val="24"/>
          <w:szCs w:val="24"/>
        </w:rPr>
      </w:pPr>
    </w:p>
    <w:p w:rsidR="004C39EE" w:rsidRPr="001A517F" w:rsidP="004C39EE">
      <w:pPr>
        <w:bidi w:val="0"/>
        <w:spacing w:after="0"/>
        <w:jc w:val="both"/>
        <w:rPr>
          <w:rFonts w:ascii="Times New Roman" w:hAnsi="Times New Roman"/>
          <w:b/>
          <w:sz w:val="24"/>
          <w:szCs w:val="24"/>
          <w:u w:val="single"/>
        </w:rPr>
      </w:pPr>
      <w:r w:rsidRPr="005B6912">
        <w:rPr>
          <w:rFonts w:ascii="Times New Roman" w:hAnsi="Times New Roman"/>
          <w:b/>
          <w:sz w:val="24"/>
          <w:szCs w:val="24"/>
          <w:u w:val="single"/>
        </w:rPr>
        <w:t>K čl. I, 8. bodu</w:t>
      </w:r>
    </w:p>
    <w:p w:rsidR="004C39EE" w:rsidRPr="001A517F" w:rsidP="004C39EE">
      <w:pPr>
        <w:bidi w:val="0"/>
        <w:ind w:firstLine="709"/>
        <w:jc w:val="both"/>
        <w:rPr>
          <w:rFonts w:ascii="Times New Roman" w:hAnsi="Times New Roman"/>
          <w:sz w:val="24"/>
          <w:szCs w:val="24"/>
        </w:rPr>
      </w:pPr>
      <w:r w:rsidRPr="001A517F">
        <w:rPr>
          <w:rFonts w:ascii="Times New Roman" w:hAnsi="Times New Roman"/>
          <w:sz w:val="24"/>
          <w:szCs w:val="24"/>
        </w:rPr>
        <w:t xml:space="preserve">Cieľom navrhovanej legislatívnej zmeny je zjednodušenie podlimitného postupu zadávania zákazky bez elektronického trhoviska </w:t>
      </w:r>
      <w:r w:rsidRPr="00AD043C">
        <w:rPr>
          <w:rFonts w:ascii="Times New Roman" w:hAnsi="Times New Roman"/>
          <w:sz w:val="24"/>
          <w:szCs w:val="24"/>
        </w:rPr>
        <w:t>návratom k tzv. jednoobálkovému systému</w:t>
      </w:r>
      <w:r w:rsidRPr="001A517F">
        <w:rPr>
          <w:rFonts w:ascii="Times New Roman" w:hAnsi="Times New Roman"/>
          <w:b/>
          <w:sz w:val="24"/>
          <w:szCs w:val="24"/>
        </w:rPr>
        <w:t xml:space="preserve"> </w:t>
      </w:r>
      <w:r w:rsidRPr="001A517F">
        <w:rPr>
          <w:rFonts w:ascii="Times New Roman" w:hAnsi="Times New Roman"/>
          <w:sz w:val="24"/>
          <w:szCs w:val="24"/>
        </w:rPr>
        <w:t xml:space="preserve">predkladania ponúk. </w:t>
      </w:r>
    </w:p>
    <w:p w:rsidR="004C39EE" w:rsidRPr="001A517F" w:rsidP="004C39EE">
      <w:pPr>
        <w:tabs>
          <w:tab w:val="left" w:pos="0"/>
        </w:tabs>
        <w:bidi w:val="0"/>
        <w:spacing w:after="0"/>
        <w:jc w:val="both"/>
        <w:rPr>
          <w:rFonts w:ascii="Times New Roman" w:hAnsi="Times New Roman"/>
          <w:sz w:val="24"/>
          <w:szCs w:val="24"/>
        </w:rPr>
      </w:pPr>
      <w:r>
        <w:rPr>
          <w:rFonts w:ascii="Times New Roman" w:hAnsi="Times New Roman"/>
          <w:sz w:val="24"/>
          <w:szCs w:val="24"/>
        </w:rPr>
        <w:tab/>
      </w:r>
      <w:r w:rsidRPr="001A517F">
        <w:rPr>
          <w:rFonts w:ascii="Times New Roman" w:hAnsi="Times New Roman"/>
          <w:sz w:val="24"/>
          <w:szCs w:val="24"/>
        </w:rPr>
        <w:t xml:space="preserve">Využívaním súčasného dvojobálkového systému dochádza k predlžovaniu </w:t>
      </w:r>
      <w:r>
        <w:rPr>
          <w:rFonts w:ascii="Times New Roman" w:hAnsi="Times New Roman"/>
          <w:sz w:val="24"/>
          <w:szCs w:val="24"/>
        </w:rPr>
        <w:t>doby</w:t>
      </w:r>
      <w:r w:rsidRPr="001A517F">
        <w:rPr>
          <w:rFonts w:ascii="Times New Roman" w:hAnsi="Times New Roman"/>
          <w:sz w:val="24"/>
          <w:szCs w:val="24"/>
        </w:rPr>
        <w:t xml:space="preserve"> potrebnej na uzavretie zmluvy, ktoré je častokrát zbytočné. Navrhovaná zmena skráti postup verejného obstarávania minimálne o 10 dní, počas ktorých museli verejní obstarávatelia čakať na uplynutie lehoty pre otváranie </w:t>
      </w:r>
      <w:r>
        <w:rPr>
          <w:rFonts w:ascii="Times New Roman" w:hAnsi="Times New Roman"/>
          <w:sz w:val="24"/>
          <w:szCs w:val="24"/>
        </w:rPr>
        <w:t>časti označenej ako „Kritériá“.</w:t>
      </w:r>
      <w:r w:rsidRPr="001A517F">
        <w:rPr>
          <w:rFonts w:ascii="Times New Roman" w:hAnsi="Times New Roman"/>
          <w:sz w:val="24"/>
          <w:szCs w:val="24"/>
        </w:rPr>
        <w:t xml:space="preserve"> Využitím jednoobálkového postupu sa verejní obstarávatelia oslobodia aj od ďalších úkonov, akými sú napríklad povinnosť zverejňovať informáciu o otváraní ponúk časti označenej ako „Ostatné“ a „Kritériá“ na profile a zasielaniu oznámenia podľa § 166. Zároveň sa zrýchli konanie o námietkach. Legislatívna zmena nemá negatívny vplyv na verejné financie, zrýchľuje proces verejného obstarávania a znižuje je administratívnu náročnosť.</w:t>
      </w:r>
    </w:p>
    <w:p w:rsidR="004C39EE" w:rsidRPr="001A517F" w:rsidP="004C39EE">
      <w:pPr>
        <w:bidi w:val="0"/>
        <w:spacing w:after="0"/>
        <w:jc w:val="both"/>
        <w:rPr>
          <w:rFonts w:ascii="Times New Roman" w:hAnsi="Times New Roman"/>
          <w:b/>
          <w:sz w:val="24"/>
          <w:szCs w:val="24"/>
          <w:u w:val="single"/>
        </w:rPr>
      </w:pPr>
    </w:p>
    <w:p w:rsidR="004C39EE" w:rsidRPr="005B6912" w:rsidP="004C39EE">
      <w:pPr>
        <w:bidi w:val="0"/>
        <w:spacing w:after="0"/>
        <w:jc w:val="both"/>
        <w:rPr>
          <w:rFonts w:ascii="Times New Roman" w:hAnsi="Times New Roman"/>
          <w:b/>
          <w:sz w:val="24"/>
          <w:szCs w:val="24"/>
          <w:u w:val="single"/>
          <w:lang w:val="en-US"/>
        </w:rPr>
      </w:pPr>
      <w:r w:rsidRPr="005B6912">
        <w:rPr>
          <w:rFonts w:ascii="Times New Roman" w:hAnsi="Times New Roman"/>
          <w:b/>
          <w:sz w:val="24"/>
          <w:szCs w:val="24"/>
          <w:u w:val="single"/>
        </w:rPr>
        <w:t>K čl. I, 9. bodu</w:t>
      </w:r>
    </w:p>
    <w:p w:rsidR="004C39EE" w:rsidP="004C39EE">
      <w:pPr>
        <w:bidi w:val="0"/>
        <w:spacing w:after="0"/>
        <w:ind w:firstLine="709"/>
        <w:jc w:val="both"/>
        <w:rPr>
          <w:rFonts w:ascii="Times New Roman" w:hAnsi="Times New Roman"/>
          <w:sz w:val="24"/>
          <w:szCs w:val="24"/>
        </w:rPr>
      </w:pPr>
      <w:r w:rsidRPr="001A517F">
        <w:rPr>
          <w:rFonts w:ascii="Times New Roman" w:hAnsi="Times New Roman"/>
          <w:sz w:val="24"/>
          <w:szCs w:val="24"/>
        </w:rPr>
        <w:t xml:space="preserve">Nový zákon o verejnom obstarávaní umožnil verejným obstarávateľom v § 66 ods. 7 pri nadlimitnom postupe zadávania zákazky použiť tzv. reverzný postup. Bez ohľadu na to, či sa uchádzači rozhodnú predložiť jednotlivé doklady na preukázanie splnenia podmienok účasti alebo prostredníctvom Jednotného európskeho dokumentu, je vhodné umožniť verejným obstarávateľom </w:t>
      </w:r>
      <w:r w:rsidRPr="00AD043C">
        <w:rPr>
          <w:rFonts w:ascii="Times New Roman" w:hAnsi="Times New Roman"/>
          <w:sz w:val="24"/>
          <w:szCs w:val="24"/>
        </w:rPr>
        <w:t>zmeniť poradie vyhodnocovania dokumentov</w:t>
      </w:r>
      <w:r w:rsidRPr="001A517F">
        <w:rPr>
          <w:rFonts w:ascii="Times New Roman" w:hAnsi="Times New Roman"/>
          <w:sz w:val="24"/>
          <w:szCs w:val="24"/>
        </w:rPr>
        <w:t xml:space="preserve"> aj v prípade podlimitných zákaziek, pretože to prispeje k urýchleniu a teda zefektívneniu procesu verejného obstarávania.</w:t>
      </w:r>
    </w:p>
    <w:p w:rsidR="004C39EE" w:rsidP="004C39EE">
      <w:pPr>
        <w:bidi w:val="0"/>
        <w:spacing w:after="0"/>
        <w:ind w:firstLine="709"/>
        <w:jc w:val="both"/>
        <w:rPr>
          <w:rFonts w:ascii="Times New Roman" w:hAnsi="Times New Roman"/>
          <w:sz w:val="24"/>
          <w:szCs w:val="24"/>
        </w:rPr>
      </w:pPr>
    </w:p>
    <w:p w:rsidR="004C39EE" w:rsidRPr="00956995" w:rsidP="004C39EE">
      <w:pPr>
        <w:bidi w:val="0"/>
        <w:spacing w:after="0"/>
        <w:jc w:val="both"/>
        <w:rPr>
          <w:rFonts w:ascii="Times New Roman" w:hAnsi="Times New Roman"/>
          <w:b/>
          <w:sz w:val="24"/>
          <w:szCs w:val="24"/>
          <w:u w:val="single"/>
        </w:rPr>
      </w:pPr>
      <w:r>
        <w:rPr>
          <w:rFonts w:ascii="Times New Roman" w:hAnsi="Times New Roman"/>
          <w:b/>
          <w:sz w:val="24"/>
          <w:szCs w:val="24"/>
          <w:u w:val="single"/>
        </w:rPr>
        <w:t>K čl. I, 10. bodu</w:t>
      </w:r>
    </w:p>
    <w:p w:rsidR="004C39EE" w:rsidRPr="001135F3" w:rsidP="004C39EE">
      <w:pPr>
        <w:bidi w:val="0"/>
        <w:spacing w:after="0"/>
        <w:jc w:val="both"/>
        <w:rPr>
          <w:rFonts w:ascii="Times New Roman" w:hAnsi="Times New Roman"/>
          <w:sz w:val="24"/>
          <w:szCs w:val="24"/>
        </w:rPr>
      </w:pPr>
      <w:r w:rsidRPr="001A0279">
        <w:rPr>
          <w:rFonts w:ascii="Times New Roman" w:hAnsi="Times New Roman"/>
          <w:b/>
          <w:sz w:val="24"/>
          <w:szCs w:val="24"/>
        </w:rPr>
        <w:tab/>
      </w:r>
      <w:r w:rsidRPr="001A0279">
        <w:rPr>
          <w:rFonts w:ascii="Times New Roman" w:hAnsi="Times New Roman"/>
          <w:sz w:val="24"/>
          <w:szCs w:val="24"/>
        </w:rPr>
        <w:t xml:space="preserve">Prechodné ustanovenia sú formulované tak, </w:t>
      </w:r>
      <w:r>
        <w:rPr>
          <w:rFonts w:ascii="Times New Roman" w:hAnsi="Times New Roman"/>
          <w:sz w:val="24"/>
          <w:szCs w:val="24"/>
        </w:rPr>
        <w:t>aby sa verejné obstarávania začaté pred 31. októbrom 2017 vrátane riadili predpismi účinnými do tohto dátumu a </w:t>
      </w:r>
      <w:r w:rsidRPr="001135F3">
        <w:rPr>
          <w:rFonts w:ascii="Times New Roman" w:hAnsi="Times New Roman"/>
          <w:sz w:val="24"/>
          <w:szCs w:val="24"/>
        </w:rPr>
        <w:t>aby sa podľa novej právnej úpravy účinnej od 1. novembra 2017 postupovalo vo verejnom obstarávaní začatom po tomto dátume.</w:t>
      </w:r>
    </w:p>
    <w:p w:rsidR="004C39EE" w:rsidRPr="0090561C" w:rsidP="004C39EE">
      <w:pPr>
        <w:bidi w:val="0"/>
        <w:spacing w:after="0"/>
        <w:jc w:val="both"/>
        <w:rPr>
          <w:rFonts w:ascii="Times New Roman" w:hAnsi="Times New Roman"/>
          <w:b/>
          <w:sz w:val="24"/>
          <w:szCs w:val="24"/>
          <w:u w:val="single"/>
        </w:rPr>
      </w:pPr>
    </w:p>
    <w:p w:rsidR="004C39EE" w:rsidRPr="0090561C" w:rsidP="004C39EE">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p>
    <w:p w:rsidR="004C39EE" w:rsidRPr="009A7EE2" w:rsidP="004C39EE">
      <w:pPr>
        <w:pStyle w:val="ListParagraph"/>
        <w:bidi w:val="0"/>
        <w:ind w:left="0" w:firstLine="720"/>
        <w:jc w:val="both"/>
        <w:rPr>
          <w:rFonts w:ascii="Times New Roman" w:hAnsi="Times New Roman"/>
        </w:rPr>
      </w:pPr>
      <w:r w:rsidRPr="0090561C">
        <w:rPr>
          <w:rFonts w:ascii="Times New Roman" w:hAnsi="Times New Roman"/>
          <w:sz w:val="24"/>
          <w:szCs w:val="24"/>
        </w:rPr>
        <w:t>Ustanovuje sa účinnosť návrhu zákona tak, aby termínovo napĺňala všetky lehoty</w:t>
      </w:r>
      <w:r>
        <w:rPr>
          <w:rFonts w:ascii="Times New Roman" w:hAnsi="Times New Roman"/>
          <w:sz w:val="24"/>
          <w:szCs w:val="24"/>
        </w:rPr>
        <w:t xml:space="preserve"> </w:t>
      </w:r>
      <w:r w:rsidRPr="0090561C">
        <w:rPr>
          <w:rFonts w:ascii="Times New Roman" w:hAnsi="Times New Roman"/>
          <w:sz w:val="24"/>
          <w:szCs w:val="24"/>
        </w:rPr>
        <w:t>procesu prerokúvania a schvaľovania zákonov Národnou radou Slovenskej republiky.</w:t>
      </w:r>
    </w:p>
    <w:p w:rsidR="004C39EE" w:rsidRPr="009A7EE2" w:rsidP="004C39EE">
      <w:pPr>
        <w:pStyle w:val="ListParagraph"/>
        <w:bidi w:val="0"/>
        <w:jc w:val="both"/>
        <w:rPr>
          <w:rFonts w:ascii="Times New Roman" w:hAnsi="Times New Roman"/>
          <w:sz w:val="24"/>
          <w:szCs w:val="24"/>
        </w:rPr>
      </w:pPr>
    </w:p>
    <w:p w:rsidR="004C39EE" w:rsidRPr="00B06366" w:rsidP="004C39EE">
      <w:pPr>
        <w:pStyle w:val="ListParagraph"/>
        <w:bidi w:val="0"/>
        <w:jc w:val="both"/>
        <w:rPr>
          <w:rFonts w:ascii="Times New Roman" w:hAnsi="Times New Roman"/>
          <w:i/>
          <w:sz w:val="24"/>
          <w:szCs w:val="24"/>
        </w:rPr>
      </w:pPr>
    </w:p>
    <w:p w:rsidR="004C39EE" w:rsidRPr="00C61B44" w:rsidP="004C39EE">
      <w:pPr>
        <w:bidi w:val="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4C39EE">
      <w:pPr>
        <w:pStyle w:val="ListParagraph"/>
        <w:bidi w:val="0"/>
        <w:ind w:left="0"/>
        <w:jc w:val="both"/>
        <w:rPr>
          <w:rFonts w:ascii="Times New Roman" w:hAnsi="Times New Roman"/>
          <w:i/>
          <w:sz w:val="24"/>
          <w:szCs w:val="24"/>
        </w:rPr>
      </w:pPr>
    </w:p>
    <w:p w:rsidR="004C39EE" w:rsidP="00237EE1">
      <w:pPr>
        <w:bidi w:val="0"/>
        <w:rPr>
          <w:rFonts w:ascii="Times New Roman" w:hAnsi="Times New Roman"/>
          <w:sz w:val="24"/>
          <w:szCs w:val="24"/>
        </w:rPr>
      </w:pPr>
      <w:r w:rsidRPr="00B06366">
        <w:rPr>
          <w:rFonts w:ascii="Times New Roman" w:hAnsi="Times New Roman"/>
          <w:sz w:val="24"/>
          <w:szCs w:val="24"/>
        </w:rPr>
        <w:t xml:space="preserve"> </w:t>
      </w:r>
    </w:p>
    <w:p w:rsidR="004C39EE" w:rsidRPr="00B06366" w:rsidP="004C39EE">
      <w:pPr>
        <w:bidi w:val="0"/>
        <w:jc w:val="center"/>
        <w:rPr>
          <w:rFonts w:ascii="Times New Roman" w:hAnsi="Times New Roman"/>
          <w:b/>
          <w:sz w:val="24"/>
          <w:szCs w:val="24"/>
        </w:rPr>
      </w:pPr>
      <w:r w:rsidRPr="00B06366">
        <w:rPr>
          <w:rFonts w:ascii="Times New Roman" w:hAnsi="Times New Roman"/>
          <w:b/>
          <w:sz w:val="24"/>
          <w:szCs w:val="24"/>
        </w:rPr>
        <w:t>DOLOŽKA ZLUČITEĽNOSTI</w:t>
      </w:r>
    </w:p>
    <w:p w:rsidR="004C39EE" w:rsidRPr="00B06366" w:rsidP="004C39EE">
      <w:pPr>
        <w:bidi w:val="0"/>
        <w:jc w:val="center"/>
        <w:rPr>
          <w:rFonts w:ascii="Times New Roman" w:hAnsi="Times New Roman"/>
          <w:b/>
          <w:sz w:val="24"/>
          <w:szCs w:val="24"/>
        </w:rPr>
      </w:pPr>
      <w:r w:rsidRPr="00B06366">
        <w:rPr>
          <w:rFonts w:ascii="Times New Roman" w:hAnsi="Times New Roman"/>
          <w:b/>
          <w:sz w:val="24"/>
          <w:szCs w:val="24"/>
        </w:rPr>
        <w:t>právneho predpisu s právom Európskej únie</w:t>
      </w:r>
    </w:p>
    <w:p w:rsidR="004C39EE" w:rsidRPr="00DA4F85" w:rsidP="004C39EE">
      <w:pPr>
        <w:bidi w:val="0"/>
        <w:spacing w:before="80" w:after="120"/>
        <w:jc w:val="both"/>
        <w:rPr>
          <w:rFonts w:ascii="Times New Roman" w:hAnsi="Times New Roman"/>
          <w:sz w:val="24"/>
          <w:szCs w:val="24"/>
        </w:rPr>
      </w:pPr>
    </w:p>
    <w:p w:rsidR="004C39EE" w:rsidRPr="00DA4F85" w:rsidP="004C39EE">
      <w:pPr>
        <w:numPr>
          <w:numId w:val="2"/>
        </w:numPr>
        <w:bidi w:val="0"/>
        <w:spacing w:after="0" w:line="240" w:lineRule="auto"/>
        <w:jc w:val="both"/>
        <w:rPr>
          <w:rFonts w:ascii="Times New Roman" w:hAnsi="Times New Roman"/>
          <w:sz w:val="24"/>
          <w:szCs w:val="24"/>
        </w:rPr>
      </w:pPr>
      <w:r w:rsidRPr="00DA4F85">
        <w:rPr>
          <w:rFonts w:ascii="Times New Roman" w:hAnsi="Times New Roman"/>
          <w:b/>
          <w:sz w:val="24"/>
          <w:szCs w:val="24"/>
        </w:rPr>
        <w:t>Navrhovateľ zákona</w:t>
      </w:r>
      <w:r w:rsidRPr="00DA4F85">
        <w:rPr>
          <w:rFonts w:ascii="Times New Roman" w:hAnsi="Times New Roman"/>
          <w:sz w:val="24"/>
          <w:szCs w:val="24"/>
        </w:rPr>
        <w:t>:</w:t>
      </w:r>
    </w:p>
    <w:p w:rsidR="004C39EE" w:rsidRPr="00DA4F85" w:rsidP="004C39EE">
      <w:pPr>
        <w:pStyle w:val="ListParagraph"/>
        <w:bidi w:val="0"/>
        <w:ind w:left="1068"/>
        <w:jc w:val="both"/>
        <w:rPr>
          <w:rFonts w:ascii="Times New Roman" w:hAnsi="Times New Roman"/>
          <w:sz w:val="24"/>
          <w:szCs w:val="24"/>
        </w:rPr>
      </w:pPr>
      <w:r w:rsidRPr="00DA4F85">
        <w:rPr>
          <w:rFonts w:ascii="Times New Roman" w:hAnsi="Times New Roman"/>
          <w:sz w:val="24"/>
          <w:szCs w:val="24"/>
        </w:rPr>
        <w:t>Poslanci Národnej rady Slovenskej republiky Peter Antal, Béla Bugár a Gábor Gál</w:t>
      </w:r>
    </w:p>
    <w:p w:rsidR="004C39EE" w:rsidRPr="00DA4F85" w:rsidP="004C39EE">
      <w:pPr>
        <w:bidi w:val="0"/>
        <w:ind w:left="708"/>
        <w:jc w:val="both"/>
        <w:rPr>
          <w:rFonts w:ascii="Times New Roman" w:hAnsi="Times New Roman"/>
          <w:sz w:val="24"/>
          <w:szCs w:val="24"/>
        </w:rPr>
      </w:pPr>
    </w:p>
    <w:p w:rsidR="004C39EE" w:rsidRPr="00DA4F85" w:rsidP="004C39EE">
      <w:pPr>
        <w:numPr>
          <w:numId w:val="2"/>
        </w:numPr>
        <w:bidi w:val="0"/>
        <w:spacing w:after="0" w:line="240" w:lineRule="auto"/>
        <w:jc w:val="both"/>
        <w:rPr>
          <w:rFonts w:ascii="Times New Roman" w:hAnsi="Times New Roman"/>
          <w:sz w:val="24"/>
          <w:szCs w:val="24"/>
        </w:rPr>
      </w:pPr>
      <w:r w:rsidRPr="00DA4F85">
        <w:rPr>
          <w:rFonts w:ascii="Times New Roman" w:hAnsi="Times New Roman"/>
          <w:b/>
          <w:sz w:val="24"/>
          <w:szCs w:val="24"/>
        </w:rPr>
        <w:t>Názov návrhu zákona</w:t>
      </w:r>
      <w:r w:rsidRPr="00DA4F85">
        <w:rPr>
          <w:rFonts w:ascii="Times New Roman" w:hAnsi="Times New Roman"/>
          <w:sz w:val="24"/>
          <w:szCs w:val="24"/>
        </w:rPr>
        <w:t>:</w:t>
      </w:r>
    </w:p>
    <w:p w:rsidR="004C39EE" w:rsidRPr="00DA4F85" w:rsidP="004C39EE">
      <w:pPr>
        <w:bidi w:val="0"/>
        <w:ind w:left="708" w:firstLine="360"/>
        <w:jc w:val="both"/>
        <w:rPr>
          <w:rFonts w:ascii="Times New Roman" w:hAnsi="Times New Roman"/>
          <w:sz w:val="24"/>
          <w:szCs w:val="24"/>
        </w:rPr>
      </w:pPr>
      <w:r w:rsidRPr="00DA4F85">
        <w:rPr>
          <w:rFonts w:ascii="Times New Roman" w:hAnsi="Times New Roman"/>
          <w:sz w:val="24"/>
          <w:szCs w:val="24"/>
        </w:rPr>
        <w:t xml:space="preserve">Návrh zákona, ktorým sa mení a dopĺňa zákon č. 343/2015 Z. z. o verejnom </w:t>
      </w:r>
    </w:p>
    <w:p w:rsidR="004C39EE" w:rsidRPr="00DA4F85" w:rsidP="004C39EE">
      <w:pPr>
        <w:bidi w:val="0"/>
        <w:ind w:left="708" w:firstLine="360"/>
        <w:jc w:val="both"/>
        <w:rPr>
          <w:rFonts w:ascii="Times New Roman" w:hAnsi="Times New Roman"/>
          <w:sz w:val="24"/>
          <w:szCs w:val="24"/>
        </w:rPr>
      </w:pPr>
      <w:r w:rsidRPr="00DA4F85">
        <w:rPr>
          <w:rFonts w:ascii="Times New Roman" w:hAnsi="Times New Roman"/>
          <w:sz w:val="24"/>
          <w:szCs w:val="24"/>
        </w:rPr>
        <w:t>obstarávaní a o zmene a doplnení niektorých zákonov v znení neskorších predpisov</w:t>
      </w:r>
    </w:p>
    <w:p w:rsidR="004C39EE" w:rsidRPr="00DA4F85" w:rsidP="004C39EE">
      <w:pPr>
        <w:bidi w:val="0"/>
        <w:ind w:left="708" w:firstLine="360"/>
        <w:jc w:val="both"/>
        <w:rPr>
          <w:rFonts w:ascii="Times New Roman" w:hAnsi="Times New Roman"/>
          <w:sz w:val="24"/>
          <w:szCs w:val="24"/>
        </w:rPr>
      </w:pPr>
    </w:p>
    <w:p w:rsidR="004C39EE" w:rsidRPr="00DA4F85" w:rsidP="004C39EE">
      <w:pPr>
        <w:numPr>
          <w:numId w:val="2"/>
        </w:numPr>
        <w:bidi w:val="0"/>
        <w:spacing w:after="0" w:line="240" w:lineRule="auto"/>
        <w:jc w:val="both"/>
        <w:rPr>
          <w:rFonts w:ascii="Times New Roman" w:hAnsi="Times New Roman"/>
          <w:sz w:val="24"/>
          <w:szCs w:val="24"/>
        </w:rPr>
      </w:pPr>
      <w:r w:rsidRPr="00DA4F85">
        <w:rPr>
          <w:rFonts w:ascii="Times New Roman" w:hAnsi="Times New Roman"/>
          <w:b/>
          <w:sz w:val="24"/>
          <w:szCs w:val="24"/>
        </w:rPr>
        <w:t>Predmet návrhu zákona je upravený v práve Európskej únie</w:t>
      </w:r>
      <w:r w:rsidRPr="00DA4F85">
        <w:rPr>
          <w:rFonts w:ascii="Times New Roman" w:hAnsi="Times New Roman"/>
          <w:sz w:val="24"/>
          <w:szCs w:val="24"/>
        </w:rPr>
        <w:t>:</w:t>
      </w:r>
    </w:p>
    <w:p w:rsidR="004C39EE" w:rsidRPr="00DA4F85" w:rsidP="004C39EE">
      <w:pPr>
        <w:bidi w:val="0"/>
        <w:ind w:left="1068"/>
        <w:jc w:val="both"/>
        <w:rPr>
          <w:rFonts w:ascii="Times New Roman" w:hAnsi="Times New Roman"/>
          <w:sz w:val="24"/>
          <w:szCs w:val="24"/>
        </w:rPr>
      </w:pPr>
    </w:p>
    <w:p w:rsidR="004C39EE" w:rsidRPr="00DA4F85" w:rsidP="004C39EE">
      <w:pPr>
        <w:bidi w:val="0"/>
        <w:ind w:left="708"/>
        <w:jc w:val="both"/>
        <w:rPr>
          <w:rFonts w:ascii="Times New Roman" w:hAnsi="Times New Roman"/>
          <w:sz w:val="24"/>
          <w:szCs w:val="24"/>
        </w:rPr>
      </w:pPr>
      <w:r w:rsidRPr="00DA4F85">
        <w:rPr>
          <w:rFonts w:ascii="Times New Roman" w:hAnsi="Times New Roman"/>
          <w:sz w:val="24"/>
          <w:szCs w:val="24"/>
        </w:rPr>
        <w:t xml:space="preserve">       a)   v primárnom práve – čl. 26 a 114 Zmluvy o fungovaní Európskej únie</w:t>
      </w:r>
    </w:p>
    <w:p w:rsidR="004C39EE" w:rsidRPr="00DA4F85" w:rsidP="004C39EE">
      <w:pPr>
        <w:bidi w:val="0"/>
        <w:ind w:left="708"/>
        <w:jc w:val="both"/>
        <w:rPr>
          <w:rFonts w:ascii="Times New Roman" w:hAnsi="Times New Roman"/>
          <w:sz w:val="24"/>
          <w:szCs w:val="24"/>
        </w:rPr>
      </w:pPr>
    </w:p>
    <w:p w:rsidR="004C39EE" w:rsidRPr="00DA4F85" w:rsidP="004C39EE">
      <w:pPr>
        <w:numPr>
          <w:numId w:val="3"/>
        </w:numPr>
        <w:bidi w:val="0"/>
        <w:spacing w:after="0" w:line="240" w:lineRule="auto"/>
        <w:jc w:val="both"/>
        <w:rPr>
          <w:rFonts w:ascii="Times New Roman" w:hAnsi="Times New Roman"/>
          <w:sz w:val="24"/>
          <w:szCs w:val="24"/>
        </w:rPr>
      </w:pPr>
      <w:r w:rsidRPr="00DA4F85">
        <w:rPr>
          <w:rFonts w:ascii="Times New Roman" w:hAnsi="Times New Roman"/>
          <w:sz w:val="24"/>
          <w:szCs w:val="24"/>
        </w:rPr>
        <w:t>v sekundárnom práve – Smernica Európskeho parlamentu a Rady 2014/24/EÚ z 26. 2. 2014 o verejnom obstarávaní a zrušení smernice 2004/18/ES</w:t>
      </w:r>
    </w:p>
    <w:p w:rsidR="004C39EE" w:rsidRPr="00DA4F85" w:rsidP="004C39EE">
      <w:pPr>
        <w:bidi w:val="0"/>
        <w:ind w:left="1500"/>
        <w:jc w:val="both"/>
        <w:rPr>
          <w:rFonts w:ascii="Times New Roman" w:hAnsi="Times New Roman"/>
          <w:sz w:val="24"/>
          <w:szCs w:val="24"/>
        </w:rPr>
      </w:pPr>
    </w:p>
    <w:p w:rsidR="004C39EE" w:rsidRPr="00DA4F85" w:rsidP="004C39EE">
      <w:pPr>
        <w:numPr>
          <w:numId w:val="3"/>
        </w:numPr>
        <w:bidi w:val="0"/>
        <w:spacing w:after="0" w:line="240" w:lineRule="auto"/>
        <w:jc w:val="both"/>
        <w:rPr>
          <w:rFonts w:ascii="Times New Roman" w:hAnsi="Times New Roman"/>
          <w:sz w:val="24"/>
          <w:szCs w:val="24"/>
        </w:rPr>
      </w:pPr>
      <w:r w:rsidRPr="00DA4F85">
        <w:rPr>
          <w:rFonts w:ascii="Times New Roman" w:hAnsi="Times New Roman"/>
          <w:sz w:val="24"/>
          <w:szCs w:val="24"/>
        </w:rPr>
        <w:t>v judikatúre Súdneho dvora Európskej únie - bezpredmetné</w:t>
      </w:r>
    </w:p>
    <w:p w:rsidR="004C39EE" w:rsidRPr="00DA4F85" w:rsidP="004C39EE">
      <w:pPr>
        <w:bidi w:val="0"/>
        <w:ind w:left="1080"/>
        <w:jc w:val="both"/>
        <w:rPr>
          <w:rFonts w:ascii="Times New Roman" w:hAnsi="Times New Roman"/>
          <w:sz w:val="24"/>
          <w:szCs w:val="24"/>
        </w:rPr>
      </w:pPr>
    </w:p>
    <w:p w:rsidR="004C39EE" w:rsidRPr="00DA4F85" w:rsidP="004C39EE">
      <w:pPr>
        <w:bidi w:val="0"/>
        <w:spacing w:before="80" w:after="80"/>
        <w:ind w:left="708"/>
        <w:jc w:val="both"/>
        <w:rPr>
          <w:rFonts w:ascii="Times New Roman" w:hAnsi="Times New Roman"/>
          <w:sz w:val="24"/>
          <w:szCs w:val="24"/>
        </w:rPr>
      </w:pPr>
      <w:r w:rsidRPr="00DA4F85">
        <w:rPr>
          <w:rFonts w:ascii="Times New Roman" w:hAnsi="Times New Roman"/>
          <w:sz w:val="24"/>
          <w:szCs w:val="24"/>
        </w:rPr>
        <w:t xml:space="preserve"> 4.   </w:t>
      </w:r>
      <w:r w:rsidRPr="00DA4F85">
        <w:rPr>
          <w:rFonts w:ascii="Times New Roman" w:hAnsi="Times New Roman"/>
          <w:b/>
          <w:sz w:val="24"/>
          <w:szCs w:val="24"/>
        </w:rPr>
        <w:t>Záväzky Slovenskej republiky vo vzťahu k Európskej únii</w:t>
      </w:r>
      <w:r w:rsidRPr="00DA4F85">
        <w:rPr>
          <w:rFonts w:ascii="Times New Roman" w:hAnsi="Times New Roman"/>
          <w:sz w:val="24"/>
          <w:szCs w:val="24"/>
        </w:rPr>
        <w:t xml:space="preserve"> - nie sú </w:t>
      </w:r>
    </w:p>
    <w:p w:rsidR="004C39EE" w:rsidRPr="00DA4F85" w:rsidP="004C39EE">
      <w:pPr>
        <w:bidi w:val="0"/>
        <w:spacing w:before="80" w:after="80"/>
        <w:ind w:left="708"/>
        <w:jc w:val="both"/>
        <w:rPr>
          <w:rFonts w:ascii="Times New Roman" w:hAnsi="Times New Roman"/>
          <w:sz w:val="24"/>
          <w:szCs w:val="24"/>
        </w:rPr>
      </w:pPr>
      <w:r w:rsidRPr="00DA4F85">
        <w:rPr>
          <w:rFonts w:ascii="Times New Roman" w:hAnsi="Times New Roman"/>
          <w:b/>
          <w:sz w:val="24"/>
          <w:szCs w:val="24"/>
        </w:rPr>
        <w:t xml:space="preserve">       </w:t>
      </w:r>
      <w:r w:rsidRPr="00DA4F85">
        <w:rPr>
          <w:rFonts w:ascii="Times New Roman" w:hAnsi="Times New Roman"/>
          <w:sz w:val="24"/>
          <w:szCs w:val="24"/>
        </w:rPr>
        <w:t xml:space="preserve">predkladaným návrhom dotknuté; predmetná smernica už je prebraná </w:t>
      </w:r>
    </w:p>
    <w:p w:rsidR="004C39EE" w:rsidRPr="00DA4F85" w:rsidP="004C39EE">
      <w:pPr>
        <w:bidi w:val="0"/>
        <w:spacing w:before="80" w:after="80"/>
        <w:ind w:left="708"/>
        <w:jc w:val="both"/>
        <w:rPr>
          <w:rFonts w:ascii="Times New Roman" w:hAnsi="Times New Roman"/>
          <w:sz w:val="24"/>
          <w:szCs w:val="24"/>
        </w:rPr>
      </w:pPr>
      <w:r w:rsidRPr="00DA4F85">
        <w:rPr>
          <w:rFonts w:ascii="Times New Roman" w:hAnsi="Times New Roman"/>
          <w:sz w:val="24"/>
          <w:szCs w:val="24"/>
        </w:rPr>
        <w:t xml:space="preserve">       v platnom zákone</w:t>
      </w:r>
    </w:p>
    <w:p w:rsidR="004C39EE" w:rsidRPr="00DA4F85" w:rsidP="004C39EE">
      <w:pPr>
        <w:bidi w:val="0"/>
        <w:spacing w:before="80" w:after="80"/>
        <w:ind w:left="1140"/>
        <w:jc w:val="both"/>
        <w:rPr>
          <w:rFonts w:ascii="Times New Roman" w:hAnsi="Times New Roman"/>
          <w:sz w:val="24"/>
          <w:szCs w:val="24"/>
        </w:rPr>
      </w:pPr>
    </w:p>
    <w:p w:rsidR="004C39EE" w:rsidRPr="00DA4F85" w:rsidP="004C39EE">
      <w:pPr>
        <w:bidi w:val="0"/>
        <w:spacing w:before="80" w:after="80"/>
        <w:ind w:left="720"/>
        <w:jc w:val="both"/>
        <w:rPr>
          <w:rFonts w:ascii="Times New Roman" w:hAnsi="Times New Roman"/>
          <w:sz w:val="24"/>
          <w:szCs w:val="24"/>
        </w:rPr>
      </w:pPr>
      <w:r w:rsidRPr="00DA4F85">
        <w:rPr>
          <w:rFonts w:ascii="Times New Roman" w:hAnsi="Times New Roman"/>
          <w:sz w:val="24"/>
          <w:szCs w:val="24"/>
        </w:rPr>
        <w:t xml:space="preserve">5.    </w:t>
      </w:r>
      <w:r w:rsidRPr="00DA4F85">
        <w:rPr>
          <w:rFonts w:ascii="Times New Roman" w:hAnsi="Times New Roman"/>
          <w:b/>
          <w:sz w:val="24"/>
          <w:szCs w:val="24"/>
        </w:rPr>
        <w:t>Návrh zákona je zlučiteľný s právom Európskej únie</w:t>
      </w:r>
      <w:r w:rsidRPr="00DA4F85">
        <w:rPr>
          <w:rFonts w:ascii="Times New Roman" w:hAnsi="Times New Roman"/>
          <w:sz w:val="24"/>
          <w:szCs w:val="24"/>
        </w:rPr>
        <w:t xml:space="preserve">: úplne </w:t>
      </w:r>
    </w:p>
    <w:p w:rsidR="004C39EE" w:rsidP="004C39EE">
      <w:pPr>
        <w:bidi w:val="0"/>
        <w:ind w:left="1080"/>
        <w:jc w:val="both"/>
      </w:pPr>
    </w:p>
    <w:p w:rsidR="004C39EE" w:rsidP="004C39EE">
      <w:pPr>
        <w:pStyle w:val="odsek"/>
        <w:keepNext w:val="0"/>
        <w:widowControl w:val="0"/>
        <w:bidi w:val="0"/>
        <w:ind w:firstLine="0"/>
        <w:rPr>
          <w:rFonts w:ascii="Times New Roman" w:hAnsi="Times New Roman"/>
        </w:rPr>
      </w:pPr>
      <w:r>
        <w:rPr>
          <w:rFonts w:ascii="Times New Roman" w:hAnsi="Times New Roman"/>
        </w:rPr>
        <w:tab/>
      </w:r>
    </w:p>
    <w:p w:rsidR="004C39EE" w:rsidP="004C39EE">
      <w:pPr>
        <w:bidi w:val="0"/>
        <w:spacing w:after="0" w:line="240" w:lineRule="auto"/>
        <w:rPr>
          <w:rFonts w:ascii="Times New Roman" w:hAnsi="Times New Roman"/>
          <w:sz w:val="24"/>
          <w:szCs w:val="24"/>
          <w:lang w:eastAsia="sk-SK"/>
        </w:rPr>
      </w:pPr>
      <w:r>
        <w:br w:type="page"/>
      </w:r>
    </w:p>
    <w:p w:rsidR="004C39EE" w:rsidRPr="009B3D22" w:rsidP="004C39EE">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Doložka vybraných vplyvov</w:t>
      </w:r>
    </w:p>
    <w:p w:rsidR="004C39EE" w:rsidP="004C39EE">
      <w:pPr>
        <w:pStyle w:val="odsek"/>
        <w:keepNext w:val="0"/>
        <w:widowControl w:val="0"/>
        <w:bidi w:val="0"/>
        <w:ind w:firstLine="0"/>
        <w:rPr>
          <w:rFonts w:ascii="Times New Roman" w:hAnsi="Times New Roman"/>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autoSpaceDE w:val="0"/>
              <w:autoSpaceDN w:val="0"/>
              <w:bidi w:val="0"/>
              <w:adjustRightInd w:val="0"/>
              <w:spacing w:after="0" w:line="240" w:lineRule="auto"/>
              <w:jc w:val="both"/>
              <w:rPr>
                <w:rFonts w:ascii="Times" w:hAnsi="Times" w:cs="Times"/>
                <w:b/>
                <w:bCs/>
                <w:sz w:val="20"/>
                <w:szCs w:val="20"/>
              </w:rPr>
            </w:pPr>
            <w:r>
              <w:rPr>
                <w:rFonts w:ascii="Times" w:hAnsi="Times" w:cs="Times"/>
                <w:b/>
                <w:bCs/>
                <w:sz w:val="20"/>
                <w:szCs w:val="20"/>
              </w:rPr>
              <w:t xml:space="preserve">  </w:t>
            </w:r>
            <w:r w:rsidRPr="009B3D22">
              <w:rPr>
                <w:rFonts w:ascii="Times" w:hAnsi="Times" w:cs="Times"/>
                <w:b/>
                <w:bCs/>
                <w:sz w:val="20"/>
                <w:szCs w:val="20"/>
              </w:rPr>
              <w:t>1.  Základné údaje</w:t>
            </w:r>
          </w:p>
        </w:tc>
      </w:tr>
      <w:tr>
        <w:tblPrEx>
          <w:tblW w:w="5000" w:type="pct"/>
          <w:jc w:val="center"/>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tcPr>
          <w:p w:rsidR="004C39EE" w:rsidRPr="009B3D22" w:rsidP="001B1C99">
            <w:pPr>
              <w:autoSpaceDE w:val="0"/>
              <w:autoSpaceDN w:val="0"/>
              <w:bidi w:val="0"/>
              <w:adjustRightInd w:val="0"/>
              <w:spacing w:after="0" w:line="240" w:lineRule="auto"/>
              <w:jc w:val="both"/>
              <w:rPr>
                <w:rFonts w:ascii="Times New Roman" w:hAnsi="Times New Roman"/>
                <w:color w:val="000000"/>
                <w:sz w:val="20"/>
                <w:szCs w:val="20"/>
              </w:rPr>
            </w:pPr>
            <w:r w:rsidRPr="009B3D22">
              <w:rPr>
                <w:rFonts w:ascii="Times" w:hAnsi="Times" w:cs="Times"/>
                <w:b/>
                <w:bCs/>
                <w:sz w:val="20"/>
                <w:szCs w:val="20"/>
              </w:rPr>
              <w:t>  Názov materiálu</w:t>
            </w:r>
            <w:r w:rsidRPr="009B3D22">
              <w:rPr>
                <w:rFonts w:ascii="Times New Roman" w:hAnsi="Times New Roman"/>
                <w:sz w:val="20"/>
                <w:szCs w:val="20"/>
              </w:rPr>
              <w:t xml:space="preserve"> </w:t>
            </w:r>
          </w:p>
          <w:p w:rsidR="004C39EE" w:rsidRPr="009B3D22" w:rsidP="001B1C99">
            <w:pPr>
              <w:autoSpaceDE w:val="0"/>
              <w:autoSpaceDN w:val="0"/>
              <w:bidi w:val="0"/>
              <w:adjustRightInd w:val="0"/>
              <w:spacing w:after="0" w:line="240" w:lineRule="auto"/>
              <w:jc w:val="both"/>
              <w:rPr>
                <w:rFonts w:ascii="Times" w:hAnsi="Times" w:cs="Times"/>
                <w:b/>
                <w:bCs/>
                <w:sz w:val="20"/>
                <w:szCs w:val="20"/>
              </w:rPr>
            </w:pP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3E3CFA" w:rsidP="001B1C99">
            <w:pPr>
              <w:bidi w:val="0"/>
              <w:rPr>
                <w:rFonts w:ascii="Times New Roman" w:hAnsi="Times New Roman"/>
                <w:sz w:val="20"/>
                <w:szCs w:val="20"/>
              </w:rPr>
            </w:pPr>
            <w:r>
              <w:rPr>
                <w:rFonts w:ascii="Times New Roman" w:hAnsi="Times New Roman"/>
                <w:sz w:val="20"/>
                <w:szCs w:val="20"/>
              </w:rPr>
              <w:t xml:space="preserve"> </w:t>
            </w:r>
            <w:r w:rsidRPr="003E3CFA">
              <w:rPr>
                <w:rFonts w:ascii="Times New Roman" w:hAnsi="Times New Roman"/>
                <w:sz w:val="20"/>
                <w:szCs w:val="20"/>
              </w:rPr>
              <w:t xml:space="preserve">Návrh zákona, </w:t>
            </w:r>
            <w:r w:rsidRPr="003E3CFA">
              <w:rPr>
                <w:rFonts w:ascii="Times New Roman" w:hAnsi="Times New Roman"/>
                <w:color w:val="000000"/>
                <w:sz w:val="20"/>
                <w:szCs w:val="20"/>
              </w:rPr>
              <w:t xml:space="preserve">ktorým sa dopĺňa zákon č. </w:t>
            </w:r>
            <w:r>
              <w:rPr>
                <w:rFonts w:ascii="Times New Roman" w:hAnsi="Times New Roman"/>
                <w:color w:val="000000"/>
                <w:sz w:val="20"/>
                <w:szCs w:val="20"/>
              </w:rPr>
              <w:t>343/2015</w:t>
            </w:r>
            <w:r w:rsidRPr="003E3CFA">
              <w:rPr>
                <w:rFonts w:ascii="Times New Roman" w:hAnsi="Times New Roman"/>
                <w:color w:val="000000"/>
                <w:sz w:val="20"/>
                <w:szCs w:val="20"/>
              </w:rPr>
              <w:t xml:space="preserve"> Z. z. o</w:t>
            </w:r>
            <w:r>
              <w:rPr>
                <w:rFonts w:ascii="Times New Roman" w:hAnsi="Times New Roman"/>
                <w:color w:val="000000"/>
                <w:sz w:val="20"/>
                <w:szCs w:val="20"/>
              </w:rPr>
              <w:t> verejnom obstarávaní v znení neskorších predpisov</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sz w:val="20"/>
                <w:szCs w:val="20"/>
              </w:rPr>
            </w:pPr>
            <w:r>
              <w:rPr>
                <w:rFonts w:ascii="Times" w:hAnsi="Times" w:cs="Times"/>
                <w:sz w:val="20"/>
                <w:szCs w:val="20"/>
              </w:rPr>
              <w:t xml:space="preserve"> Peter Antal, Béla Bugár, Gábor Gál</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2C07B8" w:rsidP="001B1C99">
            <w:pPr>
              <w:bidi w:val="0"/>
              <w:jc w:val="center"/>
              <w:rPr>
                <w:rFonts w:ascii="Times" w:hAnsi="Times" w:cs="Times"/>
                <w:b/>
                <w:bCs/>
                <w:sz w:val="20"/>
                <w:szCs w:val="20"/>
              </w:rPr>
            </w:pPr>
            <w:r w:rsidRPr="002C07B8">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2C07B8" w:rsidP="001B1C99">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2C07B8" w:rsidP="001B1C99">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2C07B8" w:rsidP="001B1C99">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S</w:t>
            </w:r>
            <w:r w:rsidRPr="002C07B8">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2C07B8" w:rsidP="001B1C99">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2C07B8" w:rsidP="001B1C99">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New Roman" w:hAnsi="Times New Roman"/>
                <w:sz w:val="20"/>
                <w:szCs w:val="20"/>
              </w:rPr>
            </w:pPr>
            <w:r w:rsidRPr="002C07B8">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New Roman" w:hAnsi="Times New Roman"/>
                <w:sz w:val="20"/>
                <w:szCs w:val="20"/>
              </w:rPr>
            </w:pPr>
            <w:r w:rsidRPr="002C07B8">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New Roman" w:hAnsi="Times New Roman"/>
                <w:sz w:val="20"/>
                <w:szCs w:val="20"/>
              </w:rPr>
            </w:pPr>
            <w:r w:rsidRPr="002C07B8">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autoSpaceDE w:val="0"/>
              <w:autoSpaceDN w:val="0"/>
              <w:bidi w:val="0"/>
              <w:spacing w:after="0" w:line="240" w:lineRule="auto"/>
              <w:rPr>
                <w:rFonts w:ascii="Times" w:hAnsi="Times" w:cs="Times"/>
                <w:sz w:val="20"/>
                <w:szCs w:val="20"/>
              </w:rPr>
            </w:pPr>
            <w:r>
              <w:rPr>
                <w:rFonts w:ascii="Times" w:hAnsi="Times" w:cs="Times"/>
                <w:sz w:val="20"/>
                <w:szCs w:val="20"/>
              </w:rPr>
              <w:t xml:space="preserve"> Riešenie neflexibility a neúčelného predlžovania niektorých postupov verejného obstarávania.</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D02C93" w:rsidP="001B1C99">
            <w:pPr>
              <w:autoSpaceDE w:val="0"/>
              <w:autoSpaceDN w:val="0"/>
              <w:bidi w:val="0"/>
              <w:spacing w:after="0" w:line="240" w:lineRule="auto"/>
              <w:rPr>
                <w:rFonts w:ascii="Times New Roman" w:hAnsi="Times New Roman"/>
                <w:bCs/>
                <w:sz w:val="20"/>
                <w:szCs w:val="20"/>
                <w:lang w:eastAsia="sk-SK"/>
              </w:rPr>
            </w:pPr>
            <w:r>
              <w:rPr>
                <w:rFonts w:ascii="Times" w:hAnsi="Times" w:cs="Times"/>
                <w:sz w:val="20"/>
                <w:szCs w:val="20"/>
              </w:rPr>
              <w:t xml:space="preserve"> Zjednodušenie, zefektívnenie a zrýchlenie niektorých postupov verejného obstarávania.</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sz w:val="20"/>
                <w:szCs w:val="20"/>
              </w:rPr>
            </w:pPr>
            <w:r>
              <w:rPr>
                <w:rFonts w:ascii="Times" w:hAnsi="Times" w:cs="Times"/>
                <w:sz w:val="20"/>
                <w:szCs w:val="20"/>
              </w:rPr>
              <w:t xml:space="preserve"> Verejní obstarávatelia, obstarávatelia a hospodárske subjekty podľa zákona č. 343/2015 Z. z. v znení neskorších predpisov. </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sz w:val="20"/>
                <w:szCs w:val="20"/>
              </w:rPr>
            </w:pPr>
            <w:r>
              <w:rPr>
                <w:rFonts w:ascii="Times" w:hAnsi="Times" w:cs="Times"/>
                <w:sz w:val="20"/>
                <w:szCs w:val="20"/>
              </w:rPr>
              <w:t xml:space="preserve"> </w:t>
            </w:r>
            <w:r w:rsidRPr="002C07B8">
              <w:rPr>
                <w:rFonts w:ascii="Times" w:hAnsi="Times" w:cs="Times"/>
                <w:sz w:val="20"/>
                <w:szCs w:val="20"/>
              </w:rPr>
              <w:t>Predpokladá sa prijatie/zmena vykonávacích predpisov?                          </w:t>
            </w:r>
            <w:r w:rsidRPr="002C07B8">
              <w:rPr>
                <w:rFonts w:ascii="Wingdings 2" w:hAnsi="Wingdings 2" w:cs="Times"/>
                <w:sz w:val="20"/>
                <w:szCs w:val="20"/>
              </w:rPr>
              <w:t>*</w:t>
            </w:r>
            <w:r w:rsidRPr="002C07B8">
              <w:rPr>
                <w:rFonts w:ascii="Times" w:hAnsi="Times" w:cs="Times"/>
                <w:sz w:val="20"/>
                <w:szCs w:val="20"/>
              </w:rPr>
              <w:t xml:space="preserve">   Áno            </w:t>
            </w:r>
            <w:r w:rsidRPr="002C07B8">
              <w:rPr>
                <w:rFonts w:ascii="Wingdings 2" w:hAnsi="Wingdings 2" w:cs="Times"/>
                <w:sz w:val="20"/>
                <w:szCs w:val="20"/>
              </w:rPr>
              <w:t>S</w:t>
            </w:r>
            <w:r w:rsidRPr="002C07B8">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2C07B8" w:rsidP="001B1C99">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2C07B8" w:rsidP="001B1C99">
            <w:pPr>
              <w:bidi w:val="0"/>
              <w:rPr>
                <w:rFonts w:ascii="Times" w:hAnsi="Times" w:cs="Times"/>
                <w:b/>
                <w:bCs/>
                <w:sz w:val="20"/>
                <w:szCs w:val="20"/>
              </w:rPr>
            </w:pPr>
            <w:r w:rsidRPr="002C07B8">
              <w:rPr>
                <w:rFonts w:ascii="Times" w:hAnsi="Times" w:cs="Times"/>
                <w:b/>
                <w:bCs/>
                <w:sz w:val="20"/>
                <w:szCs w:val="20"/>
              </w:rPr>
              <w:t>  8.  Preskúmanie účelnosti**</w:t>
            </w:r>
          </w:p>
        </w:tc>
      </w:tr>
    </w:tbl>
    <w:p w:rsidR="004C39EE" w:rsidP="004C39EE">
      <w:pPr>
        <w:pStyle w:val="odsek"/>
        <w:keepNext w:val="0"/>
        <w:widowControl w:val="0"/>
        <w:bidi w:val="0"/>
        <w:ind w:firstLine="0"/>
        <w:rPr>
          <w:rFonts w:ascii="Times New Roman" w:hAnsi="Times New Roman"/>
        </w:rPr>
      </w:pPr>
    </w:p>
    <w:p w:rsidR="004C39EE" w:rsidP="004C39EE">
      <w:pPr>
        <w:pStyle w:val="odsek"/>
        <w:keepNext w:val="0"/>
        <w:widowControl w:val="0"/>
        <w:bidi w:val="0"/>
        <w:ind w:firstLine="0"/>
        <w:rPr>
          <w:rFonts w:ascii="Times New Roman" w:hAnsi="Times New Roman"/>
        </w:rPr>
      </w:pPr>
    </w:p>
    <w:p w:rsidR="004C39EE" w:rsidP="004C39EE">
      <w:pPr>
        <w:pStyle w:val="odsek"/>
        <w:keepNext w:val="0"/>
        <w:widowControl w:val="0"/>
        <w:bidi w:val="0"/>
        <w:ind w:firstLine="0"/>
        <w:rPr>
          <w:rFonts w:ascii="Times New Roman" w:hAnsi="Times New Roman"/>
        </w:rPr>
      </w:pPr>
    </w:p>
    <w:p w:rsidR="004C39EE" w:rsidP="004C39EE">
      <w:pPr>
        <w:pStyle w:val="odsek"/>
        <w:keepNext w:val="0"/>
        <w:widowControl w:val="0"/>
        <w:bidi w:val="0"/>
        <w:ind w:firstLine="0"/>
        <w:rPr>
          <w:rFonts w:ascii="Times New Roman" w:hAnsi="Times New Roman"/>
        </w:rPr>
      </w:pPr>
    </w:p>
    <w:p w:rsidR="004C39EE" w:rsidP="004C39EE">
      <w:pPr>
        <w:pStyle w:val="odsek"/>
        <w:keepNext w:val="0"/>
        <w:widowControl w:val="0"/>
        <w:bidi w:val="0"/>
        <w:ind w:firstLine="0"/>
        <w:rPr>
          <w:rFonts w:ascii="Times New Roman" w:hAnsi="Times New Roman"/>
        </w:rPr>
      </w:pPr>
    </w:p>
    <w:p w:rsidR="004C39EE" w:rsidP="004C39EE">
      <w:pPr>
        <w:bidi w:val="0"/>
        <w:spacing w:after="0" w:line="240" w:lineRule="auto"/>
        <w:jc w:val="center"/>
        <w:rPr>
          <w:rFonts w:ascii="Arial" w:hAnsi="Arial"/>
          <w:b/>
          <w:bCs/>
          <w:sz w:val="28"/>
          <w:szCs w:val="28"/>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9"/>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bidi w:val="0"/>
              <w:rPr>
                <w:rFonts w:ascii="Times New Roman" w:hAnsi="Times New Roman"/>
                <w:b/>
                <w:bCs/>
                <w:sz w:val="20"/>
                <w:szCs w:val="20"/>
              </w:rPr>
            </w:pPr>
            <w:r w:rsidRPr="009B3D22">
              <w:rPr>
                <w:rFonts w:ascii="Times New Roman" w:hAnsi="Times New Roman"/>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Vplyvy na rozpočet verejnej správy</w:t>
            </w:r>
            <w:r w:rsidRPr="009B3D22">
              <w:rPr>
                <w:rFonts w:ascii="Times New Roman" w:hAnsi="Times New Roman"/>
                <w:sz w:val="20"/>
                <w:szCs w:val="20"/>
              </w:rPr>
              <w:br/>
              <w:t>    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x</w:t>
            </w:r>
            <w:r w:rsidRPr="009B3D22">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spacing w:after="0" w:line="240" w:lineRule="auto"/>
              <w:rPr>
                <w:rFonts w:ascii="Times New Roman" w:hAnsi="Times New Roman"/>
                <w:sz w:val="20"/>
                <w:szCs w:val="20"/>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Čiastočne</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Vplyvy na podnikateľské prostredie</w:t>
            </w:r>
            <w:r w:rsidRPr="009B3D22">
              <w:rPr>
                <w:rFonts w:ascii="Times New Roman" w:hAnsi="Times New Roman"/>
                <w:sz w:val="20"/>
                <w:szCs w:val="20"/>
              </w:rPr>
              <w:br/>
              <w:t>    z toho vplyvy na MSP</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x</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spacing w:after="0" w:line="240" w:lineRule="auto"/>
              <w:rPr>
                <w:rFonts w:ascii="Times New Roman" w:hAnsi="Times New Roman"/>
                <w:sz w:val="20"/>
                <w:szCs w:val="20"/>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x  </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Sociálne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x</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Vplyvy na informatizáciu</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b/>
                <w:bCs/>
                <w:sz w:val="20"/>
                <w:szCs w:val="20"/>
              </w:rPr>
              <w:t>  Vplyvy na služby pre občana z toho</w:t>
            </w:r>
            <w:r w:rsidRPr="009B3D22">
              <w:rPr>
                <w:rFonts w:ascii="Times New Roman" w:hAnsi="Times New Roman"/>
                <w:sz w:val="20"/>
                <w:szCs w:val="20"/>
              </w:rPr>
              <w:br/>
              <w:t>    vplyvy služieb verejnej správy na občana</w:t>
              <w:br/>
              <w:t>    vplyvy na procesy služieb vo verejnej</w:t>
              <w:br/>
              <w:t>    správe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b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br/>
              <w:t xml:space="preserve">  </w:t>
            </w:r>
            <w:r>
              <w:rPr>
                <w:rFonts w:ascii="Times New Roman" w:hAnsi="Times New Roman"/>
                <w:sz w:val="20"/>
                <w:szCs w:val="20"/>
              </w:rPr>
              <w:t xml:space="preserve">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br/>
              <w:t>  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spacing w:after="0" w:line="240" w:lineRule="auto"/>
              <w:rPr>
                <w:rFonts w:ascii="Times New Roman" w:hAnsi="Times New Roman"/>
                <w:sz w:val="20"/>
                <w:szCs w:val="20"/>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x</w:t>
            </w:r>
            <w:r w:rsidRPr="009B3D22">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C39EE" w:rsidRPr="009B3D22" w:rsidP="001B1C99">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bidi w:val="0"/>
              <w:rPr>
                <w:rFonts w:ascii="Times New Roman" w:hAnsi="Times New Roman"/>
                <w:b/>
                <w:bCs/>
                <w:sz w:val="20"/>
                <w:szCs w:val="20"/>
              </w:rPr>
            </w:pPr>
            <w:r w:rsidRPr="009B3D22">
              <w:rPr>
                <w:rFonts w:ascii="Times New Roman" w:hAnsi="Times New Roman"/>
                <w:b/>
                <w:bCs/>
                <w:sz w:val="20"/>
                <w:szCs w:val="20"/>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9B3D22" w:rsidP="001B1C99">
            <w:pPr>
              <w:bidi w:val="0"/>
              <w:rPr>
                <w:rFonts w:ascii="Times New Roman" w:hAnsi="Times New Roman"/>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bidi w:val="0"/>
              <w:rPr>
                <w:rFonts w:ascii="Times New Roman" w:hAnsi="Times New Roman"/>
                <w:b/>
                <w:bCs/>
                <w:sz w:val="20"/>
                <w:szCs w:val="20"/>
              </w:rPr>
            </w:pPr>
            <w:r w:rsidRPr="009B3D22">
              <w:rPr>
                <w:rFonts w:ascii="Times New Roman" w:hAnsi="Times New Roman"/>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9B3D22" w:rsidP="001B1C99">
            <w:pPr>
              <w:bidi w:val="0"/>
              <w:rPr>
                <w:rFonts w:ascii="Times New Roman" w:hAnsi="Times New Roman"/>
                <w:b/>
                <w:bCs/>
                <w:sz w:val="20"/>
                <w:szCs w:val="20"/>
              </w:rPr>
            </w:pPr>
            <w:r>
              <w:rPr>
                <w:rFonts w:ascii="Times New Roman" w:hAnsi="Times New Roman"/>
                <w:bCs/>
                <w:sz w:val="20"/>
                <w:szCs w:val="20"/>
              </w:rPr>
              <w:t xml:space="preserve"> </w:t>
            </w:r>
            <w:r w:rsidRPr="00E93545">
              <w:rPr>
                <w:rFonts w:ascii="Times New Roman" w:hAnsi="Times New Roman"/>
                <w:bCs/>
                <w:sz w:val="20"/>
                <w:szCs w:val="20"/>
              </w:rPr>
              <w:t>Peter_Antal</w:t>
            </w:r>
            <w:r w:rsidRPr="009B3D22">
              <w:rPr>
                <w:rFonts w:ascii="Times New Roman" w:hAnsi="Times New Roman"/>
                <w:sz w:val="20"/>
                <w:szCs w:val="20"/>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bidi w:val="0"/>
              <w:rPr>
                <w:rFonts w:ascii="Times New Roman" w:hAnsi="Times New Roman"/>
                <w:b/>
                <w:bCs/>
                <w:sz w:val="20"/>
                <w:szCs w:val="20"/>
              </w:rPr>
            </w:pPr>
            <w:r w:rsidRPr="009B3D22">
              <w:rPr>
                <w:rFonts w:ascii="Times New Roman" w:hAnsi="Times New Roman"/>
                <w:b/>
                <w:bCs/>
                <w:sz w:val="20"/>
                <w:szCs w:val="20"/>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9B3D22" w:rsidP="001B1C99">
            <w:pPr>
              <w:bidi w:val="0"/>
              <w:rPr>
                <w:rFonts w:ascii="Times New Roman" w:hAnsi="Times New Roman"/>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C39EE" w:rsidRPr="009B3D22" w:rsidP="001B1C99">
            <w:pPr>
              <w:bidi w:val="0"/>
              <w:rPr>
                <w:rFonts w:ascii="Times New Roman" w:hAnsi="Times New Roman"/>
                <w:b/>
                <w:bCs/>
                <w:sz w:val="20"/>
                <w:szCs w:val="20"/>
              </w:rPr>
            </w:pPr>
            <w:r w:rsidRPr="009B3D22">
              <w:rPr>
                <w:rFonts w:ascii="Times New Roman" w:hAnsi="Times New Roman"/>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C39EE" w:rsidRPr="009B3D22" w:rsidP="001B1C99">
            <w:pPr>
              <w:bidi w:val="0"/>
              <w:rPr>
                <w:rFonts w:ascii="Times New Roman" w:hAnsi="Times New Roman"/>
                <w:bCs/>
                <w:sz w:val="20"/>
                <w:szCs w:val="20"/>
              </w:rPr>
            </w:pPr>
            <w:r>
              <w:rPr>
                <w:rFonts w:ascii="Times New Roman" w:hAnsi="Times New Roman"/>
                <w:bCs/>
                <w:sz w:val="20"/>
                <w:szCs w:val="20"/>
              </w:rPr>
              <w:t xml:space="preserve"> </w:t>
            </w:r>
            <w:r w:rsidRPr="009B3D22">
              <w:rPr>
                <w:rFonts w:ascii="Times New Roman" w:hAnsi="Times New Roman"/>
                <w:bCs/>
                <w:sz w:val="20"/>
                <w:szCs w:val="20"/>
              </w:rPr>
              <w:t>Materiál nebol predmetom PPK</w:t>
            </w:r>
          </w:p>
        </w:tc>
      </w:tr>
    </w:tbl>
    <w:p w:rsidR="004C39EE" w:rsidP="004C39EE">
      <w:pPr>
        <w:bidi w:val="0"/>
        <w:spacing w:after="0" w:line="240" w:lineRule="auto"/>
        <w:rPr>
          <w:rFonts w:ascii="Times New Roman" w:hAnsi="Times New Roman"/>
          <w:b/>
          <w:sz w:val="24"/>
          <w:szCs w:val="24"/>
        </w:rPr>
      </w:pPr>
    </w:p>
    <w:p w:rsidR="00E53ACF">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0F20"/>
    <w:multiLevelType w:val="hybridMultilevel"/>
    <w:tmpl w:val="C0A06914"/>
    <w:lvl w:ilvl="0">
      <w:start w:val="2"/>
      <w:numFmt w:val="lowerLetter"/>
      <w:lvlText w:val="%1)"/>
      <w:lvlJc w:val="left"/>
      <w:pPr>
        <w:tabs>
          <w:tab w:val="num" w:pos="1500"/>
        </w:tabs>
        <w:ind w:left="1500" w:hanging="360"/>
      </w:pPr>
      <w:rPr>
        <w:rFonts w:cs="Times New Roman" w:hint="default"/>
        <w:rtl w:val="0"/>
        <w:cs w:val="0"/>
      </w:rPr>
    </w:lvl>
    <w:lvl w:ilvl="1">
      <w:start w:val="1"/>
      <w:numFmt w:val="lowerLetter"/>
      <w:lvlText w:val="%2."/>
      <w:lvlJc w:val="left"/>
      <w:pPr>
        <w:tabs>
          <w:tab w:val="num" w:pos="2220"/>
        </w:tabs>
        <w:ind w:left="2220" w:hanging="360"/>
      </w:pPr>
      <w:rPr>
        <w:rFonts w:cs="Times New Roman"/>
        <w:rtl w:val="0"/>
        <w:cs w:val="0"/>
      </w:rPr>
    </w:lvl>
    <w:lvl w:ilvl="2">
      <w:start w:val="5"/>
      <w:numFmt w:val="decimal"/>
      <w:lvlText w:val="%3."/>
      <w:lvlJc w:val="left"/>
      <w:pPr>
        <w:tabs>
          <w:tab w:val="num" w:pos="3120"/>
        </w:tabs>
        <w:ind w:left="3120" w:hanging="360"/>
      </w:pPr>
      <w:rPr>
        <w:rFonts w:cs="Times New Roman" w:hint="default"/>
        <w:rtl w:val="0"/>
        <w:cs w:val="0"/>
      </w:rPr>
    </w:lvl>
    <w:lvl w:ilvl="3">
      <w:start w:val="1"/>
      <w:numFmt w:val="decimal"/>
      <w:lvlText w:val="%4."/>
      <w:lvlJc w:val="left"/>
      <w:pPr>
        <w:tabs>
          <w:tab w:val="num" w:pos="3660"/>
        </w:tabs>
        <w:ind w:left="3660" w:hanging="360"/>
      </w:pPr>
      <w:rPr>
        <w:rFonts w:cs="Times New Roman"/>
        <w:rtl w:val="0"/>
        <w:cs w:val="0"/>
      </w:rPr>
    </w:lvl>
    <w:lvl w:ilvl="4">
      <w:start w:val="1"/>
      <w:numFmt w:val="lowerLetter"/>
      <w:lvlText w:val="%5."/>
      <w:lvlJc w:val="left"/>
      <w:pPr>
        <w:tabs>
          <w:tab w:val="num" w:pos="4380"/>
        </w:tabs>
        <w:ind w:left="4380" w:hanging="360"/>
      </w:pPr>
      <w:rPr>
        <w:rFonts w:cs="Times New Roman"/>
        <w:rtl w:val="0"/>
        <w:cs w:val="0"/>
      </w:rPr>
    </w:lvl>
    <w:lvl w:ilvl="5">
      <w:start w:val="1"/>
      <w:numFmt w:val="lowerRoman"/>
      <w:lvlText w:val="%6."/>
      <w:lvlJc w:val="right"/>
      <w:pPr>
        <w:tabs>
          <w:tab w:val="num" w:pos="5100"/>
        </w:tabs>
        <w:ind w:left="5100" w:hanging="180"/>
      </w:pPr>
      <w:rPr>
        <w:rFonts w:cs="Times New Roman"/>
        <w:rtl w:val="0"/>
        <w:cs w:val="0"/>
      </w:rPr>
    </w:lvl>
    <w:lvl w:ilvl="6">
      <w:start w:val="1"/>
      <w:numFmt w:val="decimal"/>
      <w:lvlText w:val="%7."/>
      <w:lvlJc w:val="left"/>
      <w:pPr>
        <w:tabs>
          <w:tab w:val="num" w:pos="5820"/>
        </w:tabs>
        <w:ind w:left="5820" w:hanging="360"/>
      </w:pPr>
      <w:rPr>
        <w:rFonts w:cs="Times New Roman"/>
        <w:rtl w:val="0"/>
        <w:cs w:val="0"/>
      </w:rPr>
    </w:lvl>
    <w:lvl w:ilvl="7">
      <w:start w:val="1"/>
      <w:numFmt w:val="lowerLetter"/>
      <w:lvlText w:val="%8."/>
      <w:lvlJc w:val="left"/>
      <w:pPr>
        <w:tabs>
          <w:tab w:val="num" w:pos="6540"/>
        </w:tabs>
        <w:ind w:left="6540" w:hanging="360"/>
      </w:pPr>
      <w:rPr>
        <w:rFonts w:cs="Times New Roman"/>
        <w:rtl w:val="0"/>
        <w:cs w:val="0"/>
      </w:rPr>
    </w:lvl>
    <w:lvl w:ilvl="8">
      <w:start w:val="1"/>
      <w:numFmt w:val="lowerRoman"/>
      <w:lvlText w:val="%9."/>
      <w:lvlJc w:val="right"/>
      <w:pPr>
        <w:tabs>
          <w:tab w:val="num" w:pos="7260"/>
        </w:tabs>
        <w:ind w:left="7260" w:hanging="180"/>
      </w:pPr>
      <w:rPr>
        <w:rFonts w:cs="Times New Roman"/>
        <w:rtl w:val="0"/>
        <w:cs w:val="0"/>
      </w:rPr>
    </w:lvl>
  </w:abstractNum>
  <w:abstractNum w:abstractNumId="1">
    <w:nsid w:val="4F081BC1"/>
    <w:multiLevelType w:val="hybridMultilevel"/>
    <w:tmpl w:val="6450B07A"/>
    <w:lvl w:ilvl="0">
      <w:start w:val="1"/>
      <w:numFmt w:val="decimal"/>
      <w:lvlText w:val="%1."/>
      <w:lvlJc w:val="left"/>
      <w:pPr>
        <w:tabs>
          <w:tab w:val="num" w:pos="1068"/>
        </w:tabs>
        <w:ind w:left="1068" w:hanging="360"/>
      </w:pPr>
      <w:rPr>
        <w:rFonts w:cs="Times New Roman"/>
        <w:rtl w:val="0"/>
        <w:cs w:val="0"/>
      </w:rPr>
    </w:lvl>
    <w:lvl w:ilvl="1">
      <w:start w:val="1"/>
      <w:numFmt w:val="lowerLetter"/>
      <w:lvlText w:val="%2)"/>
      <w:lvlJc w:val="left"/>
      <w:pPr>
        <w:tabs>
          <w:tab w:val="num" w:pos="1980"/>
        </w:tabs>
        <w:ind w:left="198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4C39EE"/>
    <w:rsid w:val="0002219A"/>
    <w:rsid w:val="001135F3"/>
    <w:rsid w:val="001A0279"/>
    <w:rsid w:val="001A517F"/>
    <w:rsid w:val="001B1C99"/>
    <w:rsid w:val="00237EE1"/>
    <w:rsid w:val="002C07B8"/>
    <w:rsid w:val="00364091"/>
    <w:rsid w:val="003E3CFA"/>
    <w:rsid w:val="004C39EE"/>
    <w:rsid w:val="005B6912"/>
    <w:rsid w:val="006D3AE8"/>
    <w:rsid w:val="00847ED7"/>
    <w:rsid w:val="008B1E7C"/>
    <w:rsid w:val="0090561C"/>
    <w:rsid w:val="00956995"/>
    <w:rsid w:val="009A7EE2"/>
    <w:rsid w:val="009B3D22"/>
    <w:rsid w:val="00AD043C"/>
    <w:rsid w:val="00B06366"/>
    <w:rsid w:val="00C61B44"/>
    <w:rsid w:val="00D02C93"/>
    <w:rsid w:val="00DA4F85"/>
    <w:rsid w:val="00E53ACF"/>
    <w:rsid w:val="00E9354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E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uiPriority w:val="99"/>
    <w:qFormat/>
    <w:rsid w:val="004C39EE"/>
    <w:pPr>
      <w:keepNext/>
      <w:spacing w:after="0" w:line="240" w:lineRule="auto"/>
      <w:ind w:firstLine="709"/>
      <w:jc w:val="both"/>
    </w:pPr>
    <w:rPr>
      <w:rFonts w:ascii="Times New Roman" w:hAnsi="Times New Roman"/>
      <w:sz w:val="24"/>
      <w:szCs w:val="24"/>
      <w:lang w:eastAsia="sk-SK"/>
    </w:rPr>
  </w:style>
  <w:style w:type="paragraph" w:styleId="ListParagraph">
    <w:name w:val="List Paragraph"/>
    <w:basedOn w:val="Normal"/>
    <w:uiPriority w:val="34"/>
    <w:qFormat/>
    <w:rsid w:val="004C39EE"/>
    <w:pPr>
      <w:ind w:left="720"/>
      <w:contextualSpacing/>
      <w:jc w:val="left"/>
    </w:pPr>
  </w:style>
  <w:style w:type="paragraph" w:styleId="BodyText">
    <w:name w:val="Body Text"/>
    <w:basedOn w:val="Normal"/>
    <w:link w:val="ZkladntextChar"/>
    <w:uiPriority w:val="99"/>
    <w:unhideWhenUsed/>
    <w:rsid w:val="004C39EE"/>
    <w:pPr>
      <w:widowControl w:val="0"/>
      <w:autoSpaceDE w:val="0"/>
      <w:autoSpaceDN w:val="0"/>
      <w:adjustRightInd w:val="0"/>
      <w:spacing w:after="0" w:line="240" w:lineRule="auto"/>
      <w:jc w:val="left"/>
    </w:pPr>
    <w:rPr>
      <w:rFonts w:ascii="Times New Roman" w:hAnsi="Times New Roman"/>
      <w:sz w:val="28"/>
      <w:szCs w:val="24"/>
      <w:lang w:eastAsia="sk-SK"/>
    </w:rPr>
  </w:style>
  <w:style w:type="character" w:customStyle="1" w:styleId="ZkladntextChar">
    <w:name w:val="Základný text Char"/>
    <w:basedOn w:val="DefaultParagraphFont"/>
    <w:link w:val="BodyText"/>
    <w:uiPriority w:val="99"/>
    <w:locked/>
    <w:rsid w:val="004C39EE"/>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237EE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37EE1"/>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9</Pages>
  <Words>2470</Words>
  <Characters>14079</Characters>
  <Application>Microsoft Office Word</Application>
  <DocSecurity>0</DocSecurity>
  <Lines>0</Lines>
  <Paragraphs>0</Paragraphs>
  <ScaleCrop>false</ScaleCrop>
  <Company>Kancelaria NRSR</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Mifková, Miroslava</cp:lastModifiedBy>
  <cp:revision>2</cp:revision>
  <dcterms:created xsi:type="dcterms:W3CDTF">2017-05-31T14:12:00Z</dcterms:created>
  <dcterms:modified xsi:type="dcterms:W3CDTF">2017-05-31T14:14:00Z</dcterms:modified>
</cp:coreProperties>
</file>